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5"/>
        <w:spacing w:after="0" w:afterAutospacing="0" w:line="240" w:lineRule="auto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«10» апреля 2024 г.                                                                           № 118-П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7"/>
        </w:rPr>
        <w:t xml:space="preserve">«Охрана окружающей среды»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решением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  <w:br/>
        <w:t xml:space="preserve">19 декабря 2023 года № 239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бюджете Красноселькупского района на 2024 год и на плановый период 2025 и 2026 годов»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 постановлением Администрации Красноселькупского района от 07 декабря 2021 г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ода </w:t>
        <w:br/>
        <w:t xml:space="preserve">№ 51-П 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7"/>
        </w:rPr>
        <w:t xml:space="preserve">постановляет: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«Охрана окружающей среды»</w:t>
      </w:r>
      <w:bookmarkEnd w:id="0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Администрации Красноселькупского района от 20 декабря 2021 года № 83-П.</w:t>
      </w:r>
      <w:bookmarkEnd w:id="1"/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</w:t>
      </w:r>
      <w:r>
        <w:rPr>
          <w:rFonts w:ascii="Liberation Sans" w:hAnsi="Liberation Sans" w:eastAsia="Liberation Sans" w:cs="Liberation Sans"/>
          <w:sz w:val="28"/>
          <w:szCs w:val="27"/>
          <w:highlight w:val="white"/>
        </w:rPr>
        <w:t xml:space="preserve">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 Настоящее постановление вступает в силу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со дня его официального опубликования и распространяет свое действие на правоотношения, возникшие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01 января 2024 года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Ы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ind w:left="5244" w:right="0" w:firstLine="0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«10» апреля 2024 г. № 118-П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/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Я,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котор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ые внос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ятся в муниципальную программу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7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  <w:br/>
        <w:t xml:space="preserve">утверждённую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20 декабря 2021 года № 83-П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0"/>
        <w:numPr>
          <w:ilvl w:val="0"/>
          <w:numId w:val="9"/>
        </w:numPr>
        <w:contextualSpacing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ПАСПОРТ</w:t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  <w:lang w:eastAsia="ru-RU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 w:val="0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3973"/>
        <w:gridCol w:w="3285"/>
        <w:gridCol w:w="2522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ЖКХ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, транспорта и связи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жизнеобеспечения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022-2035 годы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1 этап -2022-2025 годы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2 этап - 2026-2030 годы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3 этап 2031-2035 годы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148 931,299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25 180,000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123 751,299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123 948,299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25 180,000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  <w:t xml:space="preserve">98 768,299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6 506,800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42 044,499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32 337,00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25 187,000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25 030,00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8"/>
                <w:szCs w:val="28"/>
                <w:highlight w:val="white"/>
                <w:lang w:eastAsia="ru-RU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II этап реализации 2026-2030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2027-2030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0"/>
          <w:highlight w:val="none"/>
          <w:lang w:eastAsia="ru-RU"/>
        </w:rPr>
        <w:t xml:space="preserve">2. Структуру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both"/>
        <w:spacing w:after="0" w:afterAutospacing="0" w:line="240" w:lineRule="auto"/>
        <w:tabs>
          <w:tab w:val="left" w:pos="992" w:leader="none"/>
          <w:tab w:val="left" w:pos="9638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-567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0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СТРУКТУРА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sz w:val="28"/>
          <w:szCs w:val="20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ind w:left="567" w:right="-567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0"/>
        </w:rPr>
        <w:t xml:space="preserve">                                                                                                                         тыс. 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-42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992"/>
        <w:gridCol w:w="992"/>
        <w:gridCol w:w="992"/>
        <w:gridCol w:w="992"/>
        <w:gridCol w:w="1275"/>
        <w:gridCol w:w="1276"/>
      </w:tblGrid>
      <w:tr>
        <w:trPr>
          <w:trHeight w:val="133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2023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tabs>
                <w:tab w:val="left" w:pos="992" w:leader="none"/>
              </w:tabs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2024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2025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Всего IIэтап/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Муниципальная программа  муниципального округа Красноселькупский район Ямало-Ненецкого автономного округа «Охрана окружающей среды»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Доля выполненных мероприятий муниципальной программы, направленных на улучшение санитарно-экологического состояния на территориях населенных пунктов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,6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2.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6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123 948,299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32 337,000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25 180,000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за счет местного бюджета 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98 768,299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6 506,800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42 044,499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25 187,000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Рациональное природопользование и обеспечение экологической безопасности»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18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9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1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Показатель 1.1.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«Число построенных объектов размещения отходов»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Весовое значение показателя 1.1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4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омплекс процессных мероприятий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«Строительство (реконструкция) объектов»,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18 900,499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8 686,000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2 991,499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окружного бюджете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18 549,000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8 599,000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2 800,000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351,499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u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Показатель 2.1. Доля ликвидированных свалок на землях, расположенных в границах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Весовое значение показателя 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2.2. 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18"/>
                <w:highlight w:val="white"/>
                <w:u w:val="non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none"/>
              </w:rPr>
              <w:t xml:space="preserve">6.10.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2.3. Количество волонтеров, охваченных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2.4.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0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казатель 2.5.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Количество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2.6.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 Количество приобретенных контейнеров для сбора отходов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6.17.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2.7.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Доля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none"/>
              </w:rPr>
              <w:t xml:space="preserve">объектов размещения отходов (ОРО), поставленных на государственный учет объектов, оказывающих негативное воздействие на окружающую среду (НВОС)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6.19.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Показатель 2.8.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Доля объектов размещения отходов, </w:t>
            </w: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на которых 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18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6.21.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</w:rPr>
              <w:t xml:space="preserve">Весовое значение показателя 2.8.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105 047,800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13 050,800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41 853,000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25 114,000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18"/>
                <w:highlight w:val="whit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18"/>
                <w:highlight w:val="whit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за счет местного бюджета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98 416,800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6 419,800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41 853,000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25 114,000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</w:rPr>
            </w:pPr>
            <w:r>
              <w:rPr>
                <w:rFonts w:ascii="Liberation Sans" w:hAnsi="Liberation Sans" w:eastAsia="Liberation Sans" w:cs="Liberation Sans"/>
                <w:sz w:val="18"/>
              </w:rPr>
              <w:t xml:space="preserve">25 030,000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1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18"/>
                <w:highlight w:val="none"/>
              </w:rPr>
              <w:t xml:space="preserve">24 983,00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3. 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5244" w:right="177" w:firstLine="0"/>
        <w:jc w:val="both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</w:r>
      <w:bookmarkStart w:id="4" w:name="RANGE!A1:D18"/>
      <w:r>
        <w:rPr>
          <w:rFonts w:ascii="Liberation Sans" w:hAnsi="Liberation Sans" w:eastAsia="Liberation Sans" w:cs="Liberation Sans"/>
          <w:sz w:val="28"/>
        </w:rPr>
      </w:r>
      <w:bookmarkEnd w:id="4"/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Приложение №1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244" w:right="17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к муниципальной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программе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 ЯНАО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244" w:right="17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«Охрана окружающей среды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/>
          <w:sz w:val="24"/>
          <w:szCs w:val="20"/>
          <w:lang w:eastAsia="ru-RU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ХАРАКТЕРИСТИКА МЕРОПРИЯТИЙ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Охрана окружающей среды»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-567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676"/>
        <w:gridCol w:w="3198"/>
        <w:gridCol w:w="3286"/>
      </w:tblGrid>
      <w:tr>
        <w:trPr>
          <w:trHeight w:val="1524"/>
          <w:tblHeader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№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vAlign w:val="center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Результат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5"/>
          <w:tblHeader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5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W w:w="916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22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5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W w:w="916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</w:rPr>
              <w:t xml:space="preserve">Комплекс процессных мероприятий 1 «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Строительство (реконструкция) объектов»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1.1.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u w:val="singl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szCs w:val="20"/>
                <w:highlight w:val="white"/>
              </w:rPr>
              <w:t xml:space="preserve">Завершение строительства полигона б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highlight w:val="white"/>
              </w:rPr>
              <w:t xml:space="preserve">ытовых и нетоксичных промышленных отходов в с. Красноселькуп Красноселькупского района ЯНАО в 2022 году.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highlight w:val="white"/>
              </w:rPr>
              <w:t xml:space="preserve">Проведение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историко-культурных изысканий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(камеральный этап работ) с целью изучения историко-культурного и археологического состояния территории, а также проведение повторной государственной экспертизы проектной документации в части проверки достоверности определения сметной стоимости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по объекту: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Полигон бытовых и нетоксичных промышленных отходов в с.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Красноселькуп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Красноселькупского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района,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ЯНАО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в том числе проектно-изыскательские работы»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в 2023 году.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none"/>
              </w:rPr>
              <w:t xml:space="preserve">Устранение замечаний Государственного строительного надзора в 2024 году.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53"/>
        </w:trPr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none"/>
              </w:rPr>
              <w:t xml:space="preserve">Ответственный соисполнитель реализации мероприятия: Администрация села Толька.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u w:val="single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</w:rPr>
              <w:t xml:space="preserve"> «Ликвидация  свалок на зе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млях, расположенных в границах населенных пунктов муниципального округа Красноселькупский район ЯНАО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</w:rPr>
              <w:t xml:space="preserve">иквидация несанкционированных свалок, расположенных в границах населенных пунктов Красноселькупского района, в соответствии с Дорожной картой по ликвидации несанкционированных свалок (в летний период 2022 года, за счет окружной субсидии и средств из бюджет</w:t>
            </w:r>
            <w:r>
              <w:rPr>
                <w:rFonts w:ascii="Liberation Sans" w:hAnsi="Liberation Sans" w:eastAsia="Liberation Sans" w:cs="Liberation Sans"/>
              </w:rPr>
              <w:t xml:space="preserve">а района ликвидировано 11 несанкционированных свалок на территории с. Красноселькуп).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 летний период 2023 года ликвидирована несанкционированная свалка отходов, расположенная на территории с. Толька.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 2024 году - ликвидация 4-х несанкционированных свалок, расположенных на территории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754"/>
        </w:trPr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Управление по культуре, молодежной политике и спорту Администрации Красноселькупского района при непосредственном участии муниципального учреждения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u w:val="single"/>
              </w:rPr>
              <w:t xml:space="preserve">Мероприятие 2.2.</w:t>
            </w:r>
            <w:r>
              <w:rPr>
                <w:rFonts w:ascii="Liberation Sans" w:hAnsi="Liberation Sans" w:eastAsia="Liberation Sans" w:cs="Liberation Sans"/>
                <w:b w:val="0"/>
                <w:u w:val="none"/>
              </w:rPr>
              <w:t xml:space="preserve">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Районный конкурс творческих работ «Зеленый мир»проводится на базе муниципального учреждения «Центр молодежных инициатив». Целью конкурса является привлечение молодежи к проблеме охраны лесов и сохранении природных ресурсов .в конкур</w:t>
            </w:r>
            <w:r>
              <w:rPr>
                <w:rFonts w:ascii="Liberation Sans" w:hAnsi="Liberation Sans" w:eastAsia="Liberation Sans" w:cs="Liberation Sans"/>
              </w:rPr>
              <w:t xml:space="preserve">се принимают участие дети , подростки и работающая молодежь района, в возрасте от 6 до 35 лет, в следующих номинациях: «Рисунок», «Декоративно-прикладное искусство», «Сочинение». По итогам проведения конкурса победителям вручаются дипломы и денежные призы.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12"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Управление по культуре, молодежной политике и спорту Администрации Красноселькупского района при непосредственном участии муниципального учреждения «Центр молодежных инициатив».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0"/>
                <w:szCs w:val="20"/>
                <w:u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u w:val="single"/>
              </w:rPr>
              <w:t xml:space="preserve">Мероприятие 2.3.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0"/>
                <w:u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Участие в районном общественно-образовательном проекте «Деловая молодежь «Ямала».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Районный общественно-образовательный проект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«Деловая молодежь «Ямала» проводится с целью выявления и поддержки лучших проектов экологической направленности. По итогам конкурсного отбора победителям вручаются денежные гранты на реализацию проектов экологической направленности.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92"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муниципальное казенное учреждение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szCs w:val="20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«Разработка проекта рекультивации участков нарушенных земель лесного фонда на территории Красноселькупского района»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Разработка в 2022 году проекта рекультивации земель лесного фонда.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7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Управление жизнеобеспечения села Красноселькуп Администрации Кра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0"/>
              </w:rPr>
              <w:t xml:space="preserve">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0"/>
              </w:rPr>
              <w:t xml:space="preserve"> при непосредственном участии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муниципального учреждения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szCs w:val="20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2.5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«Реализация мероприятий по обращению с отходами потребления»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Приобретение в 2022 году контейнеров для 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раздельного сбора отходов потребления (пластиковых крышечек и аккумуляторных батареек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) с целью последующей передачи вторичных ресурсов на переработку специализированным предприятиям.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  <w:t xml:space="preserve">Ответственный соисполнитель реализации мероприятия: Администрация села Ратта.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  <w:t xml:space="preserve">Мероприятие 2.6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«Постановка объекта размещения отходов «Санкционированная свалка (хранилище бытовых отходов) в </w:t>
              <w:br/>
              <w:t xml:space="preserve">с. Ратта» на государственный учет объектов негативного воздействия и разработка экологической документации»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 целях выполнения требований действующего природоохранного законодательства в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 2023 году сведения об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 об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ъекте размещения отходов в селе Ратта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внесены в государственный реестр объектов, оказывающих негативное воздействие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на окружающую среду (НВОС).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7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  <w:t xml:space="preserve">Ответственный соисполнитель реализации мероприятия: Администрация села Ратта.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  <w:t xml:space="preserve">Мероприятие 2.7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Проведение маркшейдерских и геодезических измерений на объекте размещения ТКО «Санкционированная свалка (хранилище бытовых отходов) в селе Ратта»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highlight w:val="white"/>
                <w:u w:val="singl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 2023 году,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 результатам проведения маркшейдерско-геодезических исследований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 подготовлен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 технический отчет обследования земельного участка, расположенного под объектом размещения твердых коммунальных отходов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4. 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2.2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5244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 № 2.2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244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муниципальной программе муниципального округа Красноселькупский район ЯНАО «Охрана окружающей среды»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ДЕТАЛИЗИРОВАННЫЙ ПЕРЕЧЕНЬ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color w:val="000000"/>
          <w:sz w:val="28"/>
        </w:rPr>
        <w:t xml:space="preserve">на 2024 год</w:t>
      </w:r>
      <w:r>
        <w:rPr>
          <w:rFonts w:ascii="Liberation Sans" w:hAnsi="Liberation Sans" w:eastAsia="Liberation Sans" w:cs="Liberation Sans"/>
          <w:b w:val="0"/>
          <w:sz w:val="28"/>
        </w:rPr>
      </w:r>
      <w:r/>
    </w:p>
    <w:p>
      <w:pPr>
        <w:ind w:left="0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89"/>
        <w:gridCol w:w="1430"/>
        <w:gridCol w:w="1879"/>
        <w:gridCol w:w="2373"/>
      </w:tblGrid>
      <w:tr>
        <w:trPr>
          <w:trHeight w:val="1741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56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32 337,000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25 187,000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 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 32 337,000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25 187,000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 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1 «Строительство (реконструкция) объектов 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1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Соисполнитель: "Комитет по управлению капитальным строительством"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Мероприятие 1.1 "Полигон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Распоряжение Правительства Ямало-Ненецкого автономного округа от 13 декабря 2021 года № 828-РП «Об утверждении Адресной инвестиционной программы Ямало-Ненецкого автономного округа на 2022 год и на плановый период 2023 и 2024 годов». 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  <w:br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Соисполнитель: МКУ  "Комитет по управлению капитальным строительством"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7 223,000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901</w:t>
              <w:br/>
              <w:t xml:space="preserve">0930171030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3.5.4.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901</w:t>
              <w:br/>
              <w:t xml:space="preserve">09301S1030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2"/>
                <w:u w:val="none"/>
              </w:rPr>
              <w:t xml:space="preserve">25 114,000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25 114,00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4.3.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191,000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4.5.2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901 0930262600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24 923,000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39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</w:rPr>
              <w:t xml:space="preserve">4.6.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9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</w:rPr>
    </w:pPr>
    <w:fldSimple w:instr="PAGE \* MERGEFORMAT">
      <w:r>
        <w:rPr>
          <w:rFonts w:ascii="Liberation Serif" w:hAnsi="Liberation Serif" w:eastAsia="Liberation Serif" w:cs="Liberation Serif"/>
        </w:rPr>
        <w:t xml:space="preserve">1</w:t>
      </w:r>
    </w:fldSimple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</w:r>
    <w:r/>
  </w:p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  <w:u w:val="none"/>
      </w:rPr>
    </w:pPr>
    <w:r>
      <w:rPr>
        <w:rFonts w:ascii="Liberation Serif" w:hAnsi="Liberation Serif" w:eastAsia="Liberation Serif" w:cs="Liberation Serif"/>
        <w:u w:val="none"/>
      </w:rPr>
    </w:r>
    <w:r>
      <w:rPr>
        <w:rFonts w:ascii="Liberation Serif" w:hAnsi="Liberation Serif" w:eastAsia="Liberation Serif" w:cs="Liberation Serif"/>
        <w:u w:val="none"/>
      </w:rPr>
    </w:r>
    <w:r/>
  </w:p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ans" w:hAnsi="Liberation Sans" w:eastAsia="Liberation Sans" w:cs="Liberation Sans"/>
        <w:sz w:val="24"/>
      </w:rPr>
    </w:pPr>
    <w:r>
      <w:rPr>
        <w:rFonts w:ascii="Liberation Sans" w:hAnsi="Liberation Sans" w:eastAsia="Liberation Sans" w:cs="Liberation Sans"/>
        <w:sz w:val="24"/>
      </w:rPr>
    </w:r>
    <w:fldSimple w:instr="PAGE \* MERGEFORMAT">
      <w:r>
        <w:rPr>
          <w:rFonts w:ascii="Liberation Sans" w:hAnsi="Liberation Sans" w:eastAsia="Liberation Sans" w:cs="Liberation Sans"/>
          <w:sz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</w:rPr>
    </w:r>
    <w:r>
      <w:rPr>
        <w:rFonts w:ascii="Liberation Sans" w:hAnsi="Liberation Sans" w:eastAsia="Liberation Sans" w:cs="Liberation Sans"/>
      </w:rPr>
    </w:r>
    <w:r/>
  </w:p>
  <w:p>
    <w:pPr>
      <w:pStyle w:val="905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egacy w:legacy="1" w:legacyIndent="44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4"/>
    <w:next w:val="894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basedOn w:val="896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894"/>
    <w:next w:val="894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basedOn w:val="896"/>
    <w:link w:val="724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896"/>
    <w:link w:val="89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4"/>
    <w:next w:val="894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basedOn w:val="896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4"/>
    <w:next w:val="894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6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4"/>
    <w:next w:val="894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6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4"/>
    <w:next w:val="894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4"/>
    <w:next w:val="894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6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6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894"/>
    <w:next w:val="894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>
    <w:name w:val="Title Char"/>
    <w:basedOn w:val="896"/>
    <w:link w:val="739"/>
    <w:uiPriority w:val="10"/>
    <w:rPr>
      <w:sz w:val="48"/>
      <w:szCs w:val="48"/>
    </w:rPr>
  </w:style>
  <w:style w:type="paragraph" w:styleId="741">
    <w:name w:val="Subtitle"/>
    <w:basedOn w:val="894"/>
    <w:next w:val="894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basedOn w:val="896"/>
    <w:link w:val="741"/>
    <w:uiPriority w:val="11"/>
    <w:rPr>
      <w:sz w:val="24"/>
      <w:szCs w:val="24"/>
    </w:rPr>
  </w:style>
  <w:style w:type="paragraph" w:styleId="743">
    <w:name w:val="Quote"/>
    <w:basedOn w:val="894"/>
    <w:next w:val="894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4"/>
    <w:next w:val="894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6"/>
    <w:link w:val="905"/>
    <w:uiPriority w:val="99"/>
  </w:style>
  <w:style w:type="character" w:styleId="748">
    <w:name w:val="Footer Char"/>
    <w:basedOn w:val="896"/>
    <w:link w:val="907"/>
    <w:uiPriority w:val="99"/>
  </w:style>
  <w:style w:type="paragraph" w:styleId="749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907"/>
    <w:uiPriority w:val="99"/>
  </w:style>
  <w:style w:type="table" w:styleId="751">
    <w:name w:val="Table Grid"/>
    <w:basedOn w:val="8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>
    <w:name w:val="Grid Table 4 - Accent 1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1">
    <w:name w:val="Grid Table 4 - Accent 2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Grid Table 4 - Accent 3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3">
    <w:name w:val="Grid Table 4 - Accent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Grid Table 4 - Accent 5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5">
    <w:name w:val="Grid Table 4 - Accent 6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6">
    <w:name w:val="Grid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5">
    <w:name w:val="List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6">
    <w:name w:val="List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7">
    <w:name w:val="List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8">
    <w:name w:val="List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9">
    <w:name w:val="List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0">
    <w:name w:val="List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3">
    <w:name w:val="List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4">
    <w:name w:val="List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List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6">
    <w:name w:val="List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List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8">
    <w:name w:val="List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9">
    <w:name w:val="List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 &amp; 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Bordered &amp; 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Bordered &amp; 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Bordered &amp; 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Bordered &amp; 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Bordered &amp; 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Bordered &amp; 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1">
    <w:name w:val="Bordered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2">
    <w:name w:val="Bordered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3">
    <w:name w:val="Bordered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4">
    <w:name w:val="Bordered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5">
    <w:name w:val="Bordered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6">
    <w:name w:val="Bordered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7">
    <w:name w:val="footnote text"/>
    <w:basedOn w:val="894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basedOn w:val="896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896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3"/>
    <w:basedOn w:val="894"/>
    <w:next w:val="894"/>
    <w:link w:val="899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Заголовок 3 Знак"/>
    <w:basedOn w:val="896"/>
    <w:link w:val="895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00">
    <w:name w:val="List Paragraph"/>
    <w:basedOn w:val="894"/>
    <w:link w:val="90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901">
    <w:name w:val="Body Text"/>
    <w:basedOn w:val="894"/>
    <w:link w:val="902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2" w:customStyle="1">
    <w:name w:val="Основной текст Знак"/>
    <w:basedOn w:val="896"/>
    <w:link w:val="901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4" w:customStyle="1">
    <w:name w:val="Абзац списка Знак"/>
    <w:link w:val="900"/>
    <w:uiPriority w:val="34"/>
    <w:rPr>
      <w:rFonts w:ascii="Calibri" w:hAnsi="Calibri" w:eastAsia="Calibri" w:cs="Times New Roman"/>
    </w:rPr>
  </w:style>
  <w:style w:type="paragraph" w:styleId="905">
    <w:name w:val="Header"/>
    <w:basedOn w:val="894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896"/>
    <w:link w:val="905"/>
    <w:uiPriority w:val="99"/>
  </w:style>
  <w:style w:type="paragraph" w:styleId="907">
    <w:name w:val="Footer"/>
    <w:basedOn w:val="894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896"/>
    <w:link w:val="907"/>
    <w:uiPriority w:val="99"/>
  </w:style>
  <w:style w:type="paragraph" w:styleId="90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10">
    <w:name w:val="Normal (Web)"/>
    <w:basedOn w:val="89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>
    <w:name w:val="Strong"/>
    <w:basedOn w:val="896"/>
    <w:qFormat/>
    <w:rPr>
      <w:b/>
      <w:bCs/>
    </w:rPr>
  </w:style>
  <w:style w:type="character" w:styleId="912">
    <w:name w:val="Hyperlink"/>
    <w:basedOn w:val="896"/>
    <w:uiPriority w:val="99"/>
    <w:semiHidden/>
    <w:unhideWhenUsed/>
    <w:rPr>
      <w:color w:val="0563c1"/>
      <w:u w:val="single"/>
    </w:rPr>
  </w:style>
  <w:style w:type="character" w:styleId="913">
    <w:name w:val="FollowedHyperlink"/>
    <w:basedOn w:val="896"/>
    <w:uiPriority w:val="99"/>
    <w:semiHidden/>
    <w:unhideWhenUsed/>
    <w:rPr>
      <w:color w:val="954f72"/>
      <w:u w:val="single"/>
    </w:rPr>
  </w:style>
  <w:style w:type="paragraph" w:styleId="914" w:customStyle="1">
    <w:name w:val="msonormal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 w:customStyle="1">
    <w:name w:val="xl6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xl66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xl6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xl6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xl6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0" w:customStyle="1">
    <w:name w:val="xl70"/>
    <w:basedOn w:val="894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xl7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2" w:customStyle="1">
    <w:name w:val="xl7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3" w:customStyle="1">
    <w:name w:val="xl7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4" w:customStyle="1">
    <w:name w:val="xl7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5" w:customStyle="1">
    <w:name w:val="xl75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76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 w:customStyle="1">
    <w:name w:val="xl7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 w:customStyle="1">
    <w:name w:val="xl7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 w:customStyle="1">
    <w:name w:val="xl7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30" w:customStyle="1">
    <w:name w:val="xl80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1" w:customStyle="1">
    <w:name w:val="xl8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2" w:customStyle="1">
    <w:name w:val="xl8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3" w:customStyle="1">
    <w:name w:val="xl8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4" w:customStyle="1">
    <w:name w:val="xl8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5" w:customStyle="1">
    <w:name w:val="xl8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6" w:customStyle="1">
    <w:name w:val="xl8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7" w:customStyle="1">
    <w:name w:val="xl8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8" w:customStyle="1">
    <w:name w:val="xl88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9" w:customStyle="1">
    <w:name w:val="xl8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 w:customStyle="1">
    <w:name w:val="xl90"/>
    <w:basedOn w:val="894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 w:customStyle="1">
    <w:name w:val="xl9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42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3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  <w:style w:type="paragraph" w:styleId="944">
    <w:name w:val="Основной текст с отступом 3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72</cp:revision>
  <dcterms:created xsi:type="dcterms:W3CDTF">2022-06-15T05:54:00Z</dcterms:created>
  <dcterms:modified xsi:type="dcterms:W3CDTF">2024-04-10T09:49:15Z</dcterms:modified>
</cp:coreProperties>
</file>