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tabs>
          <w:tab w:val="left" w:pos="709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5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/>
    </w:p>
    <w:p>
      <w:pPr>
        <w:pStyle w:val="888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88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/>
    </w:p>
    <w:p>
      <w:pPr>
        <w:pStyle w:val="888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88"/>
        <w:contextualSpacing/>
        <w:jc w:val="both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«21» марта 2024 г.                                                                               № 98-П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7"/>
          <w:szCs w:val="27"/>
        </w:rPr>
      </w:pPr>
      <w:r>
        <w:rPr>
          <w:rFonts w:ascii="Liberation Sans" w:hAnsi="Liberation Sans" w:cs="Liberation Sans"/>
          <w:b/>
          <w:sz w:val="27"/>
          <w:szCs w:val="27"/>
        </w:rPr>
        <w:t xml:space="preserve">О внесении изменений в муниципальную программу муниципальн</w:t>
      </w:r>
      <w:r>
        <w:rPr>
          <w:rFonts w:ascii="Liberation Sans" w:hAnsi="Liberation Sans" w:cs="Liberation Sans"/>
          <w:b/>
          <w:sz w:val="27"/>
          <w:szCs w:val="27"/>
        </w:rPr>
        <w:t xml:space="preserve">ого округа Красноселькупский район </w:t>
      </w:r>
      <w:r>
        <w:rPr>
          <w:sz w:val="27"/>
          <w:szCs w:val="27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b/>
          <w:sz w:val="27"/>
          <w:szCs w:val="27"/>
        </w:rPr>
        <w:t xml:space="preserve">Ямало-Ненецкого автономного округа</w:t>
      </w:r>
      <w:r>
        <w:rPr>
          <w:sz w:val="27"/>
          <w:szCs w:val="27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b/>
          <w:sz w:val="27"/>
          <w:szCs w:val="27"/>
        </w:rPr>
        <w:t xml:space="preserve">«Управление муниципальным имуществом» </w:t>
      </w:r>
      <w:r>
        <w:rPr>
          <w:sz w:val="27"/>
          <w:szCs w:val="27"/>
        </w:rPr>
      </w:r>
      <w:r/>
    </w:p>
    <w:p>
      <w:pPr>
        <w:pStyle w:val="886"/>
        <w:contextualSpacing/>
        <w:jc w:val="both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86"/>
        <w:contextualSpacing/>
        <w:jc w:val="both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96"/>
        <w:contextualSpacing/>
        <w:ind w:firstLine="720"/>
        <w:jc w:val="both"/>
        <w:spacing w:line="17" w:lineRule="atLeast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  <w:lang w:val="ru-RU"/>
        </w:rPr>
        <w:t xml:space="preserve">В соответствии с решением Думы Красноселькупского района от 26.12.2023 № 248 «О внесении изменений в решение Думы Красноселькупского района «О б</w:t>
      </w:r>
      <w:r>
        <w:rPr>
          <w:rFonts w:ascii="Liberation Sans" w:hAnsi="Liberation Sans" w:cs="Liberation Sans"/>
          <w:sz w:val="27"/>
          <w:szCs w:val="27"/>
          <w:lang w:val="ru-RU"/>
        </w:rPr>
        <w:t xml:space="preserve">юджете Красноселькупского района на 2023 год и на плановый период 2024 и 2025 годов»</w:t>
      </w:r>
      <w:r>
        <w:rPr>
          <w:rFonts w:ascii="Liberation Sans" w:hAnsi="Liberation Sans" w:eastAsia="Liberation Serif" w:cs="Liberation Sans"/>
          <w:color w:val="000000"/>
          <w:sz w:val="27"/>
          <w:szCs w:val="27"/>
          <w:lang w:val="ru-RU"/>
        </w:rPr>
        <w:t xml:space="preserve">, </w:t>
      </w:r>
      <w:r>
        <w:rPr>
          <w:rFonts w:ascii="Liberation Sans" w:hAnsi="Liberation Sans" w:cs="Liberation Sans"/>
          <w:sz w:val="27"/>
          <w:szCs w:val="27"/>
          <w:lang w:val="ru-RU"/>
        </w:rPr>
        <w:t xml:space="preserve">решением Думы Красноселькупского района от 19.12.2023 № 239 «О бюджете Красноселькупского района на 2024 год и на плановый период 2025 и 2026 годов», в соответствии с порядком разработки и реализации муниципальных программ муниципального округа Красносельк</w:t>
      </w:r>
      <w:r>
        <w:rPr>
          <w:rFonts w:ascii="Liberation Sans" w:hAnsi="Liberation Sans" w:cs="Liberation Sans"/>
          <w:sz w:val="27"/>
          <w:szCs w:val="27"/>
          <w:lang w:val="ru-RU"/>
        </w:rPr>
        <w:t xml:space="preserve">упский район Ямало-Ненецкого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</w:t>
      </w:r>
      <w:r>
        <w:rPr>
          <w:rFonts w:ascii="Liberation Sans" w:hAnsi="Liberation Sans" w:cs="Liberation Sans"/>
          <w:sz w:val="27"/>
          <w:szCs w:val="27"/>
          <w:lang w:val="ru-RU"/>
        </w:rPr>
        <w:t xml:space="preserve">я Красноселькупского района </w:t>
      </w:r>
      <w:r>
        <w:rPr>
          <w:rFonts w:ascii="Liberation Sans" w:hAnsi="Liberation Sans" w:cs="Liberation Sans"/>
          <w:b/>
          <w:sz w:val="27"/>
          <w:szCs w:val="27"/>
          <w:lang w:val="ru-RU"/>
        </w:rPr>
        <w:t xml:space="preserve">постановляет</w:t>
      </w:r>
      <w:r>
        <w:rPr>
          <w:rFonts w:ascii="Liberation Sans" w:hAnsi="Liberation Sans" w:cs="Liberation Sans"/>
          <w:sz w:val="27"/>
          <w:szCs w:val="27"/>
          <w:lang w:val="ru-RU"/>
        </w:rPr>
        <w:t xml:space="preserve">:</w:t>
      </w:r>
      <w:r>
        <w:rPr>
          <w:sz w:val="27"/>
          <w:szCs w:val="27"/>
        </w:rPr>
      </w:r>
      <w:r/>
    </w:p>
    <w:p>
      <w:pPr>
        <w:contextualSpacing/>
        <w:ind w:firstLine="720"/>
        <w:jc w:val="both"/>
        <w:spacing w:after="0" w:line="17" w:lineRule="atLeast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  <w:t xml:space="preserve">1. Утвердить прилагаемые изменения, которые вносятся в муниципальную </w:t>
      </w:r>
      <w:r>
        <w:rPr>
          <w:rFonts w:ascii="Liberation Sans" w:hAnsi="Liberation Sans" w:cs="Liberation Sans"/>
          <w:sz w:val="27"/>
          <w:szCs w:val="27"/>
        </w:rPr>
        <w:t xml:space="preserve">программу муниципального округа Красноселькупский район Ямало-Ненецкого автономного округа «Управление муниципальным имуществом», утвержденную по</w:t>
      </w:r>
      <w:r>
        <w:rPr>
          <w:rFonts w:ascii="Liberation Sans" w:hAnsi="Liberation Sans" w:cs="Liberation Sans"/>
          <w:sz w:val="27"/>
          <w:szCs w:val="27"/>
        </w:rPr>
        <w:t xml:space="preserve">становлением Администрации Красноселькупского района от 20.12.2021 № 92-П.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709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  <w:t xml:space="preserve">3. Настоящее постановление вступает в силу с момента его опубликования и в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части объемов финансового обеспечения на 2023 год распространяется на правоотношения, возникшие  с 29 декабря 2023 года, а в части объемов финансового обеспечения на 2024 год распространяется на правоотношения, возникшие с 01 января 2024 года</w:t>
      </w:r>
      <w:r>
        <w:rPr>
          <w:rFonts w:ascii="Liberation Sans" w:hAnsi="Liberation Sans" w:cs="Liberation Sans"/>
          <w:color w:val="000000"/>
          <w:sz w:val="27"/>
          <w:szCs w:val="27"/>
          <w:highlight w:val="white"/>
        </w:rPr>
        <w:t xml:space="preserve">.</w:t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ind w:left="360"/>
        <w:jc w:val="both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97"/>
        <w:contextualSpacing/>
        <w:spacing w:after="0" w:afterAutospacing="0" w:line="283" w:lineRule="atLeast"/>
        <w:rPr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Временно исполняющий полномочия</w:t>
      </w:r>
      <w:r>
        <w:rPr>
          <w:sz w:val="27"/>
          <w:szCs w:val="27"/>
        </w:rPr>
      </w:r>
      <w:r/>
    </w:p>
    <w:p>
      <w:pPr>
        <w:contextualSpacing/>
        <w:ind w:firstLine="0"/>
        <w:spacing w:after="0" w:afterAutospacing="0" w:line="283" w:lineRule="atLeast"/>
        <w:tabs>
          <w:tab w:val="left" w:pos="808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Главы Красноселькупского района </w:t>
      </w:r>
      <w:r>
        <w:rPr>
          <w:rFonts w:ascii="Liberation Sans" w:hAnsi="Liberation Sans" w:cs="Liberation Sans"/>
          <w:sz w:val="27"/>
          <w:szCs w:val="27"/>
          <w:highlight w:val="none"/>
        </w:rPr>
        <w:t xml:space="preserve">                                             Д.В. Леменков</w:t>
      </w:r>
      <w:r>
        <w:rPr>
          <w:sz w:val="27"/>
          <w:szCs w:val="27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/>
    </w:p>
    <w:p>
      <w:pPr>
        <w:ind w:left="4819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ind w:left="5669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81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 </w:t>
      </w:r>
      <w:r/>
    </w:p>
    <w:p>
      <w:pPr>
        <w:contextualSpacing/>
        <w:ind w:left="481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pStyle w:val="888"/>
        <w:contextualSpacing/>
        <w:ind w:left="0" w:right="0" w:firstLine="4819"/>
        <w:jc w:val="both"/>
        <w:spacing w:after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«21» марта 2024 г. № 98-П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ИЗМЕНЕНИЯ, </w:t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«Управление муниципальным и</w:t>
      </w:r>
      <w:r>
        <w:rPr>
          <w:rFonts w:ascii="Liberation Sans" w:hAnsi="Liberation Sans" w:cs="Liberation Sans"/>
          <w:sz w:val="28"/>
          <w:szCs w:val="28"/>
        </w:rPr>
        <w:t xml:space="preserve">муществом», утвержденную постановлением Администрации Красноселькупского района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20.12.2021 № 92-П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bCs/>
          <w:sz w:val="28"/>
          <w:szCs w:val="28"/>
        </w:rPr>
        <w:t xml:space="preserve">Паспорт муниципальной программы изложить в следующей редакции: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/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496"/>
        <w:gridCol w:w="384"/>
        <w:gridCol w:w="2926"/>
        <w:gridCol w:w="1955"/>
      </w:tblGrid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муниципальной программы муниципаль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 Администрация Красноселькупского района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 Управление жизнеобеспечения села Красноселькуп Администрации Красноселькупского района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 Администрация села Толька 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Обеспечение эффективного управления и распоряжения муниципальным имуществом и земельным фондом Красноселькупс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кого района.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Обеспечение финансовой устойчивости хозяйственных обществ с долей участия муниципального округа Красноселькупский район Ямало-Ненецкого автономного округа.</w:t>
            </w:r>
            <w:r/>
          </w:p>
        </w:tc>
      </w:tr>
      <w:tr>
        <w:trPr>
          <w:trHeight w:val="113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8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Направления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 Развитие земельной реформы на территории Красноселькупского района</w:t>
            </w:r>
            <w:r/>
          </w:p>
        </w:tc>
      </w:tr>
      <w:tr>
        <w:trPr>
          <w:trHeight w:val="111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48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 Обеспечение реализации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муниципальной программы</w:t>
            </w:r>
            <w:r/>
          </w:p>
        </w:tc>
      </w:tr>
      <w:tr>
        <w:trPr>
          <w:trHeight w:val="111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 Управление и распоряжение муниципальным имуществом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Срок реализации 2022-2035 гг. 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I этап реализации 2022-2025 гг.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этап реализации 2026-2030 гг.</w:t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Финансовое обеспечение муницип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альной программы (тыс. руб.)</w:t>
            </w:r>
            <w:r/>
          </w:p>
        </w:tc>
      </w:tr>
      <w:tr>
        <w:trPr>
          <w:trHeight w:val="5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859 001,265</w:t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342 179,000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9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516 822,265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785 652,265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342 179,000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443 473,265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-в том числе по годам: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375 864,117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253 785,000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122 079,117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241 883,148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88 394,000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153 489,148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94 556,000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94 556,000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2025 год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этап реализации 2026-2030 годы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73 349,00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-в том числе по годам: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2026 год</w:t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2027 год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1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2028 год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1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2029 год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1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2030 год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-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».</w:t>
      </w:r>
      <w:r/>
    </w:p>
    <w:p>
      <w:pPr>
        <w:jc w:val="right"/>
        <w:spacing w:after="160" w:line="259" w:lineRule="auto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84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2. Структуру муниципальной программы изложить в следующей редакции:</w:t>
      </w:r>
      <w:r/>
    </w:p>
    <w:p>
      <w:pPr>
        <w:pStyle w:val="884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/>
    </w:p>
    <w:p>
      <w:pPr>
        <w:contextualSpacing/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УТВЕРЖДЕНА</w:t>
      </w:r>
      <w:r/>
    </w:p>
    <w:p>
      <w:pPr>
        <w:contextualSpacing/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/>
    </w:p>
    <w:p>
      <w:pPr>
        <w:contextualSpacing/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/>
    </w:p>
    <w:p>
      <w:pPr>
        <w:pStyle w:val="884"/>
        <w:ind w:left="9638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от «__» _______ 2024 года № 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СТРУКТУРА</w:t>
      </w:r>
      <w:r/>
    </w:p>
    <w:p>
      <w:pPr>
        <w:pStyle w:val="89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/>
    </w:p>
    <w:p>
      <w:pPr>
        <w:pStyle w:val="89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Управление муниципальным имуществом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417"/>
        <w:gridCol w:w="1276"/>
        <w:gridCol w:w="1276"/>
        <w:gridCol w:w="1276"/>
        <w:gridCol w:w="1417"/>
        <w:gridCol w:w="1417"/>
        <w:gridCol w:w="1417"/>
      </w:tblGrid>
      <w:tr>
        <w:trPr>
          <w:trHeight w:val="1259"/>
          <w:tblHeader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Наименование структурного элемента муниципальной программы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 Ямало-Ненецкого автономного округа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2025 год 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Всего за I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 этап/ единицы измерения показателя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spacing w:line="17" w:lineRule="atLeast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2026 год</w:t>
            </w:r>
            <w:r/>
          </w:p>
        </w:tc>
      </w:tr>
      <w:tr>
        <w:trPr>
          <w:trHeight w:val="158"/>
          <w:tblHeader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</w:t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Цель муниципальной программы №1: «Обеспечение эффективного управления и распоряжения муниципальным имуществом 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и земельным фондом Красноселькупского района»</w:t>
            </w:r>
            <w:r/>
          </w:p>
        </w:tc>
      </w:tr>
      <w:tr>
        <w:trPr>
          <w:trHeight w:val="6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муниципальной программы №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1.  Доля поступивших доходов от использования и распоряжения муниципального 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Цель муниципальной программы №2: «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Обеспечение финансовой устойчивости хозяйственных обществ с долей участия муниципального округа Красноселькупский район Ямало-Ненецкого автономного округа»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муниципальной программы №2.  Доля поступивших доходов от использования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и распоряжения муниципального имущества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 w:themeFill="background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9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93" w:right="-112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instrText xml:space="preserve"> LINK Excel.Sheet.12 "\\\\192.168.0.21\\obmen\\files obmen\\3_1 Ксения\\Проект\\5 Программа.xlsx" Структура!R11C3 \a \f 5 \h  \* MERGEFORMAT </w:instrTex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fldChar w:fldCharType="separate"/>
            </w:r>
            <w:r/>
          </w:p>
          <w:p>
            <w:pPr>
              <w:ind w:left="-93" w:right="-112"/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785 652,265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375 864,117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241 883,148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94 556,000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73 349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342 179,000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253 785,000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88 394,000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443 473,265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122 079,117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153 489,148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94 556,000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73 349,000</w:t>
            </w:r>
            <w:r/>
          </w:p>
        </w:tc>
      </w:tr>
      <w:tr>
        <w:trPr>
          <w:trHeight w:val="3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5.2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1.1 «Количество карт (планов) границ»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показателя 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1.2 «Количество земельных участков, прошедших государственный кадастровый учет»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№1.3 «Количество цифровых топографических планов и координат пунктов ОМС»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«Организация и проведение работ в отношении земельного фонда муниципального округа» всего тыс. руб.,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7 117,954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1091,952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632,002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2697,000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2 697,000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2 697,000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2 697,000</w:t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7 117,954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1091,952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632,002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2697,000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2 697,00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2 697,0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2 697,00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2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6.2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 2.1 «Доля обращений граждан в Управление муниципальным имуществом, рассмотренных в установленные законодательством муниципального округа сроки, от общего количества обращений в Управление муниципальным имуществом»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«Руководство в сфере установленных функций органов местного самоуправления» всего тыс. руб.,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238 522,632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54 309,324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71 046,000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</w:tr>
      <w:tr>
        <w:trPr>
          <w:trHeight w:val="4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238 522,632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54 309,324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71 046,000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</w:tr>
      <w:tr>
        <w:trPr>
          <w:trHeight w:val="2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направления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7.2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3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3.1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3.2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в т.ч. земельные участки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3.3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Доля объектов, прошедших оценку рыночной стоимости к заявленным объектам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 3.4 Количество приобретенных комплектов (мобильных) инвентарных зданий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мини спортивных комплексов и лыжных баз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7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«Эффективное управление и распоряжение муниципальным имуществом» 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всего тыс. руб.,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509 623,579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320 462,841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147 553,738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20 813,000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20 794,000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20 794,000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20 794,000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342 179,000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253 785,000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88 394,000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167 444,579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66 677,841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59 159,738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20 813,000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20 794,000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20 794,000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20 794,000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№4.1 Коэффициент снижения уровня кредиторской задолженности хозяйственных обществ с долей участия муниципального округа Красноселькупский район Ямало-Ненецкого автономного округа к предыдущему отчетному периоду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«Снижение кредиторской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задолженности, эффективное использование муниципального имущества, снижение убытков от осуществления деятельности хозяйственных обществ с долей участия муниципального округа Красноселькупский район Я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мало-Ненецкого автономного округа» всего тыс. руб.,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           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».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/>
    </w:p>
    <w:p>
      <w:pPr>
        <w:ind w:firstLine="0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3. </w:t>
      </w:r>
      <w:r>
        <w:rPr>
          <w:rFonts w:ascii="Liberation Sans" w:hAnsi="Liberation Sans" w:cs="Liberation Sans"/>
          <w:sz w:val="28"/>
          <w:szCs w:val="28"/>
        </w:rPr>
        <w:t xml:space="preserve">Приложение № 1 к муниципальной программе изложить в следующей редакции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:</w:t>
      </w:r>
      <w:r/>
    </w:p>
    <w:p>
      <w:pPr>
        <w:ind w:left="9923"/>
        <w:keepLines/>
        <w:keepNext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/>
    </w:p>
    <w:p>
      <w:pPr>
        <w:ind w:left="9638"/>
        <w:keepLines/>
        <w:keepNext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«Приложение № 1.</w:t>
      </w:r>
      <w:r/>
    </w:p>
    <w:p>
      <w:pPr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</w:t>
      </w:r>
      <w:r/>
    </w:p>
    <w:p>
      <w:pPr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«Управление муниципальным имуществом»</w:t>
      </w:r>
      <w:r/>
    </w:p>
    <w:p>
      <w:pPr>
        <w:ind w:left="978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ХАРАКТЕРИСТИКА МЕР</w:t>
      </w:r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ОПРИЯТИЙ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 муниципальной программы муниципального округа Красноселькупский район Ямало-Ненецкого автономного округа «Управление муниципальным имуществом»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4679"/>
        <w:gridCol w:w="4252"/>
        <w:gridCol w:w="4534"/>
      </w:tblGrid>
      <w:tr>
        <w:trPr>
          <w:trHeight w:val="1858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N п/п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Наименование комплекса процессных мероприятий, регионального проекта </w:t>
            </w: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( проекта</w:t>
            </w: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 Ямал</w:t>
            </w: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а</w:t>
            </w: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, проекта Красноселькупского района), ответственного исполнителя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Результат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4</w:t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Комплекс процессных мероприятий «Организация и проведение работ в отношении земельного фонда муниципального округа»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Мероприятие 1.1. Выполнение работ по координатному описанию с подготовкой карт (планов) границ населенных пунктов, мероприятия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 определен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ию территориальных зон и зон с особыми условиями использования, выполнение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работ  по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координатному описанию с подготовкой карт (планов) границ территориальных зон и зон с особыми условиями использования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полученных карт (планов) границ в 2022 год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 - 1 шт.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планируется.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1.2. Выполнение кадастровых работ и постановка на государ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ственный кадастровый учет земельных участков земель населенных пунктов района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 в 2022 году - 70 шт.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Планируемое количество земельных участков, прошедших государственный кадастровый учет в 2023 году- 50 шт.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1.3. Выполнение работ по трансформированию цифровых топографических планов,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ортофотопланов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с. Толька, с. Красноселькуп, с.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, с. Ки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ккиакки и координат пунктов ОМС в систему координат ведения государственного кадастрового учета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цифровых топографических планов и координат пунктов ОМС в 2022 году- 64 шт.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/>
          </w:p>
        </w:tc>
      </w:tr>
      <w:tr>
        <w:trPr>
          <w:trHeight w:val="96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Комплекс процессных мероприятий «Руководство в сфере установленных функций органов местного самоуправления»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2.1. Обеспечение деятельности 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рганов местного самоуправления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произведена оплата услуг связи, выплата заработной платы, прочих денежных выплат персоналу.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планируется: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 Повышение эффективности правового обеспечения юридически значимых действий, совершенных от и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мени ответственного исполнителя муниципальной программы, а также реализации обязательств, принятых ответственным исполнителем муниципальной программы в соответствии с заключенными договорами.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 Обеспечение высокого профессионального уровня юридической защ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иты интересов ответственного исполнителя муниципальной программы при рассмотрении споров в судебных и иных органах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2.2. Обеспечение деятельности органов местного самоуправления (иные выплаты)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Комплекс процессных мероприятий «Эффективное управление и распоряжение муниципальным имуществом»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 «Содержание и обслуживание казны» Со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держание движимого и недвижимого имущества, изготовление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проектно-сметной документации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на: обязательное страхование гражданской ответственности владельцев транспортных средств,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электроснабжение, оказание услуг по обращению с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твердыми коммунальными отходами, услуги по горячему водоснабжению, услуги по теплоснабжению, услуги по холодному водоснабжению, теплоснабжение, оказание услуг по уборке снега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 «Государственная регистрация, паспортизация объектов муниципальной собственности»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на:  оказание услуг по определению рыночной стоимости муниципального имущества, оказание услуг по определению рыночной стоимос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ти муниципального имущества и арендной платы за пользование муниципальным имуществом, оказание услуг по технической инвентаризации, оказание услуг по изготовлению технических планов и технических паспортов, оказание услуг по изготовлению актов обследования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и отчетов по техническому обследованию, оказание услуг по определению арендной платы за пользование муниципальным имуществом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3.3 «Содержание и обслуживание казны» Оплата транспортного налога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оплате транспортного налога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3.4 «Содержание и обслуживание казны» Приобретение квартир и индивидуальных жилых домов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 приобретено две квартиры 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3.5 «Содержание и обслуживание казны» Текущий ремонт недвижимого имущества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мероприятия по замене двери склада УМИ, выполнены работы по ремонту недвижимого имущества, проведены работы по текущему ремонту квартир, проведены работы по текущему ремонту ограждения промзоны КРСУ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3.7 «Содержание и об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служивание казны» Уборка специализированного жилищного фонда во временно пустующих квартирах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мероприятия по оказанию услуг по уборке жилых помещений во временно пустующих квартирах жилищного фонда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3.8 «Содержание и обслуживание казны» Взносы на капитальный ремонт общего имущества в МКД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произведена оплата взносов на капитальный ремонт общего имущества в МКД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3.9 «Содержание 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обслуживание казны» Приобретение тран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спортных средств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поставку внедорожного транспортного средства, поставку снегоходной техники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3.10 «Содержание и обслуживание казны» Приобретение ТМЦ для муниципального жилищного фонда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 поставку бытовой техники для нужд муниципального округа Красноселькупский район, поставку мягкого и хозяйственного инв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ентаря для нужд муниципального округа Красноселькупский район, поставку корпусной мебели для нужд муниципального округа Красноселькупский район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3.11 «Содержание и обслуживание казны» Охрана объектов муниципальной собственности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полнено мероприятие по наблюдению за недвижимым имуществом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3.12 «Содержание и обслуживание казны» Проведение ремонта судов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проведение ремонта судов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3.13 «Содержание и обслуживание казны» Снос здания «Лабораторный комплекс» по адресу с. Толька, ул. Комсомольская, д.1, строение 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сносу здания «Лабораторный комплекс» по адресу с. Толька, ул. Комсомольская,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д.1, строение 1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3.14 «Содержание и обслуживание казны» Снос здания «Гараж для снегоходов» по адресу с. Красноселькуп, промышленная зона МУП Совхоз «Полярный»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сносу здания «Гараж для снегоходов» по адресу с. Красноселькуп, п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ромышленная зона МУП Совхоз «Полярный»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3.15 «Содержание и обслуживание казны» Очистка территории базы УМИ по адресу с. Красноселькуп, ул. Набережная, д.24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очистке территории базы УМИ по адресу с. Красноселькуп, ул. Набережная, д.24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3.16 «Содержание и обслуживание казны» Поставка и монтаж модульного здания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завершены поставка и монтаж модульного здания (с оборудованием для переработки молока, объект передан в безвозмездное пользование ООО Агрофирма «Приполярная»)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запланированы поставка и монтаж здания по проекту борцовского зала «Север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ный характер»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3.17 «Содержание и обслуживание казны» Устройство ограждения на территории МТФ 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свинарника с.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устройству ограждения на территории МТФ и свинарника с.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Толька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3.18 «Содержание и обслуживание казны» Оснащение объекта муниципальной собственности «Гостиница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Приполярье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» с. Красноселькуп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проведены работы по установке охра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нного видеонаблюдения, монтажу электроосвещения, по монтажу оповещения о пожаре, установке вывода сигналов на ПЦН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3.19 «Содержание и обслуживание казны» Снос (демонтаж) объ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ектов недвижимости, расположенных на территории детского дома «Родничок»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выполнены работы по сносу объектов недвижимости,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расположенных на территории Детского дома "Родничок", уборке территории Детский дом "Родничок" в с. Красноселькуп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3.20 «Содержание и обслуживание казны» Изъятие объекта не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движимости для муниципальных нужд (возмещение)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изъятие объекта недвижимости для возмещения</w:t>
            </w:r>
            <w:r/>
          </w:p>
        </w:tc>
      </w:tr>
      <w:tr>
        <w:trPr>
          <w:trHeight w:val="12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3.21 «Содержание и обслуживание казны» Разработка проектов организации работ по сносу объектов муниципальной собственности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разработка проекта по сносу объектов муниципальной собственности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3.22 «Содержание и обслуживание казны» Приобретение оборудования для общественного кафе с.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выполнена поставка профессиональной кофема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шины и оборудования для кафе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3.23 «Содержание 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обслуживание казны» Объект незавершенного строительства по адресу: Ямало-Ненецкий автономный округ, Красноселькупский район, с.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Приобретение объекта незавершенного строительства по адресу: Ямало-Ненецкий автономный округ, Красноселькупский район, с.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Толька.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3.24 «Содержание и обслуживание казны» Снос объектов муниципальной собственности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сносу объектов муниципальной собственности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3.25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«Содержание и обслуживание казны» Снос индивидуального жилого дома по адресу: ЯНАО, Красноселькупский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район, с. Красноселькуп, ул. Молодежная, д.11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сносу индивидуального жилого дома по адресу: ЯНАО, Красносельку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пский район, с.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Красноселькуп, ул. Молодежная, д.11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left w:val="single" w:color="auto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3.26 «Содержание и обслуживание казны» Устройство ограждения промышленной зоны на ул. Нагорная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устройству ограждения промышленной зоны на ул. Нагорная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left w:val="single" w:color="auto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46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3.27. «Содержание и обслуживание казны» Оплата НДС от приватизации муниципального имущества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выполнена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оплата НДС от приватизации муниципального имущества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left w:val="single" w:color="auto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auto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3.28. «Содержание и обслуживание казны» Приобретение ленточной пилорамы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приобретение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ленточной пилорамы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left w:val="single" w:color="auto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auto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3.29. Погашение задолженности по оплате коммунальных ресурсов, поставленных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в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 незаселенные жилые помещения муниципального жилищного фонда, со сроком образования до 01 января 2023 года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исполнение мероприятия по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погашению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 задолженности по оплате коммунальных ресурсов, поставленных в незаселенные жилые помещения муниципального жилищного фонда, со сроком образования до 01 января 2023 года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3.30. Работы по подключению (технологическому присоединению) к системам холодного водоснабжения 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теплоснабжения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подключению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(технологическому присоединению) к системам холодного водоснабжения 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тепло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снабжения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Комплекс процессных мероприятий 4 «Снижение кредиторской задолженности, эффективное использование муниципального имущества, снижение убытков от осуществления деятельности хозяйственных обществ с долей участия муниципального округа Красносельк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упский район Ямало-Ненецкого автономного округа»</w:t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4.1. Предоставление субсидии на финансовое обеспечение затрат в рамках мер по предупрежден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ию банкротства и восстановлению платёжеспособности хозяйственных обществ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предоставлена субсидия на финансовое обеспечение затрат в рамках мер по предупреждению банкротства и восстановлению платёжеспособности хозяйственных обществ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».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 Приложение № 1.1. к муниципальной программе изложить в с</w:t>
      </w:r>
      <w:r>
        <w:rPr>
          <w:rFonts w:ascii="Liberation Sans" w:hAnsi="Liberation Sans" w:cs="Liberation Sans"/>
          <w:sz w:val="28"/>
          <w:szCs w:val="28"/>
        </w:rPr>
        <w:t xml:space="preserve">ледующей редакции: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52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«Приложение № 1.1. к муниципальной программе муниципального округа Красноселькупский район Ямало-Ненецкого автономного округа </w:t>
      </w:r>
      <w:r/>
    </w:p>
    <w:p>
      <w:pPr>
        <w:ind w:left="552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"Управление муниципальным имуществом"</w:t>
      </w:r>
      <w:r/>
    </w:p>
    <w:p>
      <w:pPr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5"/>
        <w:gridCol w:w="1567"/>
        <w:gridCol w:w="3998"/>
      </w:tblGrid>
      <w:tr>
        <w:trPr>
          <w:trHeight w:val="315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МЕТОДИКА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 расчету показателей муниципальной программы</w:t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4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7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Доля поступивших доходов от использования муниципального имущества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отношение фактической суммы поступивших неналоговых доходов от использования муниципального имущества к плановому значению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Д% =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Дф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/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Дп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*100%,</w:t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доходы от эффективного управления и распоряжения муниципальным имуществом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Д%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фактическая сумма доходов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ф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плановая сумма доходов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п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Сведения об исполнении бюджета (ф. 0503164)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54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Количество  карт</w:t>
            </w: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 (планов) границ</w:t>
            </w:r>
            <w:r/>
          </w:p>
        </w:tc>
      </w:tr>
      <w:tr>
        <w:trPr>
          <w:trHeight w:val="142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шт.</w:t>
            </w:r>
            <w:r/>
          </w:p>
        </w:tc>
      </w:tr>
      <w:tr>
        <w:trPr>
          <w:trHeight w:val="5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Сумма количества полученных карт (планов) границ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ans"/>
                <w:i/>
                <w:iCs/>
                <w:sz w:val="24"/>
                <w:szCs w:val="24"/>
              </w:rPr>
              <w:t xml:space="preserve">К(п)</w:t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5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 карт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(планов) границ населенных пунктов, территориальных зон и зон с особыми условиями использования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К(п)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выполнение работ, запланированных в текущем году. Выполнение работ не в полном объеме является отрицатель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ной динамикой.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Аналитическая информация УМИ 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Количество земельных участков, прошедших государственный кадастровый учет </w:t>
            </w:r>
            <w:r/>
          </w:p>
        </w:tc>
      </w:tr>
      <w:tr>
        <w:trPr>
          <w:trHeight w:val="11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шт.</w:t>
            </w:r>
            <w:r/>
          </w:p>
        </w:tc>
      </w:tr>
      <w:tr>
        <w:trPr>
          <w:trHeight w:val="6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Сумма количества земельных участков, прошедших государственный кадастровый учет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ans"/>
                <w:i/>
                <w:iCs/>
                <w:sz w:val="24"/>
                <w:szCs w:val="24"/>
              </w:rPr>
              <w:t xml:space="preserve">ЗУку</w:t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69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земельных участков, прошедших государственный кадастровый учет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ЗУку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выполнение работ, запланированных в текущем году. Выполнение работ не в полном об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ъеме является отрицательной динамикой.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Аналитическая информация УМИ </w:t>
            </w:r>
            <w:r/>
          </w:p>
        </w:tc>
      </w:tr>
      <w:tr>
        <w:trPr>
          <w:trHeight w:val="444"/>
        </w:trPr>
        <w:tc>
          <w:tcPr>
            <w:shd w:val="clear" w:color="ffffff" w:fill="ffffff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non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FFFFFF" w:themeColor="background1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Количество цифровых топографических планов и координат пунктов ОМС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шт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Сумма количества цифровых топографических планов и координат пунктов ОМС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ans"/>
                <w:i/>
                <w:iCs/>
                <w:sz w:val="24"/>
                <w:szCs w:val="24"/>
              </w:rPr>
              <w:t xml:space="preserve">ТПкп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земельных участков, прошедших государственный кадастровый учет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ТПкп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выполнение работ, запланированных в текущем году. Выполнение работ не в полном объеме является отрицательной динамикой.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Аналитическая информация УМИ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16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Доля обращений граждан в Управление муниципальным имуществом, рассмотренных в </w:t>
            </w: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установленные  законодательством</w:t>
            </w: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 муниципального образования сроки, от общего количества обращений в Управление муниципальным имуществом</w:t>
            </w:r>
            <w:r/>
          </w:p>
        </w:tc>
      </w:tr>
      <w:tr>
        <w:trPr>
          <w:trHeight w:val="113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Отношение количества обращений граждан, рассмотренных в установленные законодательством сроки, к общему числу обращений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6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Дог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=  Ко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/ОЧ * 100 </w:t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Общее число обращений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Оч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Выполнение планового значения показателя является - положительной динамикой, невыполнение- отрицательной.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обращений граждан, рассмотренных в установленные законодательством муниципального образования сроки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Показатель определяется на основании данных Управления (журнал обращения граждан)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 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отношение количества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принятого к учету в реестре муниципальной собственности муниципального образования муниципального имущества муниципального образования, к заявленному к учету в реестре муниципальной собственности муниципального образования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Уи% =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Кп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/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Кз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*100%</w:t>
            </w:r>
            <w:r/>
          </w:p>
        </w:tc>
      </w:tr>
      <w:tr>
        <w:trPr>
          <w:trHeight w:val="83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0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и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%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ние - отрицательной.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заявленного к учету в реестре муниципального собственности района муниципального имущества района в текущем году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з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8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муниципального имущества района принятого к учету в реестре муниципального собственности района в текущем году.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п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Показатель определяется на основании сведений о вновь приобретенном имуществе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в  муниципальную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собственность муниципального образования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в т.ч. земельные участки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отношение рассмотренных заявлений к количеству направленных заявлений для регистрации права собственности района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ОН% =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ОНп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/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ОНс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*100%,</w:t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3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составляющие казну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ОН%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объектов недвижимого имущества, прошедших государственную регистрацию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ОН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п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10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количество объектов недвижимого имущества, подлежащих государственной регистрации, по которым получен сформированный (полный) пакет документов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ОН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Показатель определяется на основании свидетельств о гос. регистрации права 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9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7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Доля объектов</w:t>
            </w: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 прошедших оценку рыночной стоимости к заявленным объектам</w:t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отношение фактической суммы поступивших неналоговых доходов от использования и распоряжения муниципального имущества к плановому значению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Д% =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Дп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/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Дз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*100%,</w:t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Доля объектов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прошедших оценку рыночной стоимости арендной платы к заявленным объектам.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Д%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или перевыполнение плана. 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Невыполнение - отрицательной.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Объекты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прошедшие оценку рыночной стоимости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п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Заявленные объекты для прохождения оценки рыночной стоимости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ans"/>
                <w:sz w:val="24"/>
                <w:szCs w:val="24"/>
                <w:vertAlign w:val="subscript"/>
              </w:rPr>
              <w:t xml:space="preserve">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Показатель определяется на основании данных Управления 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Количество приобретенных комплектов (мобильных) инвентарных зданий мини спортивных комплексов и лыжных баз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Ед.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Сумма количества приобретенных комплектов (мобильных) инвентарных зданий мини спортивных комплексов и лыжных баз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ans"/>
                <w:i/>
                <w:iCs/>
                <w:sz w:val="24"/>
                <w:szCs w:val="24"/>
              </w:rPr>
              <w:t xml:space="preserve">Киз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Доля объектов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 прошедших оценку рыночной стоимости арендной платы к заявленным объектам.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Киз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Показатель опр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еделяется на основании данных Управления 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Liberation Sans"/>
          <w:sz w:val="24"/>
          <w:szCs w:val="24"/>
        </w:rPr>
      </w:pPr>
      <w:r>
        <w:rPr>
          <w:rFonts w:ascii="Liberation Serif" w:hAnsi="Liberation Serif" w:cs="Liberation Sans"/>
          <w:sz w:val="24"/>
          <w:szCs w:val="24"/>
        </w:rPr>
      </w:r>
      <w:r/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5"/>
        <w:gridCol w:w="1567"/>
        <w:gridCol w:w="3998"/>
      </w:tblGrid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b/>
                <w:bCs/>
                <w:sz w:val="24"/>
                <w:szCs w:val="24"/>
              </w:rPr>
              <w:t xml:space="preserve">Субсидии на финансовое обеспечение затрат в рамках мер по предупреждению банкротства и восстановлению платёжеспособности хозяйственных обществ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новлен указанный показатель*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Ед.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Сумма субсидии на финансовое обеспечение затрат в рамках мер по предупреждению банкротства и восстановлению платёжеспособности хозяйственных обществ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ans"/>
                <w:i/>
                <w:iCs/>
                <w:sz w:val="24"/>
                <w:szCs w:val="24"/>
              </w:rPr>
              <w:t xml:space="preserve">Сфоз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субсидии на финансовое обеспечение затрат в рамках мер по предупреждению банкротства и восстановлению платёжеспособности хозяйственных обществ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Сфоз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9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Ис</w:t>
            </w: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ans"/>
                <w:sz w:val="24"/>
                <w:szCs w:val="24"/>
              </w:rPr>
            </w:pPr>
            <w:r>
              <w:rPr>
                <w:rFonts w:ascii="Liberation Serif" w:hAnsi="Liberation Serif" w:cs="Liberation Sans"/>
                <w:sz w:val="24"/>
                <w:szCs w:val="24"/>
              </w:rPr>
              <w:t xml:space="preserve">Показатель определяется на основании данных Управления 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820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</w:rPr>
        <w:t xml:space="preserve">.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Приложение № 2.1. к муниципальной программе изложить в следующей редакции:</w:t>
      </w:r>
      <w:r/>
    </w:p>
    <w:p>
      <w:pPr>
        <w:pStyle w:val="884"/>
        <w:ind w:firstLine="7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638"/>
        <w:keepLines/>
        <w:keepNext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«Приложение № 2.1.</w:t>
      </w:r>
      <w:r/>
    </w:p>
    <w:p>
      <w:pPr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</w:t>
      </w:r>
      <w:r/>
    </w:p>
    <w:p>
      <w:pPr>
        <w:ind w:left="9638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«Управление муниципальным имуществом»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/>
      <w:bookmarkStart w:id="1" w:name="_Hlk160542484"/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ДЕТАЛИЗИРОВАНН</w:t>
      </w:r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ЫЙ ПЕРЕЧЕНЬ</w:t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мероприятий муниципальной программы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 «Управление муниципальным имуществом»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2023 год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tbl>
      <w:tblPr>
        <w:tblW w:w="141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5319"/>
        <w:gridCol w:w="2335"/>
        <w:gridCol w:w="3402"/>
        <w:gridCol w:w="2268"/>
      </w:tblGrid>
      <w:tr>
        <w:trPr>
          <w:trHeight w:val="1858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Красноселькупского района), мероприятия,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Объем финансирования (тыс. ру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5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Ненецкого автономного округа «Управление муниципальным имуществом»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241 883,148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88 394,000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153 489,148</w:t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199 175,927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16 000,192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10 699,506</w:t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7 997,498</w:t>
            </w:r>
            <w:r/>
          </w:p>
        </w:tc>
      </w:tr>
      <w:tr>
        <w:trPr>
          <w:trHeight w:val="5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8 010,025</w:t>
            </w:r>
            <w:r/>
          </w:p>
        </w:tc>
      </w:tr>
      <w:tr>
        <w:trPr>
          <w:trHeight w:val="7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632,002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632,002</w:t>
            </w:r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592,002</w:t>
            </w:r>
            <w:r/>
          </w:p>
        </w:tc>
      </w:tr>
      <w:tr>
        <w:trPr>
          <w:trHeight w:val="76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69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 «Организация и проведение работ в отношении земельного фонда муниципального округа» - всего,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632,002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632,002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592,002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1.2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632,002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9660530162400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592,002</w:t>
            </w:r>
            <w:r/>
          </w:p>
        </w:tc>
      </w:tr>
      <w:tr>
        <w:trPr>
          <w:trHeight w:val="2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592,002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9020530162400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9030530162400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/>
          </w:p>
        </w:tc>
      </w:tr>
      <w:tr>
        <w:trPr>
          <w:trHeight w:val="9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63 309,308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/>
          </w:p>
        </w:tc>
      </w:tr>
      <w:tr>
        <w:trPr>
          <w:trHeight w:val="7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63 309,308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/>
          </w:p>
        </w:tc>
      </w:tr>
      <w:tr>
        <w:trPr>
          <w:trHeight w:val="9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/>
          </w:p>
        </w:tc>
      </w:tr>
      <w:tr>
        <w:trPr>
          <w:trHeight w:val="7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47 680,976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47 680,976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47 680,976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2.2. Обеспечение деятельности органов местного самоуправления (иные выплаты)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15 628,332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9660530211040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15 628,332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15 628,332</w:t>
            </w:r>
            <w:r/>
          </w:p>
        </w:tc>
      </w:tr>
      <w:tr>
        <w:trPr>
          <w:trHeight w:val="8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147 553,73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88 394,000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59 159,73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104 886,517</w:t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16 000,192</w:t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10 699,50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7 977,498</w:t>
            </w:r>
            <w:r/>
          </w:p>
        </w:tc>
      </w:tr>
      <w:tr>
        <w:trPr>
          <w:trHeight w:val="3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7 990,025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«Эффективное управление и распоряжение муниципальным имуществом»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147 553,738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88 394,000</w:t>
            </w:r>
            <w:r/>
          </w:p>
        </w:tc>
      </w:tr>
      <w:tr>
        <w:trPr>
          <w:trHeight w:val="1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59 159,738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104 886,517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16 000,192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10 699,506</w:t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7 977,498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7 990,025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3.1. «Содержание и обслуживание казны» Содержание движимого и недвижимого имущества, изготовление проектно-сметной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документации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17 125,207</w:t>
            </w:r>
            <w:r/>
          </w:p>
        </w:tc>
      </w:tr>
      <w:tr>
        <w:trPr>
          <w:trHeight w:val="7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10 111,423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10 111,423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9010530380030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1 585,906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1 585,906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2 305,125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2 305,124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1 330,346</w:t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1 330,346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1 792,407</w:t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1 792,407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3.2. «Государственная регистрация, паспортизация объектов муниципальной собственности»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2 476,186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1 252,186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1 252,186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1 078,000</w:t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1 078,000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146,000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3.3. «Содержание и обслуживание казны» Оплата транспортного налога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1 877,214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1 866,891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1 866,891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10,323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10,323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3.4. «Содержание и обслуживание казны» Приобретение квартир и индивидуальных жилых домов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9 169,888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3 177,200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3 177,200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5 992,688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5 992,688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3.5. «Содержание и обслуживание казны» Текущий ремонт недвижимого имущества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10 004,161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2 118,392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2 118,392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4 715,818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4 715,818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3 169,951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3 169,951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3.7. «Содержание и обслуживание казны» Уборка специализированного жилищного фонда во временно пустующих квартирах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888,000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3.8. «Содержание и обслуживание казны» Взносы на капитальный ремонт общего имущества в МКД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701,853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346,000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346,000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212,176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212,176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143,677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143,677</w:t>
            </w:r>
            <w:r/>
          </w:p>
        </w:tc>
      </w:tr>
      <w:tr>
        <w:trPr>
          <w:trHeight w:val="58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3.10. «Содержание и обслуживание казны» Приобретение ТМЦ для муниципального жилищного фонда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160,000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160,000</w:t>
            </w:r>
            <w:r/>
          </w:p>
        </w:tc>
      </w:tr>
      <w:tr>
        <w:trPr>
          <w:trHeight w:val="9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3.11. «Содержание и обслуживание казны» Охрана объектов муниципальной собственности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3 360,000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3 360,000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3 360,000</w:t>
            </w:r>
            <w:r/>
          </w:p>
        </w:tc>
      </w:tr>
      <w:tr>
        <w:trPr>
          <w:trHeight w:val="6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3.12. «Содержание и обслуживание казны» Проведение ремонта судов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2 806,500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9660530380030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2 806,500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2 806,500</w:t>
            </w:r>
            <w:r/>
          </w:p>
        </w:tc>
      </w:tr>
      <w:tr>
        <w:trPr>
          <w:trHeight w:val="6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3.16. «Содержание и обслуживание казны» Поставка и монтаж модульного здания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75 019,000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75 019,000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9660530371680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74 268,000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96605303S1680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751,000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3.20. «Содержание и обслуживание казны» Изъятие объекта недвижимости для муниципальных нужд 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(возмещение)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2 230,000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исполнитель:Управление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по обеспечению жизнедеятельности села Красноселькуп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2 230,000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87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2 230,000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3.24. «Содержание и обслуживание казны» Снос объектов муниципальной собственности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3 398,879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3 035,561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3 035,561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обеспечению жизнедеятельности села Красноселькуп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158,388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158,388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204,930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204,930</w:t>
            </w:r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3.25. «Содержание и обслуживание казны» Снос индивидуального жилого дома по адресу: ЯНАО, Красноселькупский район, с. Красноселькуп, ул. Молодежная, д. 11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169,999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169,999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169,999</w:t>
            </w:r>
            <w:r/>
          </w:p>
        </w:tc>
      </w:tr>
      <w:tr>
        <w:trPr>
          <w:trHeight w:val="888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4.144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3.26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. «Содержание и обслуживание казны» Устройство ограждения промышленной зоны на ул. Нагорная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1 153,067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1 153,067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4.146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4.147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4.148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1 153,067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3.27. «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Содержание и обслуживание казны» Оплата НДС от приватизации муниципального имущества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305,405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305,405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305,405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3.28.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«Содержание и обслуживание казны» Приобретение ленточной пилорамы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670,000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670,000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670,000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3.29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. Погашение задолженности по оплате коммунальных ресурсов, поставленных на незаселенные жилые помещения муниципального жилищного фонда, со сроком образования до 01 января 2023 года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14 414,286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14 414,286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901050371600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14 126,000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9010503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288,286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3.30.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Работы по подключению (технологическому присоединению) к системам холодного водоснабжения и теплоснабжения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1 624,093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1 624,093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1 624,093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Снижение кредиторской задолженности, эффективное использование муниципального имущества, снижение убытков от осуществления деятельности хозяйственных обществ с долей участия муниципального округа Красноселькупский район Ям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ало-Ненецкого автономного округа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30 388,099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4.1. Предоставление субсидии на финансовое обеспечение затрат в рамках мер по предупреждению банкротства и восстановлению платёжеспособности хозяйственных обществ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30 388,099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9660530461153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30 388,099</w:t>
            </w:r>
            <w:bookmarkEnd w:id="1"/>
            <w:r/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                    ».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6. Муниципальную программу дополнить приложением № 2.2. следующего содержания:</w:t>
      </w:r>
      <w:r>
        <w:rPr>
          <w:rFonts w:ascii="Liberation Sans" w:hAnsi="Liberation Sans" w:cs="Liberation Sans"/>
        </w:rPr>
      </w:r>
      <w:r/>
    </w:p>
    <w:p>
      <w:pPr>
        <w:ind w:left="9923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9923"/>
        <w:keepLines/>
        <w:keepNext/>
        <w:spacing w:after="0" w:line="240" w:lineRule="auto"/>
        <w:rPr>
          <w:rFonts w:ascii="Liberation Sans" w:hAnsi="Liberation Sans" w:cs="Liberation Sans"/>
          <w:sz w:val="24"/>
          <w:szCs w:val="20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«Приложение № 2.2.</w:t>
      </w:r>
      <w:r>
        <w:rPr>
          <w:rFonts w:ascii="Liberation Sans" w:hAnsi="Liberation Sans" w:cs="Liberation Sans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4"/>
          <w:szCs w:val="20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4"/>
          <w:szCs w:val="20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4"/>
          <w:szCs w:val="20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«Управление муниципальным имуществом»</w:t>
      </w:r>
      <w:r>
        <w:rPr>
          <w:rFonts w:ascii="Liberation Sans" w:hAnsi="Liberation Sans" w:cs="Liberation Sans"/>
        </w:rPr>
      </w:r>
      <w:r/>
    </w:p>
    <w:p>
      <w:pPr>
        <w:jc w:val="both"/>
        <w:keepLines/>
        <w:keepNext/>
        <w:spacing w:after="0" w:line="240" w:lineRule="auto"/>
        <w:rPr>
          <w:rFonts w:ascii="Times New Roman" w:hAnsi="Times New Roman" w:cs="Times New Roman" w:eastAsiaTheme="maj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ajorEastAsia"/>
          <w:sz w:val="28"/>
          <w:szCs w:val="28"/>
        </w:rPr>
      </w:r>
      <w:r/>
    </w:p>
    <w:p>
      <w:pPr>
        <w:jc w:val="both"/>
        <w:keepLines/>
        <w:keepNext/>
        <w:spacing w:after="0" w:line="240" w:lineRule="auto"/>
        <w:rPr>
          <w:rFonts w:ascii="Times New Roman" w:hAnsi="Times New Roman" w:cs="Times New Roman" w:eastAsiaTheme="maj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ajorEastAsia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мероприятий муниципальной программы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 «Управление муниципальным имуществом»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2024 год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tbl>
      <w:tblPr>
        <w:tblW w:w="141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5319"/>
        <w:gridCol w:w="2335"/>
        <w:gridCol w:w="3402"/>
        <w:gridCol w:w="2268"/>
      </w:tblGrid>
      <w:tr>
        <w:trPr>
          <w:trHeight w:val="1858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НПА, р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5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Ненецкого автономного округа «Управление муниципальным имуществом»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94 556,000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94 556,000</w:t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91 795,000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386,000</w:t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1 022,000</w:t>
            </w:r>
            <w:r/>
          </w:p>
        </w:tc>
      </w:tr>
      <w:tr>
        <w:trPr>
          <w:trHeight w:val="5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1 353,000</w:t>
            </w:r>
            <w:r/>
          </w:p>
        </w:tc>
      </w:tr>
      <w:tr>
        <w:trPr>
          <w:trHeight w:val="7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2 697,000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2 697,000</w:t>
            </w:r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2 697,000</w:t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 «Организация и проведение работ в отношении земельного фонда муниципального округа» - всего,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2 697,000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2 697,000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2 697,000</w:t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1.2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2 697,000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9660530162400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2 697,000</w:t>
            </w:r>
            <w:r/>
          </w:p>
        </w:tc>
      </w:tr>
      <w:tr>
        <w:trPr>
          <w:trHeight w:val="2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2 697,000</w:t>
            </w:r>
            <w:r/>
          </w:p>
        </w:tc>
      </w:tr>
      <w:tr>
        <w:trPr>
          <w:trHeight w:val="9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71 046,000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71 046,000</w:t>
            </w:r>
            <w:r/>
          </w:p>
        </w:tc>
      </w:tr>
      <w:tr>
        <w:trPr>
          <w:trHeight w:val="7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71 046,000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71 046,000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71 046,000</w:t>
            </w:r>
            <w:r/>
          </w:p>
        </w:tc>
      </w:tr>
      <w:tr>
        <w:trPr>
          <w:trHeight w:val="9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71 046,000</w:t>
            </w:r>
            <w:r/>
          </w:p>
        </w:tc>
      </w:tr>
      <w:tr>
        <w:trPr>
          <w:trHeight w:val="7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49 858,000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49 858,000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2.2. Обеспечение деятельности органов местного самоуправления (иные выплаты)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21 188,000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9660530211040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21 188,000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21 188,000</w:t>
            </w:r>
            <w:r/>
          </w:p>
        </w:tc>
      </w:tr>
      <w:tr>
        <w:trPr>
          <w:trHeight w:val="8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20 813,000</w:t>
            </w:r>
            <w:r/>
          </w:p>
        </w:tc>
      </w:tr>
      <w:tr>
        <w:trPr>
          <w:trHeight w:val="3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20 813,000</w:t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18 052,000</w:t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386,000</w:t>
            </w:r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1 022,000</w:t>
            </w:r>
            <w:r/>
          </w:p>
        </w:tc>
      </w:tr>
      <w:tr>
        <w:trPr>
          <w:trHeight w:val="3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1 353,000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«Эффективное управление и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распоряжение муниципальным имуществом»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20 813,000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20 813,000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18 052,000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386,000</w:t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1 022,000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1 353,000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3.1. «Содержание и обслуживание казны» Содержание движимого и недвижимого имущества, изготовление проектно-сметной документации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10 668,000</w:t>
            </w:r>
            <w:r/>
          </w:p>
        </w:tc>
      </w:tr>
      <w:tr>
        <w:trPr>
          <w:trHeight w:val="7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8 627,000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8 627,000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688,000</w:t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688,000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1 353,000</w:t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1 353,000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3.2. «Государственная регистрация, паспортизация объектов муниципальной собственности»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2 905,000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2 622,000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2 622,000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110,000</w:t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173,000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173,000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3.3. «Содержание и обслуживание казны» Оплата транспортного налога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1 918,000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1 849,000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1 849,000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Толька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69,000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69,000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3.5. «Содержание и обслуживание казны» Текущий ремонт недвижимого имущества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450,000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450,000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450,000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3.7. «Содержание и обслуживание казны» Уборка специализированного жилищного фонда во временно пустующих квартирах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133,000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133,000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133,000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3.8. «Содержание и обслуживание казны» Взносы на капитальный ремонт общего имущества в МКД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728,000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360,000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360,000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276,000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276,000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92,000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92,000</w:t>
            </w:r>
            <w:r/>
          </w:p>
        </w:tc>
      </w:tr>
      <w:tr>
        <w:trPr>
          <w:trHeight w:val="9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3.11. «Содержание и обслуживание казны» Охрана объектов муниципальной собственности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4 011,000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4 011,000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4 011,000</w:t>
            </w:r>
            <w:r/>
          </w:p>
        </w:tc>
      </w:tr>
    </w:tbl>
    <w:p>
      <w:pPr>
        <w:jc w:val="right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bCs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sectPr>
      <w:footnotePr/>
      <w:endnotePr/>
      <w:type w:val="continuous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8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73">
    <w:name w:val="Heading 1"/>
    <w:basedOn w:val="672"/>
    <w:next w:val="672"/>
    <w:link w:val="71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4">
    <w:name w:val="Heading 2"/>
    <w:basedOn w:val="672"/>
    <w:next w:val="672"/>
    <w:link w:val="72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5">
    <w:name w:val="Heading 3"/>
    <w:basedOn w:val="672"/>
    <w:next w:val="672"/>
    <w:link w:val="72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6">
    <w:name w:val="Heading 4"/>
    <w:basedOn w:val="672"/>
    <w:next w:val="672"/>
    <w:link w:val="72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672"/>
    <w:next w:val="672"/>
    <w:link w:val="72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672"/>
    <w:next w:val="672"/>
    <w:link w:val="72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9">
    <w:name w:val="Heading 7"/>
    <w:basedOn w:val="672"/>
    <w:next w:val="672"/>
    <w:link w:val="72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0">
    <w:name w:val="Heading 8"/>
    <w:basedOn w:val="672"/>
    <w:next w:val="672"/>
    <w:link w:val="72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1">
    <w:name w:val="Heading 9"/>
    <w:basedOn w:val="672"/>
    <w:next w:val="672"/>
    <w:link w:val="72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table" w:styleId="685">
    <w:name w:val="Plain Table 1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8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95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03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04" w:customStyle="1">
    <w:name w:val="Heading 1 Char"/>
    <w:basedOn w:val="682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Heading 2 Char"/>
    <w:basedOn w:val="682"/>
    <w:uiPriority w:val="9"/>
    <w:rPr>
      <w:rFonts w:ascii="Arial" w:hAnsi="Arial" w:eastAsia="Arial" w:cs="Arial"/>
      <w:sz w:val="34"/>
    </w:rPr>
  </w:style>
  <w:style w:type="character" w:styleId="706" w:customStyle="1">
    <w:name w:val="Heading 3 Char"/>
    <w:basedOn w:val="682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Heading 4 Char"/>
    <w:basedOn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Heading 5 Char"/>
    <w:basedOn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Heading 6 Char"/>
    <w:basedOn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Heading 7 Char"/>
    <w:basedOn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Heading 8 Char"/>
    <w:basedOn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Heading 9 Char"/>
    <w:basedOn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713" w:customStyle="1">
    <w:name w:val="Title Char"/>
    <w:basedOn w:val="682"/>
    <w:uiPriority w:val="10"/>
    <w:rPr>
      <w:sz w:val="48"/>
      <w:szCs w:val="48"/>
    </w:rPr>
  </w:style>
  <w:style w:type="character" w:styleId="714" w:customStyle="1">
    <w:name w:val="Subtitle Char"/>
    <w:basedOn w:val="682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Endnote Text Char"/>
    <w:uiPriority w:val="99"/>
    <w:rPr>
      <w:sz w:val="20"/>
    </w:rPr>
  </w:style>
  <w:style w:type="character" w:styleId="719" w:customStyle="1">
    <w:name w:val="Заголовок 1 Знак"/>
    <w:basedOn w:val="682"/>
    <w:link w:val="673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Заголовок 2 Знак"/>
    <w:basedOn w:val="682"/>
    <w:link w:val="674"/>
    <w:uiPriority w:val="9"/>
    <w:rPr>
      <w:rFonts w:ascii="Arial" w:hAnsi="Arial" w:eastAsia="Arial" w:cs="Arial"/>
      <w:sz w:val="34"/>
    </w:rPr>
  </w:style>
  <w:style w:type="character" w:styleId="721" w:customStyle="1">
    <w:name w:val="Заголовок 3 Знак"/>
    <w:basedOn w:val="682"/>
    <w:link w:val="675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Заголовок 4 Знак"/>
    <w:basedOn w:val="682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Заголовок 5 Знак"/>
    <w:basedOn w:val="682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Заголовок 6 Знак"/>
    <w:basedOn w:val="682"/>
    <w:link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Заголовок 7 Знак"/>
    <w:basedOn w:val="682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Заголовок 8 Знак"/>
    <w:basedOn w:val="68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Заголовок 9 Знак"/>
    <w:basedOn w:val="68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Title"/>
    <w:basedOn w:val="672"/>
    <w:next w:val="672"/>
    <w:link w:val="729"/>
    <w:uiPriority w:val="10"/>
    <w:qFormat/>
    <w:pPr>
      <w:contextualSpacing/>
      <w:spacing w:before="300"/>
    </w:pPr>
    <w:rPr>
      <w:sz w:val="48"/>
      <w:szCs w:val="48"/>
    </w:rPr>
  </w:style>
  <w:style w:type="character" w:styleId="729" w:customStyle="1">
    <w:name w:val="Заголовок Знак"/>
    <w:basedOn w:val="682"/>
    <w:link w:val="728"/>
    <w:uiPriority w:val="10"/>
    <w:rPr>
      <w:sz w:val="48"/>
      <w:szCs w:val="48"/>
    </w:rPr>
  </w:style>
  <w:style w:type="paragraph" w:styleId="730">
    <w:name w:val="Subtitle"/>
    <w:basedOn w:val="672"/>
    <w:next w:val="672"/>
    <w:link w:val="731"/>
    <w:uiPriority w:val="11"/>
    <w:qFormat/>
    <w:pPr>
      <w:spacing w:before="200"/>
    </w:pPr>
    <w:rPr>
      <w:sz w:val="24"/>
      <w:szCs w:val="24"/>
    </w:rPr>
  </w:style>
  <w:style w:type="character" w:styleId="731" w:customStyle="1">
    <w:name w:val="Подзаголовок Знак"/>
    <w:basedOn w:val="682"/>
    <w:link w:val="730"/>
    <w:uiPriority w:val="11"/>
    <w:rPr>
      <w:sz w:val="24"/>
      <w:szCs w:val="24"/>
    </w:rPr>
  </w:style>
  <w:style w:type="paragraph" w:styleId="732">
    <w:name w:val="Quote"/>
    <w:basedOn w:val="672"/>
    <w:next w:val="672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72"/>
    <w:next w:val="672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682"/>
    <w:uiPriority w:val="99"/>
  </w:style>
  <w:style w:type="character" w:styleId="737" w:customStyle="1">
    <w:name w:val="Footer Char"/>
    <w:basedOn w:val="682"/>
    <w:uiPriority w:val="99"/>
  </w:style>
  <w:style w:type="paragraph" w:styleId="738">
    <w:name w:val="Caption"/>
    <w:basedOn w:val="672"/>
    <w:next w:val="672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>
    <w:name w:val="Table Grid"/>
    <w:basedOn w:val="68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1" w:customStyle="1">
    <w:name w:val="Table Grid Light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2" w:customStyle="1">
    <w:name w:val="Таблица простая 11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68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-сетка 2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Таблица-сетка 3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Таблица-сетка 41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 w:customStyle="1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0" w:customStyle="1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1" w:customStyle="1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2" w:customStyle="1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3" w:customStyle="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4" w:customStyle="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5" w:customStyle="1">
    <w:name w:val="Таблица-сетка 5 темн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2" w:customStyle="1">
    <w:name w:val="Таблица-сетка 6 цветн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4" w:customStyle="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5" w:customStyle="1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6" w:customStyle="1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7" w:customStyle="1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8" w:customStyle="1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9" w:customStyle="1">
    <w:name w:val="Таблица-сетка 7 цветн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Список-таблица 1 светлая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Список-таблица 2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0" w:customStyle="1">
    <w:name w:val="Список-таблица 3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Список-таблица 4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5 темн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Список-таблица 6 цветн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2" w:customStyle="1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3" w:customStyle="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4" w:customStyle="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5" w:customStyle="1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6" w:customStyle="1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37" w:customStyle="1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8" w:customStyle="1">
    <w:name w:val="Список-таблица 7 цветная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7" w:customStyle="1">
    <w:name w:val="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8" w:customStyle="1">
    <w:name w:val="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9" w:customStyle="1">
    <w:name w:val="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0" w:customStyle="1">
    <w:name w:val="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1" w:customStyle="1">
    <w:name w:val="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2" w:customStyle="1">
    <w:name w:val="Bordered &amp; 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Bordered &amp; 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4" w:customStyle="1">
    <w:name w:val="Bordered &amp; 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Bordered &amp; 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Bordered &amp; 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Bordered &amp; 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8" w:customStyle="1">
    <w:name w:val="Bordered &amp; 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0" w:customStyle="1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1" w:customStyle="1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2" w:customStyle="1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3" w:customStyle="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4" w:customStyle="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65" w:customStyle="1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563c1" w:themeColor="hyperlink"/>
      <w:u w:val="single"/>
    </w:rPr>
  </w:style>
  <w:style w:type="paragraph" w:styleId="867">
    <w:name w:val="footnote text"/>
    <w:basedOn w:val="672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682"/>
    <w:uiPriority w:val="99"/>
    <w:unhideWhenUsed/>
    <w:rPr>
      <w:vertAlign w:val="superscript"/>
    </w:rPr>
  </w:style>
  <w:style w:type="paragraph" w:styleId="870">
    <w:name w:val="endnote text"/>
    <w:basedOn w:val="672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basedOn w:val="682"/>
    <w:uiPriority w:val="99"/>
    <w:semiHidden/>
    <w:unhideWhenUsed/>
    <w:rPr>
      <w:vertAlign w:val="superscript"/>
    </w:rPr>
  </w:style>
  <w:style w:type="paragraph" w:styleId="873">
    <w:name w:val="toc 1"/>
    <w:basedOn w:val="672"/>
    <w:next w:val="672"/>
    <w:uiPriority w:val="39"/>
    <w:unhideWhenUsed/>
    <w:pPr>
      <w:spacing w:after="57"/>
    </w:pPr>
  </w:style>
  <w:style w:type="paragraph" w:styleId="874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75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76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77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78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79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80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81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672"/>
    <w:next w:val="672"/>
    <w:uiPriority w:val="99"/>
    <w:unhideWhenUsed/>
    <w:pPr>
      <w:spacing w:after="0"/>
    </w:pPr>
  </w:style>
  <w:style w:type="paragraph" w:styleId="884">
    <w:name w:val="No Spacing"/>
    <w:link w:val="885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85" w:customStyle="1">
    <w:name w:val="Без интервала Знак"/>
    <w:basedOn w:val="682"/>
    <w:link w:val="884"/>
    <w:uiPriority w:val="1"/>
    <w:rPr>
      <w:rFonts w:eastAsiaTheme="minorEastAsia"/>
      <w:lang w:eastAsia="ru-RU"/>
    </w:rPr>
  </w:style>
  <w:style w:type="paragraph" w:styleId="886">
    <w:name w:val="Footer"/>
    <w:basedOn w:val="672"/>
    <w:link w:val="8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682"/>
    <w:link w:val="886"/>
    <w:uiPriority w:val="99"/>
    <w:rPr>
      <w:rFonts w:eastAsiaTheme="minorEastAsia"/>
      <w:lang w:eastAsia="ru-RU"/>
    </w:rPr>
  </w:style>
  <w:style w:type="paragraph" w:styleId="888">
    <w:name w:val="Body Text"/>
    <w:basedOn w:val="672"/>
    <w:link w:val="889"/>
    <w:unhideWhenUsed/>
    <w:pPr>
      <w:spacing w:after="120"/>
    </w:pPr>
  </w:style>
  <w:style w:type="character" w:styleId="889" w:customStyle="1">
    <w:name w:val="Основной текст Знак"/>
    <w:basedOn w:val="682"/>
    <w:link w:val="888"/>
    <w:rPr>
      <w:rFonts w:eastAsiaTheme="minorEastAsia"/>
      <w:lang w:eastAsia="ru-RU"/>
    </w:rPr>
  </w:style>
  <w:style w:type="paragraph" w:styleId="89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91">
    <w:name w:val="Header"/>
    <w:basedOn w:val="672"/>
    <w:link w:val="8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82"/>
    <w:link w:val="891"/>
    <w:uiPriority w:val="99"/>
    <w:rPr>
      <w:rFonts w:eastAsiaTheme="minorEastAsia"/>
      <w:lang w:eastAsia="ru-RU"/>
    </w:rPr>
  </w:style>
  <w:style w:type="paragraph" w:styleId="893">
    <w:name w:val="List Paragraph"/>
    <w:basedOn w:val="672"/>
    <w:uiPriority w:val="34"/>
    <w:qFormat/>
    <w:pPr>
      <w:contextualSpacing/>
      <w:ind w:left="720"/>
    </w:pPr>
  </w:style>
  <w:style w:type="paragraph" w:styleId="894">
    <w:name w:val="Balloon Text"/>
    <w:basedOn w:val="672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682"/>
    <w:link w:val="894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96" w:customStyle="1">
    <w:name w:val="Нижний колонтитул1"/>
    <w:uiPriority w:val="99"/>
    <w:pPr>
      <w:spacing w:after="0" w:line="240" w:lineRule="auto"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897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4E9E-BA58-481A-9343-4C0A7E7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155</cp:revision>
  <dcterms:created xsi:type="dcterms:W3CDTF">2023-02-11T15:39:00Z</dcterms:created>
  <dcterms:modified xsi:type="dcterms:W3CDTF">2024-03-21T08:22:53Z</dcterms:modified>
</cp:coreProperties>
</file>