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lang w:eastAsia="ru-RU"/>
        </w:rPr>
      </w:r>
      <w:r>
        <w:rPr>
          <w:rFonts w:ascii="Liberation Sans" w:hAnsi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894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716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«22» февраля 2024 г.                                                                          № 58-П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«Безопасный район»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4"/>
        <w:ind w:firstLine="720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На основании решений Думы Красноселькупского района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  <w:highlight w:val="none"/>
          <w:lang w:val="ru-RU"/>
        </w:rPr>
        <w:t xml:space="preserve">от            19 декабря 2023 года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8"/>
          <w:highlight w:val="none"/>
          <w:lang w:val="ru-RU"/>
        </w:rPr>
        <w:t xml:space="preserve"> №239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О бюджете Красноселькупского района на 2024 год и на плановый период 2025 и 2026 годов»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  <w:lang w:val="ru-RU"/>
        </w:rPr>
        <w:t xml:space="preserve">от 26 декабря          </w:t>
      </w:r>
      <w:r>
        <w:rPr>
          <w:rFonts w:ascii="Liberation Sans" w:hAnsi="Liberation Sans" w:cs="Liberation Sans"/>
          <w:sz w:val="28"/>
          <w:szCs w:val="28"/>
          <w:highlight w:val="white"/>
          <w:lang w:val="ru-RU"/>
        </w:rPr>
        <w:t xml:space="preserve"> 2023 года №248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в соответствии с постановлением Администрации 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 района от 07 декабря 2021 года № 51-П «О муниципальных программах муниципального округа Красноселькупский район Ямало-Ненецкого автономного округа»,</w:t>
      </w:r>
      <w:r>
        <w:rPr>
          <w:rFonts w:ascii="Liberation Sans" w:hAnsi="Liberation Sans" w:eastAsia="Liberation Serif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pStyle w:val="896"/>
        <w:numPr>
          <w:ilvl w:val="0"/>
          <w:numId w:val="8"/>
        </w:numPr>
        <w:contextualSpacing/>
        <w:ind w:left="0" w:firstLine="720"/>
        <w:jc w:val="both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bCs/>
          <w:sz w:val="28"/>
          <w:szCs w:val="28"/>
        </w:rPr>
        <w:t xml:space="preserve">«Безопасный район», утвержденную постановлением Администрации Красноселькупского района от 20 декабря 2021 года № 78-П.</w:t>
      </w:r>
      <w:r>
        <w:rPr>
          <w:rFonts w:ascii="Liberation Sans" w:hAnsi="Liberation Sans" w:cs="Liberation Sans"/>
        </w:rPr>
      </w:r>
      <w:r/>
    </w:p>
    <w:p>
      <w:pPr>
        <w:pStyle w:val="892"/>
        <w:numPr>
          <w:ilvl w:val="0"/>
          <w:numId w:val="8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настоящее постановление на официальном сайте муниципального </w:t>
      </w:r>
      <w:r>
        <w:rPr>
          <w:rFonts w:ascii="Liberation Sans" w:hAnsi="Liberation Sans" w:cs="Liberation Sans"/>
          <w:sz w:val="28"/>
          <w:szCs w:val="28"/>
        </w:rPr>
        <w:t xml:space="preserve">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20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yellow"/>
        </w:rPr>
        <w:suppressLineNumbers w:val="0"/>
      </w:pP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  <w:t xml:space="preserve">3.</w:t>
      </w: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Настоящее постановление вступает в силу с момента его опубликования и в части объемов финансового обеспечения на 2023 год распространяется на правоотношения, возникшие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 29 декабря 2023 года, </w:t>
      </w:r>
      <w:r>
        <w:rPr>
          <w:rFonts w:ascii="Liberation Sans" w:hAnsi="Liberation Sans" w:cs="Liberation Sans"/>
          <w:sz w:val="28"/>
          <w:szCs w:val="28"/>
        </w:rPr>
        <w:t xml:space="preserve">а в части объемов финансового обеспечения на 2024 год распростра</w:t>
      </w:r>
      <w:r>
        <w:rPr>
          <w:rFonts w:ascii="Liberation Sans" w:hAnsi="Liberation Sans" w:cs="Liberation Sans"/>
          <w:sz w:val="28"/>
          <w:szCs w:val="28"/>
        </w:rPr>
        <w:t xml:space="preserve">няется на правоотношения, возникшие с 01 января 2024 года</w:t>
      </w: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</w:t>
        <w:tab/>
        <w:tab/>
        <w:tab/>
        <w:tab/>
        <w:tab/>
        <w:t xml:space="preserve">    Ю.В. Фишер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rPr>
          <w:rFonts w:ascii="Liberation Sans" w:hAnsi="Liberation Sans" w:cs="Liberation Sans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line="240" w:lineRule="auto"/>
        <w:tabs>
          <w:tab w:val="left" w:pos="5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«22» февраля 2024 г. № 58-П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ind w:left="5103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line="240" w:lineRule="auto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«Безопасный район», </w:t>
      </w:r>
      <w:r>
        <w:rPr>
          <w:rFonts w:ascii="Liberation Sans" w:hAnsi="Liberation Sans" w:cs="Liberation Sans"/>
          <w:bCs/>
          <w:sz w:val="28"/>
          <w:szCs w:val="28"/>
        </w:rPr>
        <w:t xml:space="preserve">утвержденную постановлением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от 20 декабря 2021 года № 78-П</w:t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2"/>
        <w:numPr>
          <w:ilvl w:val="0"/>
          <w:numId w:val="11"/>
        </w:numPr>
        <w:ind w:left="0" w:firstLine="708"/>
        <w:jc w:val="both"/>
        <w:spacing w:after="0" w:afterAutospacing="0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Паспорт </w:t>
      </w:r>
      <w:r>
        <w:rPr>
          <w:rFonts w:ascii="Liberation Sans" w:hAnsi="Liberation Sans" w:cs="Liberation Sans"/>
          <w:bCs/>
          <w:sz w:val="28"/>
          <w:szCs w:val="28"/>
        </w:rPr>
        <w:t xml:space="preserve">муниципальной программы </w:t>
      </w:r>
      <w:r>
        <w:rPr>
          <w:rFonts w:ascii="Liberation Sans" w:hAnsi="Liberation Sans" w:cs="Liberation Sans"/>
          <w:bCs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Красноселькупский район Ямало-Ненецкого автономного округа </w:t>
      </w:r>
      <w:r>
        <w:rPr>
          <w:rFonts w:ascii="Liberation Sans" w:hAnsi="Liberation Sans" w:cs="Liberation Sans"/>
          <w:bCs/>
          <w:sz w:val="28"/>
          <w:szCs w:val="28"/>
        </w:rPr>
        <w:t xml:space="preserve">«Безопасный район»</w:t>
      </w:r>
      <w:r>
        <w:rPr>
          <w:rFonts w:ascii="Liberation Sans" w:hAnsi="Liberation Sans" w:cs="Liberation Sans"/>
          <w:bCs/>
          <w:sz w:val="28"/>
          <w:szCs w:val="28"/>
        </w:rPr>
        <w:t xml:space="preserve">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567" w:firstLine="141"/>
        <w:jc w:val="left"/>
        <w:spacing w:after="0" w:afterAutospacing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4710"/>
        <w:gridCol w:w="3255"/>
        <w:gridCol w:w="1673"/>
      </w:tblGrid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ПАСПОРТ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Times New Roman" w:cs="Liberation Sans"/>
                <w:b w:val="0"/>
                <w:bCs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муниципальной программы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  <w:t xml:space="preserve">муниципального округа Красноселькупский район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Ямало-Ненецкого автономного округа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  <w:t xml:space="preserve">"Безопасный район"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  <w:t xml:space="preserve">                   (наименование)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Заместитель Главы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40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Управление муниципальным имуществом Администрации Красноселькупского района;</w:t>
              <w:br/>
              <w:t xml:space="preserve">Управление образования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Администрации Красноселькупского района;</w:t>
              <w:br/>
              <w:t xml:space="preserve">Управление по культуре и молодежной политике Администрации Красноселькупского района;</w:t>
              <w:br/>
              <w:t xml:space="preserve">Управление по физической культуре и спорту Администрации Красноселькупского района;</w:t>
              <w:br/>
              <w:t xml:space="preserve">Управление по труду и социальной защите насе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ления Администрации Красноселькупского района;</w:t>
              <w:br/>
              <w:t xml:space="preserve">администрация села Ратта (территориальный орган (структурное подразделение) Администрации Красноселькупского района);                администрация села Толька (территориальный орган (структурное подразделение)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Администрации Красноселькупского района);                          Управление жизнеобеспечения села Красноселькуп Администрации Красноселькупского района;        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Участники муниципальной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 «Центр молодежных инициатив»;     МБУ ДО  «Толькинская детская школа искусств»;                                                 МБУ "Центр развития физической культуры и спорта Красноселькупского района"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целостной системы организационно-технических мер, направленных на профилактику преступности и пресечение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криминальных посягательств на жизнь, здоровье и имущество граждан, создание психологической обстановки безопасного пребывания на улицах, площадях, в местах массового посещения и проживания, а также создание системы по предупреждению коррупционных действий.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Направления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1. Повышение безопасности дорожного движения в Красноселькупском районе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2. Обеспечение правопорядка и профилактики правонарушений на территории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4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4. Профилактика безнадзорности и правонарушений несовершеннолетних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5. Противодействие коррупции в Красноселькупском районе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2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2022-2035 гг.                                                    I этап реализации 2022-2025 годы;               II этап реализации 2026-2030 годы;               III этап реализации 2031-2035 годы;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88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55 921,753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33 383,000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22 538,753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single"/>
                <w:vertAlign w:val="baseline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43 367,753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25 279,000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18 088,753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                        - в том числе по годам: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2022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12 940,005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8 447,000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4 493,005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2023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5 305,747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4 681,747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2024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12 568,000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8 104,000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4 464,000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2025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12 554,000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8 104,000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4 450,000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single"/>
                <w:vertAlign w:val="baseline"/>
              </w:rPr>
              <w:t xml:space="preserve">II этап реализации 2026-2030 годы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12 554,000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8 104,000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4 450,000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                        - в том числе по годам: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2026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12 554,000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8 104,000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4 450,000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2027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2028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2029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2030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1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8496" w:firstLine="708"/>
        <w:jc w:val="left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  ».</w:t>
      </w:r>
      <w:r>
        <w:rPr>
          <w:highlight w:val="whit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yellow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567" w:right="0" w:firstLine="84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2.</w:t>
        <w:tab/>
        <w:t xml:space="preserve">Структуру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 муниципальной программы муниципального округа 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Красноселькупский район Ямало-Ненецкого автономного округа «Безопасный район» изложить в следующей редакции:</w:t>
      </w:r>
      <w:r>
        <w:rPr>
          <w:highlight w:val="white"/>
        </w:rPr>
      </w:r>
      <w:r/>
    </w:p>
    <w:p>
      <w:pPr>
        <w:ind w:left="0" w:right="-453" w:firstLine="708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«</w:t>
      </w:r>
      <w:r>
        <w:rPr>
          <w:highlight w:val="white"/>
        </w:rPr>
      </w:r>
      <w:r/>
    </w:p>
    <w:tbl>
      <w:tblPr>
        <w:tblStyle w:val="748"/>
        <w:tblW w:w="0" w:type="auto"/>
        <w:tblInd w:w="567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3" w:type="dxa"/>
            <w:vAlign w:val="center"/>
            <w:textDirection w:val="lrTb"/>
            <w:noWrap w:val="false"/>
          </w:tcPr>
          <w:p>
            <w:pPr>
              <w:ind w:left="0" w:right="-453" w:firstLine="0"/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8"/>
                <w:szCs w:val="28"/>
                <w:highlight w:val="white"/>
              </w:rPr>
              <w:t xml:space="preserve">СТРУКТУРА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3" w:type="dxa"/>
            <w:vAlign w:val="center"/>
            <w:textDirection w:val="lrTb"/>
            <w:noWrap w:val="false"/>
          </w:tcPr>
          <w:p>
            <w:pPr>
              <w:ind w:left="0" w:right="-453" w:firstLine="0"/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муниципальной программы муниципального округа </w:t>
            </w:r>
            <w:r>
              <w:rPr>
                <w:highlight w:val="white"/>
              </w:rPr>
            </w:r>
            <w:r/>
          </w:p>
          <w:p>
            <w:pPr>
              <w:ind w:left="0" w:right="-453" w:firstLine="0"/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Красноселькупский район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3" w:type="dxa"/>
            <w:vAlign w:val="center"/>
            <w:textDirection w:val="lrTb"/>
            <w:noWrap w:val="false"/>
          </w:tcPr>
          <w:p>
            <w:pPr>
              <w:ind w:left="0" w:right="-453" w:firstLine="0"/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Ямало-Ненецкого автономного округа "Безопасный район"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3" w:type="dxa"/>
            <w:vAlign w:val="center"/>
            <w:textDirection w:val="lrTb"/>
            <w:noWrap w:val="false"/>
          </w:tcPr>
          <w:p>
            <w:pPr>
              <w:ind w:left="0" w:right="-453" w:firstLine="0"/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тыс. рублей</w:t>
            </w:r>
            <w:r>
              <w:rPr>
                <w:highlight w:val="white"/>
              </w:rPr>
            </w:r>
            <w:r/>
          </w:p>
        </w:tc>
      </w:tr>
    </w:tbl>
    <w:tbl>
      <w:tblPr>
        <w:tblStyle w:val="748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709"/>
        <w:gridCol w:w="3178"/>
        <w:gridCol w:w="1357"/>
        <w:gridCol w:w="850"/>
        <w:gridCol w:w="850"/>
        <w:gridCol w:w="850"/>
        <w:gridCol w:w="850"/>
        <w:gridCol w:w="1419"/>
        <w:gridCol w:w="850"/>
        <w:gridCol w:w="709"/>
        <w:gridCol w:w="850"/>
        <w:gridCol w:w="850"/>
        <w:gridCol w:w="850"/>
      </w:tblGrid>
      <w:tr>
        <w:trPr>
          <w:trHeight w:val="162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Всего за I этап/ единицы измерения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2022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2023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2024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2025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Всего за II этап/ единицы измерения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2026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2027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2028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2029 год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2030 год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Муниципальная программа  муниципального округа Красноселькупский район Ямало-Ненецкого автономного округа «Безопасный район»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Цель муниципальной программы  муниципального округа Красноселькупский район Ямало-Ненецкого автономного округа «Безопасный район»: создание целостной системы организационно-технических мер, направленных на профилактику преступности и пресечение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криминальных посягательств на жизнь, здоровье и имущество граждан, создание психологической обстановки безопасного пребывания на улицах, площадях, в местах массового посещения и проживания, а также создание системы по предупреждению коррупционных действий.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1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Количество зарегистрированных преступлений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 "Безопасный район",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43367,753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12940,005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5305,747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12568,000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12554,000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12554,000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12554,000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1.4.1.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1.4.2.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25279,000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8447,000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624,000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8104,000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8104,000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8104,000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8104,000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1.4.3.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18088,753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4493,005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4681,747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4464,000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4450,000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4450,000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4450,000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1 Повышение безопасности дорожного движения в Красноселькупском районе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направления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Региональный проект "Безопасность дорожного движения"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1.1. 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Количество погибших в дорожно-транспортных происшествиях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чел.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чел.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1.2.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Доля школ на базе которых организованы отряды ЮИД от общего количества школ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1.3.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"Доля ДТП по вине несовершеннолетних участников дорожного движения в общем числе ДТП с участием детей, %"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Региональный проект "Безопасность дорожного движения", в том числе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7221,470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1568,075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1755,395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2.9.1.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2.9.2.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2220,000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471,000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2.9.3.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5001,470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1097,075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1284,395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1310,000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1310,000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1310,000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1310,000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№5 "Повышение безопасности дорожного движения в Красноселькупском районе"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4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1.4. "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Количество специальных технических средств видеонаблюдения, осуществляющих фиксацию участков улично-дорожной сети"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"Повышение безопасности дорожного движения в Красноселькупском районе", в том числе: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2.12.1.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2.12.2.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2.12.3.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2 Обеспечение правопорядка и профилактики правонарушений на территории Красноселькупского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направления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Комплексы процессных мероприятий №1: совершенствование системы профилактики правонарушений на территории Красноселькупского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2.1.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"Доля организованных встреч несовершеннолетних с представителями правоохранительных органов по вопросам ведения законопослушного образа жизни от запланированного количества"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2.2.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"Количество преступлений совершенных в общественных местах"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2.3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"Число народных дружинников, участвующих в охране общественного порядка, чел."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чел.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чел.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2.4.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"Количество учащихся и воспитанников образовательных учреждений района, принявших участие в творческих конкурсах по профилактике правонарушений"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"совершенствование системы профилактики правонарушений на территории Красноселькупского района", в том числе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2667,087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558,405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834,682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2667,087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558,405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834,682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3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направления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Комплексы процессных мероприятий №2: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3.1.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"Количество проведенных мероприятий, направленных на профилактику терроризма, экстремизма и ксенофобии"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3.2. "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Количество участников мероприятий, направленных на профилактику терроризма, экстремизма и ксенофобии"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1740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1900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3.3.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"Количество объектов образования, соответствующих требованиям антитеррористической защищённости"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3.4. "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Доля  социальных объектов, а также мест массового пребывания людей, оснащенных системами антитеррористической защищенности"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0,08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3.5. "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Количество преступлений и правонарушений террористического и экстремисткого характера"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"укрепление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районе", в том числе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29389,195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9 853,525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1697,670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8924,000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8914,000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8914,000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8 914,000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23059,000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7976,000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153,000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7465,000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7465,000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7465,000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7465,000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6330,195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1877,525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1544,670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1459,000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1449,000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6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4 Профилактика безнадзорности и правонарушений несовершеннолетних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направления 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Комплексы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4.1.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"Количество преступлений и правонарушений, совершённых несовершеннолетними либо при их участии"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4.2.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"Доля несовершеннолетних, находящихся в социально опасном положении"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4,6%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3,48%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3,9%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3,8%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4,6%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4,1%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3,9%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3,8%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3,8%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4.3.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"Доля несовершеннолетних,находящихся в социально опасном положении, охваченных кружковой и досуговой деятельностью"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85,7%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80,0%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86,0%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86,0%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85,7%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86,0%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86,0%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86,0%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86,0%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4.4.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"Количество получателей мер социальной поддержки"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5.10.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 "совершенствование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района", в том числе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3982,000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935,000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991,000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1030,000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5.11.1.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5.11.2.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5.11.3.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3982,000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935,000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991,000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1030,000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1026,000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5 Противодействие коррупции в Красноселькупском районе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4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направления 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6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Times New Roman" w:cs="Liberation Sans"/>
                <w:b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Комплексы процессных мероприятий №4: 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</w:tc>
      </w:tr>
      <w:tr>
        <w:trPr>
          <w:trHeight w:val="23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5.1.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"Количество обращений граждан, поступающих в Администрацию Красноселькупского района, на предмет наличия информации о фактах коррупции со стороны муниципальных служащих муниципального округа Красноселькупский район"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5.2.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"Доля муниципальных служащих, представивших сведения о полученных доходах и принадлежащем на праве собственности имуществе"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Показатель 5.3.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"Доля муниципальных нормативно-правовых актов, подвергшихся антикоррупционной экспертизе от общего количества нормативно-правовых актов Администрации Красноселькупского района"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6.8.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Весовое значение показателя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%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3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 "недопущение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района", в том числе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6.9.1.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федерального бюджета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6.9.2.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окружного бюджета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6.9.3.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7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за счет местного бюджета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108,000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25,000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0,000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left="8496" w:firstLine="708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  <w:t xml:space="preserve">                                                             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  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   </w:t>
        <w:tab/>
        <w:t xml:space="preserve">».</w:t>
      </w:r>
      <w:r>
        <w:rPr>
          <w:highlight w:val="white"/>
        </w:rPr>
      </w:r>
      <w:r/>
    </w:p>
    <w:p>
      <w:pPr>
        <w:ind w:left="0" w:right="-453"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  <w:t xml:space="preserve">3.</w:t>
        <w:tab/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Приложение № 1 к </w:t>
      </w:r>
      <w:r>
        <w:rPr>
          <w:rFonts w:ascii="Liberation Sans" w:hAnsi="Liberation Sans" w:cs="Liberation Sans"/>
          <w:bCs/>
          <w:sz w:val="28"/>
          <w:szCs w:val="28"/>
        </w:rPr>
        <w:t xml:space="preserve">муниципальной программе муниципального округа </w:t>
      </w: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Красноселькупский район Ямало-Ненецкого автономного округа «Безопасный район» изложить в следующей редакции:</w:t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</w:rPr>
      </w:r>
      <w:r/>
    </w:p>
    <w:tbl>
      <w:tblPr>
        <w:tblStyle w:val="7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28"/>
        <w:gridCol w:w="1574"/>
        <w:gridCol w:w="39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6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  <w:t xml:space="preserve">Приложение № 1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6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 муниципальной программе муниципального округа Красноселькупский район Ямало-Ненецкого автономного округа «Безопасный район»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8"/>
                <w:szCs w:val="28"/>
              </w:rPr>
              <w:t xml:space="preserve">ХАРАКТЕРИСТИКА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  <w:t xml:space="preserve">муниципальной программы муниципального округа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  <w:t xml:space="preserve">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  <w:t xml:space="preserve">Безопасный район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tbl>
      <w:tblPr>
        <w:tblStyle w:val="748"/>
        <w:tblW w:w="0" w:type="auto"/>
        <w:tblLook w:val="04A0" w:firstRow="1" w:lastRow="0" w:firstColumn="1" w:lastColumn="0" w:noHBand="0" w:noVBand="1"/>
      </w:tblPr>
      <w:tblGrid>
        <w:gridCol w:w="735"/>
        <w:gridCol w:w="6255"/>
        <w:gridCol w:w="3855"/>
        <w:gridCol w:w="4545"/>
      </w:tblGrid>
      <w:tr>
        <w:trPr>
          <w:trHeight w:val="108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№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Результат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1. Повышение безопасности дорожного движения в Красноселькупском районе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Региональный проект "Безопасность дорожного движения"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Снижение количества дорожно-транспортных происшествий с участием детей;</w:t>
              <w:br/>
              <w:t xml:space="preserve">недопущение появления очагов аварийности;</w:t>
              <w:br/>
              <w:t xml:space="preserve">повышение правосознания и дисциплины различных категорий участников дорожного движения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 "Приобретение наглядной агитации для общеобразовательных учреждений"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Повышение правосознания и дис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циплины несовершеннолетних участников дорожного движения. В апреле 2022 года приобретена наглядная агитация для нужд МОУ РШИ, МОУ КСОШ "Радуга", МОУ ТШИ СОО. В марте 2023 года приобретена наглядная агитация для нужд МОУ РШИ, МОУ КСОШ "Радуга", МОУ ТШИ СОО.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0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1.2 "Обеспечение и проведение муниципального этапа "Безопасное колесо"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Развитие движения отрядов юных инспекторов дорожного движения. В марте 2022 года проведен муниципальный этап конкурса "Безопасное колесо" в с.Толька; в конкурсе приняло участие 3 команды района (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12 человек); приобретены товары для отрядов ЮИД района (термошевроны ЮИД, форма ЮИД, значки ЮИД, конус дорожный сигнальный с вехой). В марта 2023г. проведен муниципальный этап конкурса "Безопасное колесо" в образовательных организациях района (без выезда).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1.3 "Изготовление, приобретение, световозвращающих приспособлений для пешеходов в среде дошкольников и учащихся младших классов"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  В апреле 2022 года приобретены световозвращающие элементы  для нужд МДОУ ДС «Морошка», МОУ КСОШ «Радуга»,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МОУ ТШИ СОО, МОУ РШИООО им. С.И. Ирикова в общем количестве 320 ед. В марте 2023 года приобретены световозвращающие элементы  для нужд МДОУ ДС «Морошка», МОУ КСОШ «Радуга», МОУ ТШИ СОО, МОУ РШИООО им. С.И. Ирикова, МДУО «Березка» в общем количестве 350 ед.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6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1.4 "Обеспечение участия в окружном этапе "Безопасное колесо"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Развитие движения отрядов юных инспекторов дорожного движения. В апреле 2022 года команда района в составе 5 человек (4 несов. и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 сопровождающий) приняли участие в окружном этапе конкурса.В период с 18 по 25 марта 2023 года делегация МУ ДО «ТЦ ДОД» из 4 человек (+1 сопровождающий) приняла участие в XXVII окружном конкурсе юных инспекторов движения «Безопасное колесо» в  Салехарде.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1.5 "Обеспечение безопасного участия детей в дорожном движении"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материально технической базы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образовательных учреждений с целью изучения правил дорожного движения. В августе 2022 года для нужд МДОУ ДС "Морошка" приобретен мобильный автогородок "Юнный пешеход". В апреле 2023 г. для нужд МДОУ д/с «Березка» приобретен игровой комплекс «Перекресток».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1.6 "Приобретение мультимедийных программ"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материально технической базы образовательных учреждений с целью изучения правил дорожного движения. В июне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2022 года для нужд МОУ ТШИ СОО приобретена мультимедийная программа (профессиональный интерактивный комплекс-тренажер БДД «Автобот»). В апреле 2023 года для нужд МОУ КСОШ «Радуга» приобретен интерактивный комплекстренажер «АВТОБОТ» с пакетом программ ПДД.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1.7 " Приобретение световозвращающих элементов для учащихся начальных классов"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 В апреле 2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022 года приобретены световозвращающие элементы для нужд МОУ КСОШ «Радуга», МОУ ТШИ СОО, МОУ РШИООО им. С.И. Ирикова в общем количестве 320 ед. В мае 2023 года для нужд МОУ КСОШ «Радуга», МОУ ТШИ СОО, МОУ РШИООО им. С.И. Ирикова в общем количестве 350 ед.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0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а);   соисполнитель: Управление по культуре и молодежной политике Администрации Красноселькупского района; соисполнитель: Управление по культуре, молодежной политике и спорту Администрации Красноселькупского района; участик: МУ «Центр молодежных инициатив»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1.9 "Организация и проведение конкурса "Автоледи"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Профилактики правонарушений в области дорожного движения и дорожно-транспортных происшествий, формирования культуры вождения среди участников дорожного дв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ижения, повышения роли гражданского общества в безопасности дорожного движения. Муниципальный этапа конкурса проведен в марте 2022 года. В сентябре 2022 года 2 представителя от  района приняли участие в региональном этапе конкурса в г. Ноябрьск. С 17 по 18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марта 2023 года в с. Красноселькуп состоялся муниципальный этап конкурса по автомобильному многоборью среди женщин автомобилистов «Автоледи». В конкурсе приняли участие 5 женщин – автомобилистов. Участие в окружном конкурсе в г.Салехард приняли 2 женщины.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7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1.10 "Обеспечение участия в региональном мероприятии по Автомногоборью"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дорогах.Обеспеч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ено участие команды района в региональном мероприятии в сентябре 2022 года в г.Муравленко (4 несов. + 1 сопровождающий). Команда района (4 учащихся и 1 сопровождающий) приняла участие в региональном мероприятии в г. Салехард с 13 по 20 сентября 2023 года.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1.11 "Обеспечение и проведение муниципального этапа по Автомногоборью"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 Муниципальны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й этап конкурса проведен в сентябре 2022 г.</w:t>
              <w:br/>
              <w:t xml:space="preserve">в с.Красноселькуп; в конкурсе приняло участие 2 команды района (8 человек). Муниципальный этап конкурса проведен с 04 по 07 сентября 2023 г. на территории с. Красноселькуп, в конкурсе приняло участие (8 человек).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1.12 "Приобретение световозвращающих элементов для учащихся образовательных учреждений"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безопасного поведения детей на дорогах.В декабре 2022 года приобретены световозвращающие элементы 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для нужд  МОУ КСОШ «Радуга», МОУ ТШИ СОО в общем количестве 279 ед. В марте 2023 года приобретены световозвращающие элементы  для нужд МДОУ ДС «Морошка», МОУ КСОШ «Радуга», МОУ ТШИ СОО, МОУ РШИООО им. С.И. Ирикова, МДУО «Березка» в общем количестве 350 ед.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top"/>
            <w:textDirection w:val="lrTb"/>
            <w:noWrap w:val="false"/>
          </w:tcPr>
          <w:p>
            <w:pPr>
              <w:jc w:val="left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№5" Повышение безопасности дорожного движения в Красноселькупском районе", в том числе: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6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соисполнитель: администрация села Толька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1.8. "Обслуживание и содержание системы видеонаблюдения"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безопасности дорожного движения на участках дорог в населенных пунктах путём поддержания в надлежащем техническом состоянии специальных технических средств.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2. Обеспечение правопорядка и профилактики правонарушений на территории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top"/>
            <w:textDirection w:val="lrTb"/>
            <w:noWrap w:val="false"/>
          </w:tcPr>
          <w:p>
            <w:pPr>
              <w:jc w:val="both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№1:  совершенствование системы профилактики правонарушений на территории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общественного порядка и недопущение роста количества зарегистрированных преступлений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9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2.1 "Проведение конкурса на звание "Лучший народный дружинник"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Пропаганда добровольного участия граждан в охране общественного порядка, повышение престижа деятельности добровольных народных дружин. В октябре 2022 года проведен конкурс на звание "Лучший народн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ый дружинник", приняло участие 3 дружинника. В октябре 2023 года проведен конкурс на звание "Лучший народный дружинник", приняло участие 4 дружинника. Победитель (1 дружинник) представил район в окружном эапе конкурса на звание "Лучший народный дружинник".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jc w:val="left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льно-правовое управление Администрации Красноселькупского района);    соисполнители: администрация села Ратта ;                            администрация села Толька;  Управление жизнеобеспечения села Красноселькуп Администрации Красноселькупского района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2.2 "Содержание добровольной народной дружины и казачества"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граждан к охране общ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ественного порядка, повышение престижа деятельности добровольных народных дружин. Произведено материальное поощрение народных дружинников, участвующих в охране общественного порядка на территории района, по итогам работы за  2022 год в общем количестве 26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человек (с. Ратта - 5 человека, с. Толька - 9 человек, с.Красноселькуп - 12 человек). Произведено материальное поощрение народных дружинников, участвующих в охране общественного порядка на территории района, по итогам работы за  2023 год в общем количестве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29 человек (с. Ратта - 7 человек, с. Толька - 10 человек, с.Красноселькуп - 12 человек).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муниципальным имуществом Администрации Красноселькупского района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2.3 "Приобретение специальных технических средств"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Оказание материально-технической поддержки Отделению МВД России по Красноселькупскому району. В 2023 году приобретена спец.тех.средств для ОМВД Рос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сии по Красноселькупскому району (прозрачное ветровое стекло для моторной лодки «Казанка 5М4» - 3 комплекта;</w:t>
              <w:br/>
              <w:t xml:space="preserve">тент ходовой для моторной лодки «Казанка 5М4» - 3 комплекта;</w:t>
              <w:br/>
              <w:t xml:space="preserve">дуги разборные для тента «Казанка 5М43» - 3 комплекта, спутниковый телефон - 1 шт.).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7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2.4 "Организация и проведение среди учащихся и воспитанников образовательных учреждений района конкурса рисунков и плакатов, посвященного Дню полиции "Полиция спешит на помощь"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н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есовершеннолетних к творческой деятельности с целью воспитания патриотизма и законопослушного поведения, повышение престижа службы в органах МВД России. В 2022 году конкурсную комиссию поступило 80 работ. В 2023 году конкурсную комиссию поступило 67 работ.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6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2.5 "Приобретение грамот для проведения конкурсов среди учащихся и воспитанников образовательных учреждений района"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Поощрение несовершеннолетних за участие в творческих конкурсах. Приобретены граммотры для награждения победителей конкурсов, посвященных Дню полиции.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2.6 "Организация и проведение среди уч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ащихся и воспитанников образовательных учреждений района творческого конкурса посвященного Дню полиции:- конкурс сочинений "Сотрудник полиции глазами детей", -конкурс чтецов "На страже закона"; - конкурс исполнительской песни "Людям в погонах, посвящается"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несовершеннолетних к творческой деятельности с целью воспитания патриотизма и законопослушного поведения, повышение престижа службы в органах МВД России. В ноябре 2022 проведены творческие конкурсы: конкурс сочинений "Сотрудн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ик полиции глазами детей" (охват 3 чел.), конкурс чтецов "На страже закона" (охват 5 чел.). В ноябре 2023 проведены творческие конкурсы: конкурс сочинений "Сотрудник полиции глазами детей" (охват 8 чел.), конкурс чтецов "На страже закона" (охват 24 чел.).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2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top"/>
            <w:textDirection w:val="lrTb"/>
            <w:noWrap w:val="false"/>
          </w:tcPr>
          <w:p>
            <w:pPr>
              <w:jc w:val="left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top"/>
            <w:textDirection w:val="lrTb"/>
            <w:noWrap w:val="false"/>
          </w:tcPr>
          <w:p>
            <w:pPr>
              <w:jc w:val="both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№2: 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террористических, экстремистских проявлений, и воспитание культуры межнационального общежития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купского района);    соисполнитель: Управление по культуре и молодежной политике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 "Районный конкурс на самое дружное интернациональное молодежное объединение "Палитра"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молодежи к участию в творческой работе, направленной на укрепление толерантности, межнационального и межкультурного согласия. В апреле 2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022 года проведен районный конкурс на самое дружное интернациональное молодежное объединение «Палитра» (охват 3 человека). 31 марта 2023 года проведен районный конкурс на самое дружное интернациональное молодежное объединение «Палитра» (охват 5 человека).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5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купского района);    соисполнитель: управление по культуре и молодежной политике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3.2 "Районный фестиваль содружеств детских и молодежных общественных объединений"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Формирование гражданского патриотизма, укрепление духовных и нравственных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ценностей.В апреле 2022 года проведен районный фестиваль содружеств детских и молодежных общественных объединений (охват 6 человек). 31 марта 2023 года проведен районный фестиваль содружеств детских и молодежных общественных объединений (охват 4 человека).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0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Администрация Красносельк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упского района);     соисполнитель: управление по культуре и молодежной политике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3.3 "Проведение районного праздника "Содружество культур"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Распространение знаний о народах России, формирование гражданского патриотизма, укрепление духовных и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нравственных ценностей. В ноябре 2022 проведен фестиваль национальных блюд народов России (приняло участие 7 национальностей - 20 человек). В ноябре 2023 проведен фестиваль национальных блюд народов России (приняло участие 5 национальностей - 17 человек).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соисполнители: администрация села Ратта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3.4 "Проведение семинаров"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Воспитание законопослушно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го поведения и недопущения проявлений экстремизма, гармонизация межэтнических и межкультурных отношений. В 2022 г. проведен семинар по профилактике проявлений терроризма и экстремизма в образовательной организации села Ратта с обучающимися и их родителями.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5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управление);                                                       соисполнители: администрация села Ратта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3.5 "Проведение спортивно-массовых мероприятий"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Вовлечение молодежи в социально-приемлемую деятельность. В 2022 г. проведен турнир по волейболу, эстафета, посвященные Дню солидарности в борьбе с терроризмом.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4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3.6 "Усиление антитеррористической защищенности объектов образования"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антитеррористической защищенности школ.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95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ции Красноселькупского района);    соисполнитель: управление образования Администрации Красноселькупского района;                                                      администрация села Толька ;                                              управление по фи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зической культуре и спорту Администрации Красноселькупского района;     Управление жизнеобеспечения села Красноселькуп Администрации Красноселькупского района;    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3.7 "Приобретение, установка и содержание системы видеонаблюдения"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антитеррористической защищенности объектов образования, культуры, спорта и мест с массовым пребыванием граждан. В 2022 году администрацией села Толька приобретено и установлено оборудование для системы уличног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 видеонаблюдения (10 камер и комплектующее к ним), обеспечено обслуживание системы уличного видеонаблюдения, произведён монтаж оборудования, ремонт, замена вышедшего из строя оборудования видеонаблюдения, пуско-наладочные работы системы видеонаблюдения; у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правлением образования Администрации Красноселькупского района: приобретены камеры видеонаблюдения 3 шт и видеорегистратор 1 шт для МОУ ТШИ СОО;</w:t>
              <w:br/>
              <w:t xml:space="preserve">обеспечено софинансирование из местного бюджета на приобретение систем видеонаблюдения управлению по физической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культуре и спорту; приобретен комплект видеонаблюдения с устройством для записи, установлен на новом ФОК с. Красноселькуп. В 2023 году произведена оплата за обслуживание системы уличного видеонаблюдения с. Толька; приобретены камеры видеонаблюдения и комп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лектующие к ним для уличного видеонаблюдения с. Толька; приобретены 3 камеры видеонаблюдения и комплектующие к ним для нужд МОУ «ТШИ СОО»; произведен демонтаж вышедших из строя камер уличного видеонаблюдения, расположенных на территории села Красноселькуп.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 соисполнитель: Управление образования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3.8 "Организация творческого конкурса "Россия - наш общий дом!"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Привлечение несовершеннолетних к творческой деятельности с целью воспитания патриотизма. В 2023 году проведен конкурс рисунков.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3.9 "Изготовление проектно-сметной документации системы видеонаблюдения в селе Красноселькуп"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Составлена сметная документации по объекту «Строительство системы видеонаблюдения и мультисервисной сети ЯНАО с.Красноселькуп»,  в 2022 году прошла экспертизу в уполномоченном органе.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елькупского района (контрольно-правовое управление Администрации Красноселькупского района);    соисполнитель: Управление образования Администрации Красноселькупского района; Управление по культуре и молодежной политике Администрации Красноселькупского рай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она; Управление по культуре, молодежной политике и спорту Администрации Красноселькупского района; участик: МБУ ДО  «Толькинская детская школа искусств»; МБУ "Центр развития физической культуры и спорта Красноселькупского района"                 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3.10 "Приобретение и установка антитеррористического оборудования ( для социальных объектов и объектов с массовым пребыванием людей)"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Обеспечение антитеррористической защищенности социальных объектов и объектов с массовым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пребыванием людей. В 2022 году приобретено антитеррористическое оборудование:</w:t>
              <w:br/>
              <w:t xml:space="preserve">- ТЦДОД  (приобретение и установка видеодомофона);</w:t>
              <w:br/>
              <w:t xml:space="preserve">-КЦДОД (приобретение и установка видеорегистратора, камер видеонаблюдения и комплектующих);</w:t>
              <w:br/>
              <w:t xml:space="preserve">-МОУ КСОШ «Радуга» (приобретение и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установка охранной сигнализации; установка видеодомофонов в начальной и старшей школе; дооснащение имеющейся системы контроля и управления доступом);</w:t>
              <w:br/>
              <w:t xml:space="preserve">- МОУ ТСШИ (приобретение и установка системы оповещения Рокот-5, речевое оповещение в кабинете директора,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охранная сигнализация);</w:t>
              <w:br/>
              <w:t xml:space="preserve">- РШИ (приобретение и установка электронной проходной (турникет), охранной сигнализации в учебном и спальном корпусах);</w:t>
              <w:br/>
              <w:t xml:space="preserve">- Д/с «Морошка»(приобретение и установка видеодомофона с электромагнитными замками);</w:t>
              <w:br/>
              <w:t xml:space="preserve">- Д/с «Березка» (приобретен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ие и установка видеодомофона электромагнитными замками). В 2023 году приобретена система видеонаблюдения для Детской школы искусств с. Толька: уличная – 5 шт., внутренние – 5шт., стенд для размещения информации по антитеррористической защищённости объекта.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1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управление);                                                                        соисполнители: администрация села Ратта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3.11 "Мероприятия по профилактике экстремизма в сфере информационной политики"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экстремистких проявлений и воспитание законопослуш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ного поведения. Для социальных учреждений села Ратта в 2022 году приобретены агитационные материалы (баннер, листовки). В 2023 году приобретены баннеры и буклеты антитеррористической направленности для размещения и распространения на территории села Ратта.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8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купского района);    соисполнитель: Управление по культуре и молодежной политике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3.12 "Изготовление социальных агитационных материалов, направленных на противодействие экстремизма и терроризма"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экстремистких проявлений и воспитание законопослушного поведения. В 2023 году изготовлены печатные материалы по профилактике террористических проявлений в количестве 490 штук, изготовлено 8 видеороликов антитеррористической направленности.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55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купского района);    соисполнитель: Управление по культуре и молодежной политике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3.13  "Участие в мероприятиях, форумах, конференциях, семинарах, направленных на профилактику экстремизма и терроризма"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Воспитание законопослушного поведения и недопущения проявлений экстремизма, гармонизация межэтнических и межкультурных отношений. В 2023 году обеспечено участие 1 представителя района в научно практической конференции "Противод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ействие идеологии терроризма: направления совершенствования профилактической деятельности" г.Красноярске. Также обеспечено участие 2 представителей района в семинаре по профилактике и предупреждению экстремизма и терроризма в молодёжной среде в г. Ноябрьск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top"/>
            <w:textDirection w:val="lrTb"/>
            <w:noWrap w:val="false"/>
          </w:tcPr>
          <w:p>
            <w:pPr>
              <w:jc w:val="left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4. Профилактика безнадзорности и правонарушений несовершеннолетних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3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top"/>
            <w:textDirection w:val="lrTb"/>
            <w:noWrap w:val="false"/>
          </w:tcPr>
          <w:p>
            <w:pPr>
              <w:jc w:val="both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роста количества преступлений совершенных несовершеннолетними и преступлений совершенных в отношении несовершеннолетних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4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авовое управление Администрации Красноселькупского района);    соисполнитель: Управление по физической культуре и спорту Администрации Красноселькупского района; Управление по культуре, молодежной политике и спорту Администрации Красноселькупского района;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4.1 "Организация и проведение районного турнира по единоборствам среди детей и подростков"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Увеличение количества несовершеннолетних, находящихся в социально опасном положении в спортивную и досуговую деятельности. В 2022 году проведен районный турнир  по греко-римской борьбе, посвященный Дню народного единства. В турнире приняло учас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тие 19 чел. В 2023 году проведен районный турнир  по спортивной греко-римской борьбе среди юношей, в рамках празднования 100 летнего юбилея образования Государственого органа управления в сфере физической культурыи спорта, участие приняло 36 юношей района.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пского района);     соисполнитель: Управление по культуре и молодежной политики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4.2 "Выплата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Материальную поддержку получат 40 подростков, отработавшие в трудовы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х отрядах. В рамках мероприятия "Настоящее лето" в 2022 году 40 несов. выданы сертификаты по итогам работы в летних трудовых отрядах. В рамках мероприятия "Настоящее лето" в 2023 году 40 несов. выданы сертификаты по итогам работы в летних трудовых отрядах.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вовое управление Администрации Красноселькупского района);     соисполнитель: Управление по культуре и молодежной политики Администрации Красноселькупского района;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4.3 "Организация и проведение военно-спортивной игры "Пейнтбол"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Увеличение количества несовершеннолетних, находящихся в социально опасном положении в спортивную и досуговую деятельности.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4.4 "Единовременная выплата при рождении ребенка семьям, постоянно проживающим на территории Красноселькупского района"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Повышение уровня демографии в районе. В 2022 году произведены единовременные выплаты при рождении ребенка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59 семьям, постоянно проживающим на территории Красноселькупского района (по 5,0 тыс. руб.). В 2023 году произведена единовременная выплата при рождении ребенка 44 семьям, постоянно проживающим на территории Красноселькупского района (по 5,0 тыс. рублей).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4.5 "Оказание адресной материальной помощи семьям, имеющих детей с ограниченными возможностями, зарегистрированных на территории Красноселькупского района"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Адресная поддержка семей, имеющих детей с ОВЗ. В 2022 году оказана ма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териальная помощь 38 гражданам, имеющим детей с ограниченными возможностями, зарегистрированные на территории Красноселькупского района. В 2023 году выплачена материальная помощь в размере 2 500 руб. 40 гражданам, имеющим ограниченные возможности здоровья.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49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4.6 "Компенсация стоимости проезда в размере 100 процентов по детской оздоровительной путевке, приобретаемых департаментом по молодёжной политике и туризму ЯНАО к месту отдыха и обратно несовершеннолетним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гражданам, состоящих на учете в комиссии по делам несовершеннолетних и защите их прав в Администрации района, в ПДН ОМВД России по Красноселькупскому району и для детей из семей, находящихся в социально-опасном положении, не являющимися малообеспеченными"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Увеличение доли детей, находящихся в социально опасном положении, организованных летним отдыхом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по труду и социальной защите населения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4.7 "Оказание адресной социальной помощи несовершеннолетним и семьям, находящимся в социально опасном положении или в трудной жизненной ситуации"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Материальную поддержку получат 20 семе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й, находящихся в социально опасном положении. В 2022 году оказана адресная социальная помощь 9 получателям, находящейся в трудной жизненной ситуации. В 2023 году 7  получателям, находящегося в трудной жизненной ситуации, оказана адресная социальная помощь.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6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 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4.8 "Проведение мероприятия по закрытию мотосезона "Рев тундры"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Организация досуга детей, находящихся в социально опасном положении.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  соисполнитель: Управление образования Администрации Красноселькупского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4.9 "Организация и проведение районного конкурса-фестиваля "Славься, Отечество наше свободное!"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Нравственное и патриотическое воспитание подростков. В 2022 г. мероприятие проведено в в предверии празднования Дня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 Победы - 9 мая в образовательных организациях района. В 2023 году в данном мероприятии приняло участие 191 обучающихся и воспитанников пяти возрастных категорий (от 3 до 18 лет) образовательных организаций района, из которых 106 победителей и 37 призеров.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11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пского района);     соисполнитель: Управление по культуре и молодежной политики Администрации Красноселькупского района; Управление по культуре, молодежной политике и спорту Администрации Красноселькупского района; участик: МУ «Центр молодежных инициатив»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4.10 "Муниципальный проект «Кибердружина»"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Выявление с сети Интерент противоправного, деструктивного контента. В 2022 году приобретена сувенирная продукция -свитшоты, футболки, флэшки для муниципального проекта «Кибердружина». В 2023 году приобретены информационные буклеты в количестве 55 шт.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vAlign w:val="top"/>
            <w:textDirection w:val="lrTb"/>
            <w:noWrap w:val="false"/>
          </w:tcPr>
          <w:p>
            <w:pPr>
              <w:jc w:val="left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Направление 5. Противодействие коррупции в Красноселькупском районе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9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10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i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Комплекс процессных мероприятий №4: 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Красносельткупского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Недопущение коррупционных правонарушений и воспитание законопослушного поведения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7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5.1 "Изготовление и приобретение листовок антикоррупционной направленности"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Профилактика ко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ррупционных правонарушений, искоренение "бытовой" коррупции, соблюдение антикоррупционного законодательства органами местного самоуправления Красноселькупского района. В 2022 году изготовлены листовки антикоррупционной направленности в количестве 735 штук.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28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района);  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Мероприятие 5.2 "Изготовление и приобретение карманных, настольных и настенных календарей антикоррупционной направленности"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Профилактика коррупционных правонарушений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, искоренение "бытовой" коррупции, соблюдение антикоррупционного законодательства органами местного самоуправления Красноселькупского района. В 2023 году изготовлены настенные календари (поквартальные) антикоррупционной направленности в количестве 70 штук.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ind w:left="8495"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  <w:t xml:space="preserve">   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4.</w:t>
        <w:tab/>
        <w:t xml:space="preserve">Детализированный перечень мероприятий муниципальной программы муниципального округа Красноселькупский район Ямало-Ненецкого автономного округа «Безопасный район» на 2023 год 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изложить в следующей редакции:</w:t>
      </w:r>
      <w:r>
        <w:rPr>
          <w:highlight w:val="whit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«</w:t>
      </w:r>
      <w:r>
        <w:rPr>
          <w:highlight w:val="white"/>
        </w:rPr>
      </w:r>
      <w:r/>
    </w:p>
    <w:tbl>
      <w:tblPr>
        <w:tblStyle w:val="7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ДЕТАЛИЗИРОВАННЫЙ ПЕРЕЧЕНЬ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мероприятий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u w:val="single"/>
              </w:rPr>
              <w:t xml:space="preserve">"Безопасный район"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на 2023 год</w:t>
            </w:r>
            <w:r>
              <w:rPr>
                <w:highlight w:val="white"/>
              </w:rPr>
            </w:r>
            <w:r/>
          </w:p>
        </w:tc>
      </w:tr>
    </w:tbl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3247"/>
        <w:gridCol w:w="1717"/>
        <w:gridCol w:w="2152"/>
        <w:gridCol w:w="1844"/>
      </w:tblGrid>
      <w:tr>
        <w:trPr>
          <w:trHeight w:val="1276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N п/п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Объем финансирования 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(тыс. руб.)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Муниципальная программа муниципального округа Красноселькупский район Ямало-Ненецкого автономного округа - "Безопасный район" 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5 305,747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4 681,747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387,682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387,682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1 814,000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1 343,000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413,850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413,850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372,000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372,000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956,553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956,553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1 094,215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941,215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1. Повышение безопасности дорожного движения в Красноселькупском районе 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1 755,395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1 284,395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1 563,000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1 092,000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Региональный проект "Безопасность дорожного движения",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1 755,395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1 284,395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1 563,000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1 092,000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1.1 "Приобретение наглядной агитации для общеобразовательных учреждений"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1.2 Обеспечение и проведение муниципального этапа "Безопасное колесо"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199,680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199,680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199,680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1.3 "Изготовление, приобретение световозвращающих приспособлений для пешеходов в среде дошкольников и учащихся младших классов"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1.4 "Обеспечение участия в окружном этапе "Безопасное колесо"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260,200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260,200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260,200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1.5 "Обеспечение безопасного участия детей в дорожном движении"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1.6 "Приобретение мультимедийных программ"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974 061R371634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974 061R3S1634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21.1.2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1.7 "Приобретение световозвращающих элементов для учащихся начальных классов"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974 061R371635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974 061R3S1635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22.1.2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1.9 "Организация и проведение конкурса "Автоледи"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192,395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1.10 "Обеспечение участия в региональном мероприятии по Автомногоборью 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325,020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325,020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325,020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1.11 "Обеспечение и проведение муниципального этапа по Автомногоборью 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136,100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136,100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136,100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2. Обеспечение правопорядка и профилактики правонарушений на территории Красноселькупского района 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834,682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834,682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образованием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№1: Совершенствование системы профилактики правонарушений на территории Красноселькупского района - всего, в том числе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834,682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834,682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2.1 "Проведение конкурса на звание "Лучший народный дружинник"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9 010 630 180 090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113,447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2.2 "Содержание добровольной народной дружины и казачества"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9 020 630 180 090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41.1.3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110,553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903 0630180090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911 0630180090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2.3 "Приобретение специальных технических средств"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966 0630180090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42.1.1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360,682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2.4 "Организация и проведение среди учащихся и воспитанников образовательных учреждений района конкурса рисунков и плакатов, посвященных Дню полиции "Полиция спешит на помощь"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974 0630180090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9,600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9,600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9,600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2.5. "Приобретение грамот для проведения конкурсов среди учащихся и воспитанников образовательных учреждений района"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974 0630180090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1,300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1,300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1,300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2.6 "Организация и проведение среди учащи</w:t>
            </w: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хся и воспитанников образовательных учреждений района творческого конкурса посвященного Дню полиции: - конкурс сочинений: "Сотрудник полиции глазами детей"; - конкурс чтецов "На страже закона"; - конкурс исполнительской песни "Людям в погонах, посвящается"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974 0630180090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45.1.1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 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1 697,670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46.2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1 544,670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408,670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255,670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№2: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 всего, в том числе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1 697,670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5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408,670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52.5.2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255,670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 "Районный конкурс на самое дружное интернациональное молодежное объединение "Палитра"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3.2 "Районный фестиваль содружеств детских и молодежных общественных объединений"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957 0630280100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3.3 "Проведение районного праздника "Содружество культур"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957 0630280100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3.7 "Приобретение, установка и содержание системы видеонаблюдения"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1 220,000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9 110 630 280 100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9020630280100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56.3.3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846,000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3.8 "Организация творческого конкурса "Россия - наш общий дом"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3.10 "Приобретение и установка антитеррористического оборудования ( для социальных объектов и объектов с массовым пребыванием людей)"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9570630271632 95706302S1632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156,500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156,500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3,500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МБУ ДО «Толькинская детская школа искусств»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156,500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58.2.2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3,500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3.11 "Мероприятия по профилактике экстремизма в сфере информационной политики"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9030630280100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59.1.1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3.12 "Изготовление социальных агитационных материалов, направленных на противодействие экстремизма и терроризма"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3.13 "Участие в мероприятиях, форумах, конференциях, семинарах, направленных на профилактику экстремизма и терроризма"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9570630280100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83,170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83,170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83,170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83,170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83,170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4. Профилактика безнадзорности и правонарушений несовершеннолетних 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413,850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413,850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всего, в том числе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84,000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413,850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413,850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4.1. "Организация и проведение районного турнира по единоборствам среди детей и подростков"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9570630380090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383,150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4.2. "Выплата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9570630380090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4.4. "Единовременная выплата при рождении ребенка семьям, постоянно проживающим на территории Красноселькупского района 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9480630320900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69.1.1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220,000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4.5. "Оказание адресной материальной помощи семьям, имеющим детей с ограниченными возможностями, зарегистрированных на территории Красноселькупского района"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9480630320900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100,463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70.1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100,463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70.1.1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100,463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4.7. "Оказание адресной социальной помощи несовершеннолетним и семьям, находящимся в социально опасном положении или в трудной жизненной ситуации"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9480630320900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93,388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93,388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71.1.1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93,388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4.8. "Проведение мероприятия по закрытию мотосезона "Рев тундры""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9740630380090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72.1.1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73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4.9. "Организация и проведение районного конкурса-фестиваля "Славься, Отечество наше свободное"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9740630380090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73.1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73.1.1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4.10. "Муниципальный проект «Кибердружина»"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9570630380090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74.2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74.2.1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5. Противодействие коррупции в Красноселькупском районе всего, в том числе: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76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76.1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8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77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№4: Недопущение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 всего, в том числе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77.1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78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78.1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79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5.2. "Изготовление и приобретение карманных, настольных и настенных календарей антикоррупционной направленности"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9660630480120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79.1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79.1.1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hAnsi="Liberation Sans" w:eastAsia="Times New Roman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27,000</w:t>
            </w:r>
            <w:r>
              <w:rPr>
                <w:rFonts w:ascii="Liberation Sans" w:hAnsi="Liberation Sans" w:cs="Liberation Sans"/>
                <w:sz w:val="23"/>
                <w:szCs w:val="23"/>
              </w:rPr>
            </w:r>
            <w:r/>
          </w:p>
        </w:tc>
      </w:tr>
    </w:tbl>
    <w:p>
      <w:pPr>
        <w:ind w:left="7788" w:firstLine="708"/>
        <w:jc w:val="both"/>
        <w:spacing w:after="0" w:after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  <w:t xml:space="preserve">            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afterAutospacing="0" w:line="240" w:lineRule="auto"/>
        <w:rPr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5.</w:t>
        <w:tab/>
        <w:t xml:space="preserve">Дополнить приложением №4 следующего содержания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«</w:t>
      </w:r>
      <w:r>
        <w:rPr>
          <w:highlight w:val="none"/>
        </w:rPr>
      </w:r>
      <w:r/>
    </w:p>
    <w:tbl>
      <w:tblPr>
        <w:tblStyle w:val="7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28"/>
        <w:gridCol w:w="1574"/>
        <w:gridCol w:w="39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6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  <w:t xml:space="preserve">Приложение № 4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2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6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к муниципальной программе муниципального округа Красноселькупский район Ямало-Ненецкого автономного округа «Безопасный район»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ind w:firstLine="0"/>
        <w:jc w:val="both"/>
        <w:spacing w:after="0" w:afterAutospacing="0" w:line="240" w:lineRule="auto"/>
        <w:rPr>
          <w:rFonts w:ascii="Liberation Sans" w:hAnsi="Liberation Sans" w:cs="Liberation Sans"/>
          <w:highlight w:val="whit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7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ДЕТАЛИЗИРОВАННЫЙ ПЕРЕЧЕНЬ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мероприятий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u w:val="single"/>
              </w:rPr>
              <w:t xml:space="preserve">"Безопасный район"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  <w:t xml:space="preserve">на 2024 год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205"/>
        <w:gridCol w:w="1730"/>
        <w:gridCol w:w="2151"/>
        <w:gridCol w:w="1844"/>
      </w:tblGrid>
      <w:tr>
        <w:trPr>
          <w:trHeight w:val="27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N п/п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Код бюджетной классификации 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Объем финансирования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 (тыс. руб.)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2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Муниципальная программа муниципального округа Красноселькупский район Ямало-Ненецкого автономного округа - "Безопасный район" всего,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12 568,000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8 104,000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4 464,000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2 018,000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1 379,000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8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8 316,000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7 465,000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851,000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1. Повышение безопасности дорожного движения в Красноселькупском районе всего,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1 949,000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1 310,000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1 757,000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1 118,000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Региональный проект "Безопасность дорожного движения",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1 949,000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1 310,000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1 757,000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1 118,000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1.1 "Приобретение наглядной агитации для общеобразовательных учреждений"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1.2 Обеспечение и проведение муниципального этапа "Безопасное колесо"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311,100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311,100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17.1.1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311,100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1.3 "Изготовление, приобретение световозвращающих приспособлений для пешеходов в среде дошкольников и учащихся младших классов"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1.4 "Обеспечение участия в окружном этапе "Безопасное колесо"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166,900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166,900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166,900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1.5 "Обеспечение безопасного участия детей в дорожном движении"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1.6 "Приобретение мультимедийных программ"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974 061R371634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974 061R3S1634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21.1.2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1.7 "Приобретение световозвращающих элементов для учащихся начальных классов"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974 061R371635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vMerge w:val="continue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974 061R3S1635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shd w:val="clear" w:color="f79646" w:fill="f7964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22.1.2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1.9 "Организация и проведение конкурса "Автоледи"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23.2.1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192,000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1.10 "Обеспечение участия в региональном мероприятии по Автомногоборью 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314,300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314,300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24.1.1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314,300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1.11 "Обеспечение и проведение муниципального этапа по Автомногоборью 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974 061R360700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155,700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155,700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25.1.1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155,700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2. Обеспечение правопорядка и профилактики правонарушений на территории Красноселькупского района всего,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образованием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5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№1: Совершенствование системы профилактики правонарушений на территории Красноселькупского района - всего, в том числе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2.1 "Проведение конкурса на звание "Лучший народный дружинник"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9 010 630 180 090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Ответственный исполнитель: Администрация Красноселькупского района (Контрольно-правовое управление Администрации Красноселькупского района)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2.2 "Содержание добровольной народной дружины и казачества"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338,000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9 020 630 180 090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903 0630180090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911 0630180090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41.3.1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2.3 "Приобретение специальных технических средств"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966 0630180090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42.1.1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144,000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5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2.4 "Организация и проведение среди учащихся и воспитанников образовательных учреждений района конкурса рисунков и плакатов, посвященных Дню полиции "Полиция спешит на помощь"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974 0630180090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9,600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9,600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43.1.3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9,600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2.5. "Приобретение грамот для проведения конкурсов среди учащихся и воспитанников образовательных учреждений района"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974 0630180090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1,400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1,400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44.1.1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1,400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2.6 "Организация и проведение среди учащи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хся и воспитанников образовательных учреждений района творческого конкурса посвященного Дню полиции: - конкурс сочинений: "Сотрудник полиции глазами детей"; - конкурс чтецов "На страже закона"; - конкурс исполнительской песни "Людям в погонах, посвящается"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974 0630180090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45.1.1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3. Комплексные меры по противодействию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Красноселькупского района всего,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8 924,000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7 465,000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46.2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1 459,000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880,000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880,000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7 821,000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7 465,000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356,000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№2: Укрепление единства российской нации, межнационального согласия, гармонизация межнациональных и межконфессиональных отношений в Красноселькупском районе всего, в том числе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8 924,000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153,000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880,000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880,000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7 821,000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7 465,000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52.5.2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356,000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 "Районный конкурс на самое дружное интернациональное молодежное объединение "Палитра"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53.2.1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3.2 "Районный фестиваль содружеств детских и молодежных общественных объединений"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957 0630280100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54.2.1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3.3 "Проведение районного праздника "Содружество культур"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957 0630280100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7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55.2.1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3.7 "Приобретение, установка и содержание системы видеонаблюдения"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1 032,000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132,000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Соисполнитель:Управление жизнеобеспечения села Красноселькуп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9 110 630 280 100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Толька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9020630280100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880,000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56.3.1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880,000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3.8 "Организация творческого конкурса "Россия - наш общий дом"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3.10 "Приобретение и установка антитеррористического оборудования ( для социальных объектов и объектов с массовым пребыванием людей)"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9570630271632 95706302S1632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7 541,000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79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7 541,000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7 465,000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76,000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МБУ ДО «Толькинская детская школа искусств»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58.2.2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МБУ «Центр развития физической культуры и спорта Красноселькупского района»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7 500,000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Окружной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7 425,000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58.3.2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3.11 "Мероприятия по профилактике экстремизма в сфере информационной политики"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9030630280100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администрация села Ратта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59.1.1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3.12 "Изготовление социальных агитационных материалов, направленных на противодействие экстремизма и терроризма"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60.2.1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3.13 "Участие в мероприятиях, форумах, конференциях, семинарах, направленных на профилактику экстремизма и терроризма"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9570630280100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61.2.1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4. Профилактика безнадзорности и правонарушений несовершеннолетних всего,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1 030,000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1 030,000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1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№3: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всего, в том числе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1 030,000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303,000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66.3.1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640,000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4.1. "Организация и проведение районного турнира по единоборствам среди детей и подростков"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9570630380090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67.1.1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189,000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4.2. "Выплата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9570630380090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68.2.1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4.4. "Единовременная выплата при рождении ребенка семьям, постоянно проживающим на территории Красноселькупского района 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9480630320900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69.1.1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345,000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4.5. "Оказание адресной материальной помощи семьям, имеющим детей с ограниченными возможностями, зарегистрированных на территории Красноселькупского района"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9480630320900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70.1.1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4.6 "Компенсация стоимости проезда в размере 100 процентов по детской оздоровительной путевке, приобретаемых департаментом по молодёжной политике и туризму ЯНАО к месту отдыха и обратно несовершеннолетним</w:t>
            </w: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 гражданам, состоящих на учете в комиссии по делам несовершеннолетних и защите их прав в Администрации района, в ПДН ОМВД России по Красноселькупскому району и для детей из семей, находящихся в социально-опасном положении, не являющимися малообеспеченными"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9480630387030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71.1.1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4.7. "Оказание адресной социальной помощи несовершеннолетним и семьям, находящимся в социально опасном положении или в трудной жизненной ситуации"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9480630320900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труду и социальной защиты населения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72.1.1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4.8. "Проведение мероприятия по закрытию мотосезона "Рев тундры""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9740630380090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43,500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73.1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43,500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73.1.1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43,500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4.9. "Организация и проведение районного конкурса-фестиваля "Славься, Отечество наше свободное"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9740630380090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43,500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43,500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74.1.1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43,500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4.10. "Муниципальный проект «Кибердружина»"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9570630380090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75.2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Участник: МУ «Центр молодежных инициатив»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75.2.1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bottom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57,000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76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Направление 5. Противодействие коррупции в Красноселькупском районе всего, в том числе: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76.1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77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77.1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ff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78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Комплекс процессных мероприятий №4: Недопущение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Красноселькупского района всего, в том числе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78.1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79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79.1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28,000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5.1. "Изготовление и приобретение листовок антикоррупционной направленности"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9660630480120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80.1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80.1.1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10,000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Мероприятие 5.2. "Изготовление и приобретение карманных, настольных и настенных календарей антикоррупционной направленности"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9660630480120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18,000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81.1.1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0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Местный бюджет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/>
                <w:sz w:val="23"/>
                <w:szCs w:val="23"/>
                <w:u w:val="none"/>
                <w:vertAlign w:val="baseline"/>
              </w:rPr>
              <w:t xml:space="preserve">18,000</w:t>
            </w:r>
            <w:r>
              <w:rPr>
                <w:sz w:val="23"/>
                <w:szCs w:val="23"/>
              </w:rPr>
            </w:r>
            <w:r/>
          </w:p>
        </w:tc>
      </w:tr>
    </w:tbl>
    <w:p>
      <w:pPr>
        <w:ind w:left="7795" w:right="0" w:hanging="7788"/>
        <w:jc w:val="right"/>
        <w:spacing w:after="0" w:afterAutospacing="0" w:line="240" w:lineRule="auto"/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cs="Liberation Sans"/>
          <w:sz w:val="28"/>
          <w:szCs w:val="28"/>
          <w:highlight w:val="yellow"/>
        </w:rPr>
        <w:t xml:space="preserve">                                                                                                   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   </w:t>
        <w:tab/>
        <w:tab/>
        <w:t xml:space="preserve">».</w:t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left" w:pos="2786" w:leader="none"/>
      </w:tabs>
      <w:rPr>
        <w:highlight w:val="none"/>
      </w:rPr>
    </w:pPr>
    <w:r>
      <w:rPr>
        <w:highlight w:val="none"/>
      </w:rPr>
    </w:r>
    <w:r>
      <w:rPr>
        <w:highlight w:val="none"/>
      </w:rPr>
    </w:r>
    <w:r/>
  </w:p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700">
    <w:name w:val="Heading 2 Char"/>
    <w:basedOn w:val="723"/>
    <w:link w:val="715"/>
    <w:uiPriority w:val="9"/>
    <w:rPr>
      <w:rFonts w:ascii="Arial" w:hAnsi="Arial" w:eastAsia="Arial" w:cs="Arial"/>
      <w:sz w:val="34"/>
    </w:rPr>
  </w:style>
  <w:style w:type="character" w:styleId="701">
    <w:name w:val="Heading 4 Char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04">
    <w:name w:val="Heading 7 Char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8 Char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06">
    <w:name w:val="Heading 9 Char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723"/>
    <w:link w:val="736"/>
    <w:uiPriority w:val="10"/>
    <w:rPr>
      <w:sz w:val="48"/>
      <w:szCs w:val="48"/>
    </w:rPr>
  </w:style>
  <w:style w:type="character" w:styleId="708">
    <w:name w:val="Subtitle Char"/>
    <w:basedOn w:val="723"/>
    <w:link w:val="738"/>
    <w:uiPriority w:val="11"/>
    <w:rPr>
      <w:sz w:val="24"/>
      <w:szCs w:val="24"/>
    </w:rPr>
  </w:style>
  <w:style w:type="character" w:styleId="709">
    <w:name w:val="Quote Char"/>
    <w:link w:val="740"/>
    <w:uiPriority w:val="29"/>
    <w:rPr>
      <w:i/>
    </w:rPr>
  </w:style>
  <w:style w:type="character" w:styleId="710">
    <w:name w:val="Intense Quote Char"/>
    <w:link w:val="742"/>
    <w:uiPriority w:val="30"/>
    <w:rPr>
      <w:i/>
    </w:rPr>
  </w:style>
  <w:style w:type="character" w:styleId="711">
    <w:name w:val="Footnote Text Char"/>
    <w:link w:val="875"/>
    <w:uiPriority w:val="99"/>
    <w:rPr>
      <w:sz w:val="18"/>
    </w:rPr>
  </w:style>
  <w:style w:type="character" w:styleId="712">
    <w:name w:val="Endnote Text Char"/>
    <w:link w:val="878"/>
    <w:uiPriority w:val="99"/>
    <w:rPr>
      <w:sz w:val="20"/>
    </w:rPr>
  </w:style>
  <w:style w:type="paragraph" w:styleId="713" w:default="1">
    <w:name w:val="Normal"/>
    <w:qFormat/>
  </w:style>
  <w:style w:type="paragraph" w:styleId="714">
    <w:name w:val="Heading 1"/>
    <w:basedOn w:val="713"/>
    <w:next w:val="713"/>
    <w:link w:val="72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5">
    <w:name w:val="Heading 2"/>
    <w:basedOn w:val="713"/>
    <w:next w:val="713"/>
    <w:link w:val="72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6">
    <w:name w:val="Heading 3"/>
    <w:basedOn w:val="713"/>
    <w:next w:val="713"/>
    <w:link w:val="728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17">
    <w:name w:val="Heading 4"/>
    <w:basedOn w:val="713"/>
    <w:next w:val="713"/>
    <w:link w:val="72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713"/>
    <w:next w:val="713"/>
    <w:link w:val="73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713"/>
    <w:next w:val="713"/>
    <w:link w:val="73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0">
    <w:name w:val="Heading 7"/>
    <w:basedOn w:val="713"/>
    <w:next w:val="713"/>
    <w:link w:val="73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1">
    <w:name w:val="Heading 8"/>
    <w:basedOn w:val="713"/>
    <w:next w:val="713"/>
    <w:link w:val="73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2">
    <w:name w:val="Heading 9"/>
    <w:basedOn w:val="713"/>
    <w:next w:val="713"/>
    <w:link w:val="73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eastAsia="Arial" w:cs="Arial"/>
      <w:sz w:val="34"/>
    </w:rPr>
  </w:style>
  <w:style w:type="character" w:styleId="728" w:customStyle="1">
    <w:name w:val="Заголовок 3 Знак"/>
    <w:basedOn w:val="723"/>
    <w:link w:val="716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35" w:customStyle="1">
    <w:name w:val="Heading 3 Char"/>
    <w:basedOn w:val="723"/>
    <w:uiPriority w:val="9"/>
    <w:rPr>
      <w:rFonts w:ascii="Arial" w:hAnsi="Arial" w:eastAsia="Arial" w:cs="Arial"/>
      <w:sz w:val="30"/>
      <w:szCs w:val="30"/>
    </w:rPr>
  </w:style>
  <w:style w:type="paragraph" w:styleId="736">
    <w:name w:val="Title"/>
    <w:basedOn w:val="713"/>
    <w:next w:val="713"/>
    <w:link w:val="737"/>
    <w:uiPriority w:val="10"/>
    <w:qFormat/>
    <w:pPr>
      <w:contextualSpacing/>
      <w:spacing w:before="300"/>
    </w:pPr>
    <w:rPr>
      <w:sz w:val="48"/>
      <w:szCs w:val="48"/>
    </w:rPr>
  </w:style>
  <w:style w:type="character" w:styleId="737" w:customStyle="1">
    <w:name w:val="Заголовок Знак"/>
    <w:basedOn w:val="723"/>
    <w:link w:val="736"/>
    <w:uiPriority w:val="10"/>
    <w:rPr>
      <w:sz w:val="48"/>
      <w:szCs w:val="48"/>
    </w:rPr>
  </w:style>
  <w:style w:type="paragraph" w:styleId="738">
    <w:name w:val="Subtitle"/>
    <w:basedOn w:val="713"/>
    <w:next w:val="713"/>
    <w:link w:val="739"/>
    <w:uiPriority w:val="11"/>
    <w:qFormat/>
    <w:pPr>
      <w:spacing w:before="200"/>
    </w:pPr>
    <w:rPr>
      <w:sz w:val="24"/>
      <w:szCs w:val="24"/>
    </w:rPr>
  </w:style>
  <w:style w:type="character" w:styleId="739" w:customStyle="1">
    <w:name w:val="Подзаголовок Знак"/>
    <w:basedOn w:val="723"/>
    <w:link w:val="738"/>
    <w:uiPriority w:val="11"/>
    <w:rPr>
      <w:sz w:val="24"/>
      <w:szCs w:val="24"/>
    </w:rPr>
  </w:style>
  <w:style w:type="paragraph" w:styleId="740">
    <w:name w:val="Quote"/>
    <w:basedOn w:val="713"/>
    <w:next w:val="713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13"/>
    <w:next w:val="713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23"/>
    <w:uiPriority w:val="99"/>
  </w:style>
  <w:style w:type="character" w:styleId="745" w:customStyle="1">
    <w:name w:val="Footer Char"/>
    <w:basedOn w:val="723"/>
    <w:uiPriority w:val="99"/>
  </w:style>
  <w:style w:type="paragraph" w:styleId="746">
    <w:name w:val="Caption"/>
    <w:basedOn w:val="713"/>
    <w:next w:val="71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7" w:customStyle="1">
    <w:name w:val="Caption Char"/>
    <w:uiPriority w:val="99"/>
  </w:style>
  <w:style w:type="table" w:styleId="748">
    <w:name w:val="Table Grid"/>
    <w:basedOn w:val="7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9" w:customStyle="1">
    <w:name w:val="Table Grid Light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0">
    <w:name w:val="Plain Table 1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2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8" w:customStyle="1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9" w:customStyle="1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0" w:customStyle="1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1" w:customStyle="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2" w:customStyle="1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1" w:customStyle="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2" w:customStyle="1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3" w:customStyle="1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4" w:customStyle="1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5" w:customStyle="1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 &amp; 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Bordered &amp; 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Bordered &amp; 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Bordered &amp; 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Bordered &amp; 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Bordered &amp; 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Bordered &amp; 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9" w:customStyle="1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0" w:customStyle="1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1" w:customStyle="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2" w:customStyle="1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3" w:customStyle="1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713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23"/>
    <w:uiPriority w:val="99"/>
    <w:unhideWhenUsed/>
    <w:rPr>
      <w:vertAlign w:val="superscript"/>
    </w:rPr>
  </w:style>
  <w:style w:type="paragraph" w:styleId="878">
    <w:name w:val="endnote text"/>
    <w:basedOn w:val="713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23"/>
    <w:uiPriority w:val="99"/>
    <w:semiHidden/>
    <w:unhideWhenUsed/>
    <w:rPr>
      <w:vertAlign w:val="superscript"/>
    </w:rPr>
  </w:style>
  <w:style w:type="paragraph" w:styleId="881">
    <w:name w:val="toc 1"/>
    <w:basedOn w:val="713"/>
    <w:next w:val="713"/>
    <w:uiPriority w:val="39"/>
    <w:unhideWhenUsed/>
    <w:pPr>
      <w:spacing w:after="57"/>
    </w:pPr>
  </w:style>
  <w:style w:type="paragraph" w:styleId="882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3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4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5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6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7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8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9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3"/>
    <w:next w:val="713"/>
    <w:uiPriority w:val="99"/>
    <w:unhideWhenUsed/>
    <w:pPr>
      <w:spacing w:after="0"/>
    </w:pPr>
  </w:style>
  <w:style w:type="paragraph" w:styleId="892">
    <w:name w:val="List Paragraph"/>
    <w:basedOn w:val="713"/>
    <w:link w:val="893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character" w:styleId="893" w:customStyle="1">
    <w:name w:val="Абзац списка Знак"/>
    <w:link w:val="892"/>
    <w:uiPriority w:val="34"/>
    <w:rPr>
      <w:rFonts w:ascii="Calibri" w:hAnsi="Calibri" w:eastAsia="Calibri" w:cs="Times New Roman"/>
    </w:rPr>
  </w:style>
  <w:style w:type="paragraph" w:styleId="894">
    <w:name w:val="Body Text"/>
    <w:basedOn w:val="713"/>
    <w:link w:val="89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95" w:customStyle="1">
    <w:name w:val="Основной текст Знак"/>
    <w:basedOn w:val="723"/>
    <w:link w:val="89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7">
    <w:name w:val="Header"/>
    <w:basedOn w:val="713"/>
    <w:link w:val="8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8" w:customStyle="1">
    <w:name w:val="Верхний колонтитул Знак"/>
    <w:basedOn w:val="723"/>
    <w:link w:val="897"/>
    <w:uiPriority w:val="99"/>
  </w:style>
  <w:style w:type="paragraph" w:styleId="899">
    <w:name w:val="Footer"/>
    <w:basedOn w:val="713"/>
    <w:link w:val="90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0" w:customStyle="1">
    <w:name w:val="Нижний колонтитул Знак"/>
    <w:basedOn w:val="723"/>
    <w:link w:val="899"/>
    <w:uiPriority w:val="99"/>
  </w:style>
  <w:style w:type="paragraph" w:styleId="90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902">
    <w:name w:val="Balloon Text"/>
    <w:basedOn w:val="713"/>
    <w:link w:val="9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3" w:customStyle="1">
    <w:name w:val="Текст выноски Знак"/>
    <w:basedOn w:val="723"/>
    <w:link w:val="902"/>
    <w:uiPriority w:val="99"/>
    <w:semiHidden/>
    <w:rPr>
      <w:rFonts w:ascii="Tahoma" w:hAnsi="Tahoma" w:cs="Tahoma"/>
      <w:sz w:val="16"/>
      <w:szCs w:val="16"/>
    </w:rPr>
  </w:style>
  <w:style w:type="paragraph" w:styleId="904" w:customStyle="1">
    <w:name w:val="Нижний колонтитул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53</cp:revision>
  <dcterms:created xsi:type="dcterms:W3CDTF">2022-12-27T06:42:00Z</dcterms:created>
  <dcterms:modified xsi:type="dcterms:W3CDTF">2024-02-22T10:45:23Z</dcterms:modified>
</cp:coreProperties>
</file>