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tabs>
          <w:tab w:val="left" w:pos="142" w:leader="none"/>
        </w:tabs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  <w:r>
        <w:rPr>
          <w:rFonts w:ascii="Times New Roman" w:hAnsi="Times New Roman"/>
          <w:b/>
          <w:sz w:val="24"/>
          <w:szCs w:val="24"/>
          <w:lang w:eastAsia="zh-C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7.0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Document.12" ShapeID="_x0000_i0" Type="Embed"/>
        </w:object>
      </w:r>
      <w:r/>
    </w:p>
    <w:p>
      <w:pPr>
        <w:contextualSpacing/>
        <w:jc w:val="center"/>
        <w:keepNext/>
        <w:spacing w:after="0" w:afterAutospacing="0" w:line="17" w:lineRule="atLeast"/>
        <w:rPr>
          <w:rFonts w:ascii="Liberation Sans" w:hAnsi="Liberation Sans" w:eastAsia="Arial Unicode MS" w:cs="Liberation Sans"/>
          <w:b/>
          <w:sz w:val="28"/>
          <w:szCs w:val="28"/>
          <w:lang w:eastAsia="zh-CN"/>
        </w:rPr>
      </w:pPr>
      <w:r>
        <w:rPr>
          <w:rFonts w:ascii="Liberation Sans" w:hAnsi="Liberation Sans" w:eastAsia="Arial Unicode MS" w:cs="Liberation Sans"/>
          <w:b/>
          <w:sz w:val="28"/>
          <w:szCs w:val="28"/>
          <w:lang w:eastAsia="zh-CN"/>
        </w:rPr>
        <w:t xml:space="preserve">АДМИНИСТРАЦИЯ КРАСНОСЕЛЬКУПСКОГО РАЙОНА</w:t>
      </w:r>
      <w:r/>
    </w:p>
    <w:p>
      <w:pPr>
        <w:contextualSpacing/>
        <w:jc w:val="center"/>
        <w:keepNext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eastAsia="Arial Unicode MS" w:cs="Liberation Sans"/>
          <w:b/>
          <w:sz w:val="28"/>
          <w:szCs w:val="28"/>
          <w:lang w:eastAsia="zh-CN"/>
        </w:rPr>
        <w:t xml:space="preserve">ПОСТАНОВЛЕНИЕ</w:t>
      </w:r>
      <w:r/>
    </w:p>
    <w:p>
      <w:pPr>
        <w:pStyle w:val="876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76"/>
        <w:contextualSpacing/>
        <w:jc w:val="both"/>
        <w:spacing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«19» февраля 2024 г.                                                                          № 52-П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pStyle w:val="878"/>
        <w:contextualSpacing/>
        <w:ind w:firstLine="0"/>
        <w:jc w:val="center"/>
        <w:spacing w:after="0" w:afterAutospacing="0" w:line="17" w:lineRule="atLeast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78"/>
        <w:contextualSpacing/>
        <w:ind w:firstLine="0"/>
        <w:jc w:val="center"/>
        <w:spacing w:after="0" w:afterAutospacing="0" w:line="17" w:lineRule="atLeast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внесении изменений в приложения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№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№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1,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3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к Положению об оплате труда работников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муниципального учреждения «</w:t>
      </w:r>
      <w:r>
        <w:rPr>
          <w:rFonts w:ascii="Liberation Sans" w:hAnsi="Liberation Sans" w:cs="Liberation Sans"/>
          <w:b/>
          <w:sz w:val="28"/>
          <w:szCs w:val="28"/>
        </w:rPr>
        <w:t xml:space="preserve">Центр по обеспечению деятельности муниципальной системы образования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»</w: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ind w:firstLine="720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</w:t>
      </w:r>
      <w:r>
        <w:rPr>
          <w:rFonts w:ascii="Liberation Sans" w:hAnsi="Liberation Sans" w:cs="Liberation Sans"/>
          <w:sz w:val="28"/>
          <w:szCs w:val="28"/>
        </w:rPr>
        <w:t xml:space="preserve">о статьей 144 Трудового кодекса </w:t>
      </w:r>
      <w:r>
        <w:rPr>
          <w:rFonts w:ascii="Liberation Sans" w:hAnsi="Liberation Sans" w:cs="Liberation Sans"/>
          <w:sz w:val="28"/>
          <w:szCs w:val="28"/>
        </w:rPr>
        <w:t xml:space="preserve">Российской Федерации, пунктом 4 статьи 86 Бюджетного кодекса Российской Федерации,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</w:t>
      </w:r>
      <w:r>
        <w:rPr>
          <w:rFonts w:ascii="Liberation Sans" w:hAnsi="Liberation Sans" w:cs="Liberation Sans"/>
          <w:sz w:val="28"/>
          <w:szCs w:val="28"/>
        </w:rPr>
        <w:t xml:space="preserve">лением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 от </w:t>
      </w:r>
      <w:r>
        <w:rPr>
          <w:rFonts w:ascii="Liberation Sans" w:hAnsi="Liberation Sans" w:cs="Liberation Sans"/>
          <w:sz w:val="28"/>
          <w:szCs w:val="28"/>
        </w:rPr>
        <w:t xml:space="preserve">24 но</w:t>
      </w:r>
      <w:r>
        <w:rPr>
          <w:rFonts w:ascii="Liberation Sans" w:hAnsi="Liberation Sans" w:cs="Liberation Sans"/>
          <w:sz w:val="28"/>
          <w:szCs w:val="28"/>
        </w:rPr>
        <w:t xml:space="preserve">ября</w:t>
      </w:r>
      <w:r>
        <w:rPr>
          <w:rFonts w:ascii="Liberation Sans" w:hAnsi="Liberation Sans" w:cs="Liberation Sans"/>
          <w:sz w:val="28"/>
          <w:szCs w:val="28"/>
        </w:rPr>
        <w:t xml:space="preserve"> 2023 года № 417</w:t>
      </w:r>
      <w:r>
        <w:rPr>
          <w:rFonts w:ascii="Liberation Sans" w:hAnsi="Liberation Sans" w:cs="Liberation Sans"/>
          <w:sz w:val="28"/>
          <w:szCs w:val="28"/>
        </w:rPr>
        <w:t xml:space="preserve">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 внесении изменения в приложение № 3 к Положению об установлении</w:t>
      </w:r>
      <w:r>
        <w:rPr>
          <w:rFonts w:ascii="Liberation Sans" w:hAnsi="Liberation Sans" w:cs="Liberation Sans"/>
          <w:sz w:val="28"/>
          <w:szCs w:val="28"/>
        </w:rPr>
        <w:t xml:space="preserve"> систем оплаты труда работников муниципальных учреждений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»,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Уставом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муниципального</w:t>
      </w:r>
      <w:r>
        <w:rPr>
          <w:rFonts w:ascii="Liberation Sans" w:hAnsi="Liberation Sans" w:cs="Liberation Sans"/>
          <w:sz w:val="28"/>
          <w:szCs w:val="28"/>
        </w:rPr>
        <w:t xml:space="preserve"> округа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 Администрация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/>
    </w:p>
    <w:p>
      <w:pPr>
        <w:numPr>
          <w:ilvl w:val="0"/>
          <w:numId w:val="1"/>
        </w:numPr>
        <w:contextualSpacing/>
        <w:ind w:left="0" w:firstLine="720"/>
        <w:jc w:val="both"/>
        <w:spacing w:after="0" w:afterAutospacing="0"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Утвердить </w:t>
      </w:r>
      <w:r>
        <w:rPr>
          <w:rFonts w:ascii="Liberation Sans" w:hAnsi="Liberation Sans" w:cs="Liberation Sans"/>
          <w:sz w:val="28"/>
          <w:szCs w:val="28"/>
        </w:rPr>
        <w:t xml:space="preserve">прилагаемые изменения, которые вносятся в приложения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№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1, 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, 3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 Положению об оплате труда работников муниципального учреждения «Центр по обеспечению деятельности муниципальной системы образования», утверждённому 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от 30 апреля 2019 года № П-158.</w:t>
      </w:r>
      <w:r/>
    </w:p>
    <w:p>
      <w:pPr>
        <w:contextualSpacing/>
        <w:ind w:firstLine="720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</w:t>
      </w:r>
      <w:r>
        <w:rPr>
          <w:rFonts w:ascii="Liberation Sans" w:hAnsi="Liberation Sans" w:cs="Liberation Sans"/>
          <w:sz w:val="28"/>
          <w:szCs w:val="28"/>
        </w:rPr>
        <w:t xml:space="preserve">е постановление 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газете </w:t>
      </w:r>
      <w:r>
        <w:rPr>
          <w:rFonts w:ascii="Liberation Sans" w:hAnsi="Liberation Sans" w:cs="Liberation Sans"/>
          <w:sz w:val="28"/>
          <w:szCs w:val="28"/>
        </w:rPr>
        <w:t xml:space="preserve">«Северный край» и раз</w:t>
      </w:r>
      <w:r>
        <w:rPr>
          <w:rFonts w:ascii="Liberation Sans" w:hAnsi="Liberation Sans" w:cs="Liberation Sans"/>
          <w:sz w:val="28"/>
          <w:szCs w:val="28"/>
        </w:rPr>
        <w:t xml:space="preserve">местить на официальном сайте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contextualSpacing/>
        <w:ind w:firstLine="720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Настоящее постановление вступает в силу </w:t>
      </w:r>
      <w:r>
        <w:rPr>
          <w:rFonts w:ascii="Liberation Sans" w:hAnsi="Liberation Sans" w:cs="Liberation Sans"/>
          <w:sz w:val="28"/>
          <w:szCs w:val="28"/>
        </w:rPr>
        <w:t xml:space="preserve">с 01 ма</w:t>
      </w:r>
      <w:r>
        <w:rPr>
          <w:rFonts w:ascii="Liberation Sans" w:hAnsi="Liberation Sans" w:cs="Liberation Sans"/>
          <w:sz w:val="28"/>
          <w:szCs w:val="28"/>
        </w:rPr>
        <w:t xml:space="preserve">я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2024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года. </w:t>
      </w:r>
      <w:r/>
    </w:p>
    <w:p>
      <w:pPr>
        <w:contextualSpacing/>
        <w:ind w:firstLine="851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/>
        <w:spacing w:after="0" w:afterAutospacing="0" w:line="17" w:lineRule="atLeast"/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</w:rPr>
        <w:t xml:space="preserve">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 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М.М. Иманов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-1" w:firstLine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-1" w:firstLine="0"/>
        <w:spacing w:after="0" w:afterAutospacing="0" w:line="17" w:lineRule="atLeast"/>
        <w:tabs>
          <w:tab w:val="left" w:pos="496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-1" w:firstLine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/>
    </w:p>
    <w:p>
      <w:pPr>
        <w:contextualSpacing/>
        <w:ind w:left="4961" w:right="-1" w:firstLine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/>
    </w:p>
    <w:p>
      <w:pPr>
        <w:contextualSpacing/>
        <w:ind w:left="4961" w:right="-1" w:firstLine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/>
    </w:p>
    <w:p>
      <w:pPr>
        <w:pStyle w:val="876"/>
        <w:contextualSpacing/>
        <w:ind w:left="4961" w:right="0" w:firstLine="0"/>
        <w:jc w:val="both"/>
        <w:spacing w:after="0" w:afterAutospacing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«19» февраля 2024 г. № 52-П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left="4962" w:right="-284" w:firstLine="702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664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ИЗМЕНЕНИЯ</w:t>
      </w:r>
      <w:r>
        <w:rPr>
          <w:rFonts w:ascii="Liberation Sans" w:hAnsi="Liberation Sans" w:cs="Liberation Sans"/>
          <w:b/>
          <w:sz w:val="28"/>
          <w:szCs w:val="28"/>
        </w:rPr>
        <w:t xml:space="preserve">, </w:t>
      </w:r>
      <w:r/>
    </w:p>
    <w:p>
      <w:pPr>
        <w:contextualSpacing/>
        <w:ind w:right="-1"/>
        <w:jc w:val="center"/>
        <w:spacing w:after="0" w:afterAutospacing="0"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</w:t>
      </w:r>
      <w:r>
        <w:rPr>
          <w:rFonts w:ascii="Liberation Sans" w:hAnsi="Liberation Sans" w:cs="Liberation Sans"/>
          <w:sz w:val="28"/>
          <w:szCs w:val="28"/>
        </w:rPr>
        <w:t xml:space="preserve">орые вносятся в п</w:t>
      </w:r>
      <w:r>
        <w:rPr>
          <w:rFonts w:ascii="Liberation Sans" w:hAnsi="Liberation Sans" w:cs="Liberation Sans"/>
          <w:sz w:val="28"/>
          <w:szCs w:val="28"/>
        </w:rPr>
        <w:t xml:space="preserve">риложения</w:t>
      </w:r>
      <w:r>
        <w:rPr>
          <w:rFonts w:ascii="Liberation Sans" w:hAnsi="Liberation Sans" w:cs="Liberation Sans"/>
          <w:sz w:val="28"/>
          <w:szCs w:val="28"/>
        </w:rPr>
        <w:t xml:space="preserve"> №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1, 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к Положению об оплате труда работников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муниципального учреждения «</w:t>
      </w:r>
      <w:r>
        <w:rPr>
          <w:rFonts w:ascii="Liberation Sans" w:hAnsi="Liberation Sans" w:cs="Liberation Sans"/>
          <w:sz w:val="28"/>
          <w:szCs w:val="28"/>
        </w:rPr>
        <w:t xml:space="preserve">Центр по обеспечению деятельности муниципальной системы образования</w:t>
      </w:r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утверждённому 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обра</w:t>
      </w:r>
      <w:r>
        <w:rPr>
          <w:rFonts w:ascii="Liberation Sans" w:hAnsi="Liberation Sans" w:cs="Liberation Sans"/>
          <w:sz w:val="28"/>
          <w:szCs w:val="28"/>
        </w:rPr>
        <w:t xml:space="preserve">зования Красноселькупский район от </w:t>
      </w:r>
      <w:r>
        <w:rPr>
          <w:rFonts w:ascii="Liberation Sans" w:hAnsi="Liberation Sans" w:cs="Liberation Sans"/>
          <w:sz w:val="28"/>
          <w:szCs w:val="28"/>
        </w:rPr>
        <w:t xml:space="preserve">30 апреля 2019 года № П-158</w:t>
      </w:r>
      <w:r/>
    </w:p>
    <w:p>
      <w:pPr>
        <w:ind w:right="-143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right="-1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/>
      <w:bookmarkStart w:id="0" w:name="_GoBack"/>
      <w:r/>
      <w:bookmarkEnd w:id="0"/>
      <w:r>
        <w:rPr>
          <w:rFonts w:ascii="Liberation Sans" w:hAnsi="Liberation Sans" w:cs="Liberation Sans"/>
          <w:bCs/>
          <w:sz w:val="28"/>
          <w:szCs w:val="28"/>
        </w:rPr>
        <w:t xml:space="preserve">Приложения</w:t>
      </w:r>
      <w:r>
        <w:rPr>
          <w:rFonts w:ascii="Liberation Sans" w:hAnsi="Liberation Sans" w:cs="Liberation Sans"/>
          <w:bCs/>
          <w:sz w:val="28"/>
          <w:szCs w:val="28"/>
        </w:rPr>
        <w:t xml:space="preserve"> №</w:t>
      </w:r>
      <w:r>
        <w:rPr>
          <w:rFonts w:ascii="Liberation Sans" w:hAnsi="Liberation Sans" w:cs="Liberation Sans"/>
          <w:bCs/>
          <w:sz w:val="28"/>
          <w:szCs w:val="28"/>
        </w:rPr>
        <w:t xml:space="preserve">№ 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1, </w:t>
      </w:r>
      <w:r>
        <w:rPr>
          <w:rFonts w:ascii="Liberation Sans" w:hAnsi="Liberation Sans" w:cs="Liberation Sans"/>
          <w:bCs/>
          <w:sz w:val="28"/>
          <w:szCs w:val="28"/>
        </w:rPr>
        <w:t xml:space="preserve">2</w:t>
      </w:r>
      <w:r>
        <w:rPr>
          <w:rFonts w:ascii="Liberation Sans" w:hAnsi="Liberation Sans" w:cs="Liberation Sans"/>
          <w:bCs/>
          <w:sz w:val="28"/>
          <w:szCs w:val="28"/>
        </w:rPr>
        <w:t xml:space="preserve">,3</w:t>
      </w:r>
      <w:r>
        <w:rPr>
          <w:rFonts w:ascii="Liberation Sans" w:hAnsi="Liberation Sans" w:cs="Liberation Sans"/>
          <w:bCs/>
          <w:sz w:val="28"/>
          <w:szCs w:val="28"/>
        </w:rPr>
        <w:t xml:space="preserve"> к 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Положени</w:t>
      </w:r>
      <w:r>
        <w:rPr>
          <w:rFonts w:ascii="Liberation Sans" w:hAnsi="Liberation Sans" w:cs="Liberation Sans"/>
          <w:bCs/>
          <w:sz w:val="28"/>
          <w:szCs w:val="28"/>
        </w:rPr>
        <w:t xml:space="preserve">ю изложить в следующей </w:t>
      </w:r>
      <w:r>
        <w:rPr>
          <w:rFonts w:ascii="Liberation Sans" w:hAnsi="Liberation Sans" w:cs="Liberation Sans"/>
          <w:bCs/>
          <w:sz w:val="28"/>
          <w:szCs w:val="28"/>
        </w:rPr>
        <w:t xml:space="preserve">редакции:</w:t>
      </w:r>
      <w:r/>
    </w:p>
    <w:p>
      <w:pPr>
        <w:ind w:right="-1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880"/>
        <w:ind w:right="-143"/>
        <w:tabs>
          <w:tab w:val="left" w:pos="4820" w:leader="none"/>
          <w:tab w:val="left" w:pos="496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« Приложение № 1</w:t>
      </w:r>
      <w:r/>
    </w:p>
    <w:p>
      <w:pPr>
        <w:pStyle w:val="880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Положению об оплате труда</w:t>
      </w:r>
      <w:r/>
    </w:p>
    <w:p>
      <w:pPr>
        <w:pStyle w:val="880"/>
        <w:ind w:left="495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работников муниципального учреждения «Центр по обеспечению деятельности муниципальной системы образования»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/>
      <w:bookmarkStart w:id="1" w:name="Par233"/>
      <w:r/>
      <w:bookmarkEnd w:id="1"/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должностей по категориям работников муниципального учреждения «Центр по обеспечению деятельности муниципальной системы образования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70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01"/>
        <w:gridCol w:w="2295"/>
        <w:gridCol w:w="6805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N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Наименование категорий работников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Наименование должностей по категориям работников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  <w:outlineLvl w:val="2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I. РУКОВОДИТЕЛИ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Руководитель 1 уровня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директор.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Руководитель 2 уровня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заместитель директора (по направлению д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еятельности); главный бухгалтер; главный инженер.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  <w:outlineLvl w:val="2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II. СПЕЦИАЛИСТЫ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Специалисты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заместитель главного бухгалтера (по направлению деятельности); начальник отдела информации; </w:t>
            </w:r>
            <w:r/>
          </w:p>
          <w:p>
            <w:pPr>
              <w:ind w:right="-163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методист; бухгалтер; экономист; ведущий экономист; заведующий  (ОРиМО); заведующий хозяйством; инженер по ремонту; инженер – электроник (электроник); инженер по защите информации; ведущий юрисконсульт; специалист по кадрам; секретарь руководителя;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аналитик; инженер;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контрактный управляющий.    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 РАБОЧИЕ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Рабочие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курьер; рабочий по комплексному обслуживанию и ремонту зданий; уборщик служе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бных помещений; сторож (вахтёр)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</w:t>
            </w:r>
            <w:r/>
          </w:p>
        </w:tc>
      </w:tr>
    </w:tbl>
    <w:p>
      <w:pPr>
        <w:pStyle w:val="880"/>
        <w:tabs>
          <w:tab w:val="left" w:pos="4820" w:leader="none"/>
          <w:tab w:val="left" w:pos="4962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tabs>
          <w:tab w:val="left" w:pos="4820" w:leader="none"/>
          <w:tab w:val="left" w:pos="496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  <w:t xml:space="preserve"> № 2</w:t>
      </w:r>
      <w:r/>
    </w:p>
    <w:p>
      <w:pPr>
        <w:pStyle w:val="880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Положению об оплате труда</w:t>
      </w:r>
      <w:r/>
    </w:p>
    <w:p>
      <w:pPr>
        <w:pStyle w:val="880"/>
        <w:ind w:left="495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работников муниципального учреждения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«Центр по обеспечению деятельности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системы образования»</w:t>
      </w:r>
      <w:r/>
    </w:p>
    <w:p>
      <w:pPr>
        <w:pStyle w:val="876"/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76"/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80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ПРОФЕССИОНАЛЬНЫЕ КВАЛИФИКАЦИОННЫЕ ГРУППЫ</w:t>
      </w:r>
      <w:r/>
    </w:p>
    <w:p>
      <w:pPr>
        <w:pStyle w:val="88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должностей служащих, профессий рабочих и размеры окладов</w:t>
      </w:r>
      <w:r/>
    </w:p>
    <w:p>
      <w:pPr>
        <w:pStyle w:val="88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/>
    </w:p>
    <w:tbl>
      <w:tblPr>
        <w:tblStyle w:val="885"/>
        <w:tblW w:w="9747" w:type="dxa"/>
        <w:tblLook w:val="04A0" w:firstRow="1" w:lastRow="0" w:firstColumn="1" w:lastColumn="0" w:noHBand="0" w:noVBand="1"/>
      </w:tblPr>
      <w:tblGrid>
        <w:gridCol w:w="917"/>
        <w:gridCol w:w="7"/>
        <w:gridCol w:w="3060"/>
        <w:gridCol w:w="31"/>
        <w:gridCol w:w="15"/>
        <w:gridCol w:w="3808"/>
        <w:gridCol w:w="12"/>
        <w:gridCol w:w="1897"/>
      </w:tblGrid>
      <w:tr>
        <w:trPr>
          <w:tblHeader/>
        </w:trPr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N п/п</w:t>
            </w:r>
            <w:r/>
          </w:p>
        </w:tc>
        <w:tc>
          <w:tcPr>
            <w:gridSpan w:val="3"/>
            <w:tcW w:w="310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gridSpan w:val="2"/>
            <w:tcW w:w="38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Наименование должностей служащих (профессий рабочих)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Размер оклада, рублей</w:t>
            </w:r>
            <w:r/>
          </w:p>
        </w:tc>
      </w:tr>
      <w:tr>
        <w:trPr>
          <w:tblHeader/>
        </w:trPr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gridSpan w:val="3"/>
            <w:tcW w:w="310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38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6"/>
            <w:tcW w:w="88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Профессиональные квалификационные группы общеотраслевых профессий рабочих</w:t>
            </w:r>
            <w:r/>
          </w:p>
        </w:tc>
      </w:tr>
      <w:tr>
        <w:trPr/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1.1.</w:t>
            </w:r>
            <w:r/>
          </w:p>
        </w:tc>
        <w:tc>
          <w:tcPr>
            <w:gridSpan w:val="6"/>
            <w:tcW w:w="88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/>
          </w:p>
        </w:tc>
      </w:tr>
      <w:tr>
        <w:trPr/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1.1.1.</w:t>
            </w:r>
            <w:r/>
          </w:p>
        </w:tc>
        <w:tc>
          <w:tcPr>
            <w:gridSpan w:val="3"/>
            <w:tcW w:w="310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1 квалификационный уровень</w:t>
            </w:r>
            <w:r/>
          </w:p>
        </w:tc>
        <w:tc>
          <w:tcPr>
            <w:gridSpan w:val="2"/>
            <w:tcW w:w="38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Курьер; рабочий по комплексному обслуживанию и ремонту зданий; уборщик служебных помещений; сторож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(вахтер)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9 242</w:t>
            </w:r>
            <w:r/>
          </w:p>
        </w:tc>
      </w:tr>
      <w:tr>
        <w:trPr/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gridSpan w:val="6"/>
            <w:tcW w:w="88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/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2.2.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88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/>
        <w:tc>
          <w:tcPr>
            <w:gridSpan w:val="2"/>
            <w:tcBorders>
              <w:right w:val="single" w:color="auto" w:sz="4" w:space="0"/>
            </w:tcBorders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2.2.1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06" w:type="dxa"/>
            <w:textDirection w:val="lrTb"/>
            <w:noWrap w:val="false"/>
          </w:tcPr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 квалификационный</w:t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уровень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0" w:type="dxa"/>
            <w:textDirection w:val="lrTb"/>
            <w:noWrap w:val="false"/>
          </w:tcPr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Секретарь руководителя</w:t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7" w:type="dxa"/>
            <w:textDirection w:val="lrTb"/>
            <w:noWrap w:val="false"/>
          </w:tcPr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22 325</w:t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right w:val="single" w:color="auto" w:sz="4" w:space="0"/>
            </w:tcBorders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2.2.2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06" w:type="dxa"/>
            <w:textDirection w:val="lrTb"/>
            <w:noWrap w:val="false"/>
          </w:tcPr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 квалификационный</w:t>
            </w:r>
            <w:r/>
          </w:p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уровень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0" w:type="dxa"/>
            <w:textDirection w:val="lrTb"/>
            <w:noWrap w:val="false"/>
          </w:tcPr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Заведующий хозяйством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7" w:type="dxa"/>
            <w:textDirection w:val="lrTb"/>
            <w:noWrap w:val="false"/>
          </w:tcPr>
          <w:p>
            <w:pPr>
              <w:jc w:val="center"/>
              <w:tabs>
                <w:tab w:val="left" w:pos="2753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pBdr>
                <w:right w:val="single" w:color="auto" w:sz="4" w:space="4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22 771</w:t>
            </w:r>
            <w:r/>
          </w:p>
        </w:tc>
      </w:tr>
      <w:tr>
        <w:trPr/>
        <w:tc>
          <w:tcPr>
            <w:gridSpan w:val="2"/>
            <w:tcW w:w="92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ru-RU"/>
              </w:rPr>
              <w:t xml:space="preserve">2.3.</w:t>
            </w:r>
            <w:r/>
          </w:p>
        </w:tc>
        <w:tc>
          <w:tcPr>
            <w:gridSpan w:val="6"/>
            <w:tcBorders>
              <w:top w:val="single" w:color="auto" w:sz="4" w:space="0"/>
            </w:tcBorders>
            <w:tcW w:w="88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2.3.1.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Бухгалтер; бухгалтер-ревизор;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инженер; аналитик;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инженер по защите информации; инженер -электроник (электроник); инженер по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ремонту; специалист по кадрам; экономист; юрисконсульт; 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24 648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2.3.2.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внутри должностная  категория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25 141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2.3.3.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внутри должностная  категория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25 644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2.3.4.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ведущий экономист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ведущий юрисконсульт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26 157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2.3.5.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5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Заместитель главного бухгалтера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26 680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2.4.</w:t>
            </w:r>
            <w:r/>
          </w:p>
        </w:tc>
        <w:tc>
          <w:tcPr>
            <w:gridSpan w:val="7"/>
            <w:tcW w:w="88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четвертого уровня»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2.4.1.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Начальник отдела информации</w:t>
            </w:r>
            <w:r/>
          </w:p>
        </w:tc>
        <w:tc>
          <w:tcPr>
            <w:tcW w:w="1897" w:type="dxa"/>
            <w:vAlign w:val="bottom"/>
            <w:textDirection w:val="lrTb"/>
            <w:noWrap w:val="false"/>
          </w:tcPr>
          <w:p>
            <w:pPr>
              <w:pStyle w:val="876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27 213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7"/>
            <w:tcW w:w="88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</w:t>
            </w: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работников образования 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3.1.</w:t>
            </w:r>
            <w:r/>
          </w:p>
        </w:tc>
        <w:tc>
          <w:tcPr>
            <w:gridSpan w:val="7"/>
            <w:tcW w:w="88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педагогический работников 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3.1.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30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 квалификационный уровень</w:t>
            </w:r>
            <w:r/>
          </w:p>
        </w:tc>
        <w:tc>
          <w:tcPr>
            <w:gridSpan w:val="3"/>
            <w:tcW w:w="385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М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етодист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23 691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3.2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7"/>
            <w:tcW w:w="88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руководителей структурных подразделений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3.2.1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3"/>
            <w:tcW w:w="3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gridSpan w:val="3"/>
            <w:tcW w:w="3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Заведующий отделом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25 141</w:t>
            </w:r>
            <w:r/>
          </w:p>
        </w:tc>
      </w:tr>
    </w:tbl>
    <w:p>
      <w:pPr>
        <w:spacing w:after="0" w:line="240" w:lineRule="auto"/>
        <w:tabs>
          <w:tab w:val="left" w:pos="7788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tabs>
          <w:tab w:val="left" w:pos="778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№3</w:t>
      </w:r>
      <w:r/>
    </w:p>
    <w:p>
      <w:pPr>
        <w:pStyle w:val="876"/>
        <w:ind w:left="4248" w:firstLine="70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Положению об оплате труда </w:t>
      </w:r>
      <w:r/>
    </w:p>
    <w:p>
      <w:pPr>
        <w:pStyle w:val="876"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работников муниципального учреждения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«Центр по обеспечению деятельности муниципальной системы образования»</w:t>
      </w:r>
      <w:r/>
    </w:p>
    <w:p>
      <w:pPr>
        <w:pStyle w:val="876"/>
        <w:jc w:val="center"/>
        <w:spacing w:after="0" w:line="240" w:lineRule="auto"/>
        <w:tabs>
          <w:tab w:val="left" w:pos="4820" w:leader="none"/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76"/>
        <w:jc w:val="center"/>
        <w:spacing w:after="0" w:line="240" w:lineRule="auto"/>
        <w:tabs>
          <w:tab w:val="left" w:pos="4820" w:leader="none"/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76"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РАЗМЕРЫ</w:t>
      </w:r>
      <w:r/>
    </w:p>
    <w:p>
      <w:pPr>
        <w:pStyle w:val="88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должностных окладов по должностям служащих, не включенным в профессиональные квалификационные группы</w:t>
      </w:r>
      <w:r/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8"/>
        <w:gridCol w:w="3675"/>
        <w:gridCol w:w="4776"/>
      </w:tblGrid>
      <w:tr>
        <w:trPr/>
        <w:tc>
          <w:tcPr>
            <w:shd w:val="clear" w:color="auto" w:fill="auto"/>
            <w:tcW w:w="1188" w:type="dxa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N п/п</w:t>
            </w:r>
            <w:r/>
          </w:p>
        </w:tc>
        <w:tc>
          <w:tcPr>
            <w:shd w:val="clear" w:color="auto" w:fill="auto"/>
            <w:tcW w:w="3675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Наименование должностей</w:t>
            </w:r>
            <w:r/>
          </w:p>
        </w:tc>
        <w:tc>
          <w:tcPr>
            <w:shd w:val="clear" w:color="auto" w:fill="auto"/>
            <w:tcW w:w="4776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sz w:val="28"/>
                <w:szCs w:val="28"/>
              </w:rPr>
              <w:t xml:space="preserve">Размер должностного оклада (рублей)</w:t>
            </w:r>
            <w:r/>
          </w:p>
        </w:tc>
      </w:tr>
      <w:tr>
        <w:trPr/>
        <w:tc>
          <w:tcPr>
            <w:shd w:val="clear" w:color="auto" w:fill="auto"/>
            <w:tcW w:w="1188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W w:w="3675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  <w:t xml:space="preserve">2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W w:w="4776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  <w:t xml:space="preserve">3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shd w:val="clear" w:color="auto" w:fill="auto"/>
            <w:tcW w:w="1188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auto"/>
            <w:tcW w:w="3675" w:type="dxa"/>
            <w:vAlign w:val="center"/>
            <w:textDirection w:val="lrTb"/>
            <w:noWrap w:val="false"/>
          </w:tcPr>
          <w:p>
            <w:pPr>
              <w:pStyle w:val="876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Директор</w:t>
            </w:r>
            <w:r/>
          </w:p>
        </w:tc>
        <w:tc>
          <w:tcPr>
            <w:shd w:val="clear" w:color="auto" w:fill="auto"/>
            <w:tcW w:w="4776" w:type="dxa"/>
            <w:vAlign w:val="center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49 501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shd w:val="clear" w:color="auto" w:fill="auto"/>
            <w:tcW w:w="1188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auto"/>
            <w:tcW w:w="3675" w:type="dxa"/>
            <w:vAlign w:val="center"/>
            <w:textDirection w:val="lrTb"/>
            <w:noWrap w:val="false"/>
          </w:tcPr>
          <w:p>
            <w:pPr>
              <w:pStyle w:val="876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4776" w:type="dxa"/>
            <w:vAlign w:val="center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40 009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shd w:val="clear" w:color="auto" w:fill="auto"/>
            <w:tcW w:w="1188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auto"/>
            <w:tcW w:w="3675" w:type="dxa"/>
            <w:vAlign w:val="center"/>
            <w:textDirection w:val="lrTb"/>
            <w:noWrap w:val="false"/>
          </w:tcPr>
          <w:p>
            <w:pPr>
              <w:pStyle w:val="876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Заместитель директора по экономическим вопросам</w:t>
            </w:r>
            <w:r/>
          </w:p>
        </w:tc>
        <w:tc>
          <w:tcPr>
            <w:shd w:val="clear" w:color="auto" w:fill="auto"/>
            <w:tcW w:w="4776" w:type="dxa"/>
            <w:vAlign w:val="center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40 009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shd w:val="clear" w:color="auto" w:fill="auto"/>
            <w:tcW w:w="1188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auto"/>
            <w:tcW w:w="3675" w:type="dxa"/>
            <w:vAlign w:val="center"/>
            <w:textDirection w:val="lrTb"/>
            <w:noWrap w:val="false"/>
          </w:tcPr>
          <w:p>
            <w:pPr>
              <w:pStyle w:val="876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Главный бухгалтер</w:t>
            </w:r>
            <w:r/>
          </w:p>
        </w:tc>
        <w:tc>
          <w:tcPr>
            <w:shd w:val="clear" w:color="auto" w:fill="auto"/>
            <w:tcW w:w="4776" w:type="dxa"/>
            <w:vAlign w:val="center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40 009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,00</w:t>
            </w:r>
            <w:r/>
          </w:p>
        </w:tc>
      </w:tr>
      <w:tr>
        <w:trPr>
          <w:trHeight w:val="360"/>
        </w:trPr>
        <w:tc>
          <w:tcPr>
            <w:tcW w:w="1188" w:type="dxa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5.</w:t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pPr>
              <w:pStyle w:val="876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Главный инженер</w:t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36 345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,00</w:t>
            </w:r>
            <w:r/>
          </w:p>
        </w:tc>
      </w:tr>
      <w:tr>
        <w:trPr>
          <w:trHeight w:val="360"/>
        </w:trPr>
        <w:tc>
          <w:tcPr>
            <w:tcW w:w="1188" w:type="dxa"/>
            <w:textDirection w:val="lrTb"/>
            <w:noWrap w:val="false"/>
          </w:tcPr>
          <w:p>
            <w:pPr>
              <w:pStyle w:val="876"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pPr>
              <w:pStyle w:val="876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Контрактный управляющий</w:t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25 491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,00</w:t>
            </w:r>
            <w:r/>
          </w:p>
        </w:tc>
      </w:tr>
    </w:tbl>
    <w:p>
      <w:pPr>
        <w:ind w:left="5664"/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/>
    </w:p>
    <w:p>
      <w:pPr>
        <w:pStyle w:val="876"/>
        <w:ind w:left="4956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  <w:p>
    <w:pPr>
      <w:pStyle w:val="881"/>
      <w:tabs>
        <w:tab w:val="left" w:pos="4470" w:leader="none"/>
        <w:tab w:val="clear" w:pos="4677" w:leader="none"/>
        <w:tab w:val="left" w:pos="5207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r/>
    <w:r/>
  </w:p>
  <w:p>
    <w:pPr>
      <w:pStyle w:val="8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  <w:p>
    <w:pPr>
      <w:pStyle w:val="881"/>
      <w:tabs>
        <w:tab w:val="left" w:pos="4470" w:leader="none"/>
        <w:tab w:val="clear" w:pos="4677" w:leader="none"/>
        <w:tab w:val="left" w:pos="5207" w:leader="none"/>
        <w:tab w:val="clear" w:pos="9355" w:leader="none"/>
      </w:tabs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r/>
    <w:r/>
  </w:p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0"/>
    <w:next w:val="870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8">
    <w:name w:val="Heading 1 Char"/>
    <w:basedOn w:val="872"/>
    <w:link w:val="697"/>
    <w:uiPriority w:val="9"/>
    <w:rPr>
      <w:rFonts w:ascii="Arial" w:hAnsi="Arial" w:eastAsia="Arial" w:cs="Arial"/>
      <w:sz w:val="40"/>
      <w:szCs w:val="40"/>
    </w:rPr>
  </w:style>
  <w:style w:type="paragraph" w:styleId="699">
    <w:name w:val="Heading 2"/>
    <w:basedOn w:val="870"/>
    <w:next w:val="870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0">
    <w:name w:val="Heading 2 Char"/>
    <w:basedOn w:val="872"/>
    <w:link w:val="699"/>
    <w:uiPriority w:val="9"/>
    <w:rPr>
      <w:rFonts w:ascii="Arial" w:hAnsi="Arial" w:eastAsia="Arial" w:cs="Arial"/>
      <w:sz w:val="34"/>
    </w:rPr>
  </w:style>
  <w:style w:type="character" w:styleId="701">
    <w:name w:val="Heading 3 Char"/>
    <w:basedOn w:val="872"/>
    <w:link w:val="871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basedOn w:val="872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basedOn w:val="872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basedOn w:val="872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basedOn w:val="872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basedOn w:val="872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0"/>
    <w:next w:val="870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basedOn w:val="872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0"/>
    <w:uiPriority w:val="34"/>
    <w:qFormat/>
    <w:pPr>
      <w:contextualSpacing/>
      <w:ind w:left="720"/>
    </w:pPr>
  </w:style>
  <w:style w:type="paragraph" w:styleId="715">
    <w:name w:val="No Spacing"/>
    <w:uiPriority w:val="1"/>
    <w:qFormat/>
    <w:pPr>
      <w:spacing w:before="0" w:after="0" w:line="240" w:lineRule="auto"/>
    </w:pPr>
  </w:style>
  <w:style w:type="paragraph" w:styleId="716">
    <w:name w:val="Title"/>
    <w:basedOn w:val="870"/>
    <w:next w:val="870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>
    <w:name w:val="Title Char"/>
    <w:basedOn w:val="872"/>
    <w:link w:val="716"/>
    <w:uiPriority w:val="10"/>
    <w:rPr>
      <w:sz w:val="48"/>
      <w:szCs w:val="48"/>
    </w:rPr>
  </w:style>
  <w:style w:type="paragraph" w:styleId="718">
    <w:name w:val="Subtitle"/>
    <w:basedOn w:val="870"/>
    <w:next w:val="870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>
    <w:name w:val="Subtitle Char"/>
    <w:basedOn w:val="872"/>
    <w:link w:val="718"/>
    <w:uiPriority w:val="11"/>
    <w:rPr>
      <w:sz w:val="24"/>
      <w:szCs w:val="24"/>
    </w:rPr>
  </w:style>
  <w:style w:type="paragraph" w:styleId="720">
    <w:name w:val="Quote"/>
    <w:basedOn w:val="870"/>
    <w:next w:val="870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0"/>
    <w:next w:val="870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2"/>
    <w:link w:val="881"/>
    <w:uiPriority w:val="99"/>
  </w:style>
  <w:style w:type="character" w:styleId="725">
    <w:name w:val="Footer Char"/>
    <w:basedOn w:val="872"/>
    <w:link w:val="883"/>
    <w:uiPriority w:val="99"/>
  </w:style>
  <w:style w:type="paragraph" w:styleId="726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883"/>
    <w:uiPriority w:val="99"/>
  </w:style>
  <w:style w:type="table" w:styleId="728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2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2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rPr>
      <w:rFonts w:ascii="Calibri" w:hAnsi="Calibri" w:eastAsia="Times New Roman" w:cs="Times New Roman"/>
    </w:rPr>
  </w:style>
  <w:style w:type="paragraph" w:styleId="871">
    <w:name w:val="Heading 3"/>
    <w:basedOn w:val="870"/>
    <w:next w:val="870"/>
    <w:link w:val="875"/>
    <w:qFormat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character" w:styleId="875" w:customStyle="1">
    <w:name w:val="Заголовок 3 Знак"/>
    <w:basedOn w:val="872"/>
    <w:link w:val="871"/>
    <w:rPr>
      <w:rFonts w:ascii="Cambria" w:hAnsi="Cambria" w:eastAsia="Times New Roman" w:cs="Times New Roman"/>
      <w:b/>
      <w:bCs/>
      <w:sz w:val="26"/>
      <w:szCs w:val="26"/>
    </w:rPr>
  </w:style>
  <w:style w:type="paragraph" w:styleId="876">
    <w:name w:val="Body Text"/>
    <w:basedOn w:val="870"/>
    <w:link w:val="877"/>
    <w:pPr>
      <w:spacing w:after="120"/>
    </w:pPr>
  </w:style>
  <w:style w:type="character" w:styleId="877" w:customStyle="1">
    <w:name w:val="Основной текст Знак"/>
    <w:basedOn w:val="872"/>
    <w:link w:val="876"/>
    <w:rPr>
      <w:rFonts w:ascii="Calibri" w:hAnsi="Calibri" w:eastAsia="Times New Roman" w:cs="Times New Roman"/>
    </w:rPr>
  </w:style>
  <w:style w:type="paragraph" w:styleId="878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79">
    <w:name w:val="Hyperlink"/>
    <w:uiPriority w:val="99"/>
    <w:rPr>
      <w:color w:val="0000ff"/>
      <w:u w:val="single"/>
    </w:rPr>
  </w:style>
  <w:style w:type="paragraph" w:styleId="880" w:customStyle="1">
    <w:name w:val="Прижатый влево"/>
    <w:basedOn w:val="870"/>
    <w:next w:val="870"/>
    <w:pPr>
      <w:spacing w:after="0" w:line="240" w:lineRule="auto"/>
      <w:widowControl w:val="off"/>
    </w:pPr>
    <w:rPr>
      <w:rFonts w:ascii="Arial" w:hAnsi="Arial" w:cs="Arial"/>
      <w:sz w:val="24"/>
      <w:szCs w:val="24"/>
      <w:lang w:eastAsia="ru-RU"/>
    </w:rPr>
  </w:style>
  <w:style w:type="paragraph" w:styleId="881">
    <w:name w:val="Header"/>
    <w:basedOn w:val="870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"/>
    <w:basedOn w:val="872"/>
    <w:link w:val="881"/>
    <w:uiPriority w:val="99"/>
    <w:rPr>
      <w:rFonts w:ascii="Calibri" w:hAnsi="Calibri" w:eastAsia="Times New Roman" w:cs="Times New Roman"/>
    </w:rPr>
  </w:style>
  <w:style w:type="paragraph" w:styleId="883">
    <w:name w:val="Footer"/>
    <w:basedOn w:val="870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"/>
    <w:basedOn w:val="872"/>
    <w:link w:val="883"/>
    <w:uiPriority w:val="99"/>
    <w:rPr>
      <w:rFonts w:ascii="Calibri" w:hAnsi="Calibri" w:eastAsia="Times New Roman" w:cs="Times New Roman"/>
    </w:rPr>
  </w:style>
  <w:style w:type="table" w:styleId="885">
    <w:name w:val="Table Grid"/>
    <w:basedOn w:val="8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CF36-66F8-4F50-A37D-5A63D01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№ П-282 от 25.09.2019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revision>74</cp:revision>
  <dcterms:created xsi:type="dcterms:W3CDTF">2020-09-21T06:40:00Z</dcterms:created>
  <dcterms:modified xsi:type="dcterms:W3CDTF">2024-02-19T13:12:12Z</dcterms:modified>
</cp:coreProperties>
</file>