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ind w:firstLine="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7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8"/>
        <w:ind w:firstLine="0"/>
        <w:jc w:val="center"/>
        <w:spacing w:before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«06» февраля 2024 г.                                                                          № 30-П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84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84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  <w:t xml:space="preserve">О внесении изменени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lang w:eastAsia="ru-RU"/>
        </w:rPr>
        <w:t xml:space="preserve">й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в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  <w:lang w:eastAsia="ru-RU"/>
        </w:rPr>
        <w:t xml:space="preserve">Принятие решения о проведении аукциона по продаже земельного участка, аукциона на право заключения договора аренды земельного участка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В целях приведения нормативных правовых актов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в соответствии с Федеральным законом от 27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,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распоряжением  Администрации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района от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04 апреля 2022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года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№ 159-Р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»,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  <w:t xml:space="preserve">постановляет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1. Утвердить прилагаемые изменения, которые вносятся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в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Принятие решения о проведении аукциона по продаже земельного участка, аукциона на право заключения договора аренды земельного участка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, утвержденный постановлением Администрации Красноселькупского района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от 24 мая 2022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года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№ 191-П.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2. 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eastAsia="Times New Roman" w:cs="Liberation Sans"/>
          <w:sz w:val="28"/>
          <w:szCs w:val="28"/>
          <w:shd w:val="clear" w:color="auto" w:fill="fbfbfb"/>
          <w:lang w:eastAsia="ru-RU"/>
        </w:rPr>
        <w:t xml:space="preserve">муниципального округа </w:t>
      </w:r>
      <w:r>
        <w:rPr>
          <w:rFonts w:ascii="Liberation Sans" w:hAnsi="Liberation Sans" w:eastAsia="Times New Roman" w:cs="Liberation Sans"/>
          <w:bCs/>
          <w:sz w:val="28"/>
          <w:szCs w:val="28"/>
          <w:shd w:val="clear" w:color="auto" w:fill="fbfbfb"/>
          <w:lang w:eastAsia="ru-RU"/>
        </w:rPr>
        <w:t xml:space="preserve">Красноселькупский</w:t>
      </w:r>
      <w:r>
        <w:rPr>
          <w:rFonts w:ascii="Liberation Sans" w:hAnsi="Liberation Sans" w:eastAsia="Times New Roman" w:cs="Liberation Sans"/>
          <w:bCs/>
          <w:sz w:val="28"/>
          <w:szCs w:val="28"/>
          <w:shd w:val="clear" w:color="auto" w:fill="fbfbfb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sz w:val="28"/>
          <w:szCs w:val="28"/>
          <w:shd w:val="clear" w:color="auto" w:fill="fbfbfb"/>
          <w:lang w:eastAsia="ru-RU"/>
        </w:rPr>
        <w:t xml:space="preserve"> Ямало-Ненецкого автономного округа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3. 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УТВЕРЖДЕНЫ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ind w:left="4961" w:right="0" w:firstLine="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sz w:val="28"/>
          <w:szCs w:val="28"/>
        </w:rPr>
        <w:t xml:space="preserve">«06» февраля 2024 г. № 30-П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b w:val="0"/>
          <w:bCs w:val="0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ИЗМЕНЕНИЯ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которые вносятся в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Принятие решения о проведении аукциона по продаже земельного участка, аукциона на право заключения договора аренды земельного участка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»,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утвержденный постановлением Администрации Красноселькупского района </w:t>
      </w:r>
      <w:r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от 24 мая 2022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года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№ 191-П</w:t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14:ligatures w14:val="none"/>
        </w:rPr>
      </w:r>
      <w:r>
        <w:rPr>
          <w:b w:val="0"/>
          <w:bCs w:val="0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14:ligatures w14:val="none"/>
        </w:rPr>
      </w:r>
      <w:r>
        <w:rPr>
          <w:b w:val="0"/>
          <w:bCs w:val="0"/>
        </w:rPr>
      </w:r>
      <w:r/>
    </w:p>
    <w:p>
      <w:pPr>
        <w:pStyle w:val="902"/>
        <w:numPr>
          <w:ilvl w:val="0"/>
          <w:numId w:val="5"/>
        </w:num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В разделе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val="en-US"/>
        </w:rPr>
        <w:t xml:space="preserve">II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«Стандарт предоставления муниципальной услуги»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outlineLvl w:val="2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1.1.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в пункте 2.8.3 подраздела 2.8.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  <w14:ligatures w14:val="none"/>
        </w:rPr>
        <w:outlineLvl w:val="2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1.1.1.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подпункт 13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highlight w:val="yellow"/>
        </w:rPr>
      </w:r>
      <w:bookmarkStart w:id="0" w:name="undefined"/>
      <w:r>
        <w:rPr>
          <w:highlight w:val="yellow"/>
        </w:rPr>
      </w:r>
      <w:bookmarkEnd w:id="0"/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13) </w:t>
      </w:r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з</w:t>
      </w:r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</w:t>
      </w:r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ой Федерации юридическим лицом, определенным Российской Федерацией или субъектом Российской Федерации;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1.1.2.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подпункт 15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15) </w:t>
      </w:r>
      <w:r>
        <w:rPr>
          <w:rFonts w:ascii="Liberation Sans" w:hAnsi="Liberation Sans" w:eastAsia="Times New Roman" w:cs="Liberation Sans"/>
          <w:sz w:val="28"/>
          <w:szCs w:val="28"/>
          <w:highlight w:val="white"/>
          <w:lang w:eastAsia="ru-RU"/>
        </w:rPr>
        <w:t xml:space="preserve"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1.2. в пункте 2.15.6 подраздела 2.15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Иные требования, в т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1.2.1. абзац первый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-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Единого портала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(при условии, если заявление за предоставлением государственной (муниципальной) услуги подавалось с помощью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Единого портала);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1.2.2. абзац пятый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Уполномоченный орган обязан рассмотреть такие замечания и/или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2. В разделе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val="en-US" w:eastAsia="ru-RU"/>
          <w14:ligatures w14:val="none"/>
        </w:rPr>
        <w:t xml:space="preserve">V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Формы контроля предоставления муниципальной услуги в соответствии с регламентом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eastAsia="Times New Roman" w:cs="Times New Roman"/>
          <w:lang w:eastAsia="ru-RU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2.1.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исключить пункт 5.1.2 подраздела 5.1 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Порядок осуществления текущего контроля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</w:t>
      </w:r>
      <w:r>
        <w:t xml:space="preserve">;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2.2. дополнить подразделом 5.4.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 следующего содержания:</w:t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5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L*b*r*t*o*S*r*f">
    <w:panose1 w:val="02000603000000000000"/>
  </w:font>
  <w:font w:name="Liberation Serif">
    <w:panose1 w:val="02020603050405020304"/>
  </w:font>
  <w:font w:name="Calibri Light">
    <w:panose1 w:val="020F0502020204030204"/>
  </w:font>
  <w:font w:name="Liberation Sans">
    <w:panose1 w:val="020B0604020202020204"/>
  </w:font>
  <w:font w:name="Wingdings">
    <w:panose1 w:val="05010000000000000000"/>
  </w:font>
  <w:font w:name="T*m*s*e*R*m*n">
    <w:panose1 w:val="02000603000000000000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r/>
    <w:r/>
  </w:p>
  <w:p>
    <w:pPr>
      <w:pStyle w:val="74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4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r/>
    <w:r/>
  </w:p>
  <w:p>
    <w:pPr>
      <w:pStyle w:val="7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8"/>
    <w:next w:val="898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898"/>
    <w:next w:val="898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link w:val="724"/>
    <w:uiPriority w:val="9"/>
    <w:rPr>
      <w:rFonts w:ascii="Arial" w:hAnsi="Arial" w:eastAsia="Arial" w:cs="Arial"/>
      <w:sz w:val="34"/>
    </w:rPr>
  </w:style>
  <w:style w:type="paragraph" w:styleId="726">
    <w:name w:val="Heading 3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7">
    <w:name w:val="Heading 3 Char"/>
    <w:link w:val="726"/>
    <w:uiPriority w:val="9"/>
    <w:rPr>
      <w:rFonts w:ascii="Arial" w:hAnsi="Arial" w:eastAsia="Arial" w:cs="Arial"/>
      <w:sz w:val="30"/>
      <w:szCs w:val="30"/>
    </w:rPr>
  </w:style>
  <w:style w:type="paragraph" w:styleId="728">
    <w:name w:val="Heading 4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9">
    <w:name w:val="Heading 4 Char"/>
    <w:link w:val="728"/>
    <w:uiPriority w:val="9"/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1">
    <w:name w:val="Heading 5 Char"/>
    <w:link w:val="730"/>
    <w:uiPriority w:val="9"/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6 Char"/>
    <w:link w:val="732"/>
    <w:uiPriority w:val="9"/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7 Char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6">
    <w:name w:val="Heading 8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7">
    <w:name w:val="Heading 8 Char"/>
    <w:link w:val="736"/>
    <w:uiPriority w:val="9"/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898"/>
    <w:next w:val="898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>
    <w:name w:val="Heading 9 Char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basedOn w:val="8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4">
    <w:name w:val="List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5">
    <w:name w:val="List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6">
    <w:name w:val="List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7">
    <w:name w:val="List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8">
    <w:name w:val="List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9">
    <w:name w:val="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1">
    <w:name w:val="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2">
    <w:name w:val="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3">
    <w:name w:val="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4">
    <w:name w:val="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5">
    <w:name w:val="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6">
    <w:name w:val="Bordered &amp; 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Bordered &amp; 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Bordered &amp; 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Bordered &amp; 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Bordered &amp; 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Bordered &amp; 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qFormat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paragraph" w:styleId="901">
    <w:name w:val="No Spacing"/>
    <w:basedOn w:val="898"/>
    <w:uiPriority w:val="1"/>
    <w:qFormat/>
    <w:pPr>
      <w:spacing w:after="0" w:line="240" w:lineRule="auto"/>
    </w:pPr>
  </w:style>
  <w:style w:type="paragraph" w:styleId="902">
    <w:name w:val="List Paragraph"/>
    <w:basedOn w:val="898"/>
    <w:uiPriority w:val="34"/>
    <w:qFormat/>
    <w:pPr>
      <w:contextualSpacing/>
      <w:ind w:left="720"/>
    </w:pPr>
  </w:style>
  <w:style w:type="character" w:styleId="903" w:default="1">
    <w:name w:val="Default Paragraph Font"/>
    <w:uiPriority w:val="1"/>
    <w:semiHidden/>
    <w:unhideWhenUsed/>
  </w:style>
  <w:style w:type="paragraph" w:styleId="904" w:customStyle="1">
    <w:name w:val="Bespoke Basic"/>
    <w:basedOn w:val="746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  <w14:ligatures w14:val="none"/>
    </w:rPr>
  </w:style>
  <w:style w:type="paragraph" w:styleId="905" w:customStyle="1">
    <w:name w:val="Основной текст1"/>
    <w:basedOn w:val="894"/>
    <w:link w:val="89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06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e*R*m*n" w:hAnsi="T*m*s*e*R*m*n" w:eastAsia="T*m*s*e*R*m*n" w:cs="T*m*s*e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907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8" w:customStyle="1">
    <w:name w:val="Заголовок 3"/>
    <w:semiHidden/>
    <w:pPr>
      <w:contextualSpacing w:val="0"/>
      <w:ind w:left="0" w:right="0" w:firstLine="720"/>
      <w:jc w:val="both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Calibri Light" w:hAnsi="Calibri Light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2024-02-06T04:28:45Z</dcterms:modified>
</cp:coreProperties>
</file>