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14857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3721" cy="73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eastAsia="Liberation Sans" w:cs="Liberation Sans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18» декабря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 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460-П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left"/>
        <w:spacing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84"/>
        <w:contextualSpacing/>
        <w:jc w:val="left"/>
        <w:spacing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Об утверждении п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орядка взаимодействия структурных подразделений Администрации Красноселькупского района при осуществлении сноса самовольных построек или приведения  их в соответствие с установленными требованиями на территории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jc w:val="left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84"/>
        <w:contextualSpacing/>
        <w:jc w:val="left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В целях предотвращения и пресечения самовольного строительства на территории муниципального округа Красноселькупский район Ямало-Ненецкого автономного округа, принятия мер по сносу самовольных построек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соответствии с Градостроительным кодексом Российской Федерации, Гражданским кодексом Российской Федерации,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3"/>
        </w:numPr>
        <w:contextualSpacing/>
        <w:ind w:left="0" w:right="0" w:firstLine="709"/>
        <w:jc w:val="both"/>
        <w:spacing w:line="17" w:lineRule="atLeast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Утвердить: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1.1. Порядок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взаимодействия структурных подразделений Администрации Красноселькупского района при осуществлении сноса самовольных построек или приведения  их в соответствие с установленными требованиями на территории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согласно приложению № 1 к настоящему постановлению;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1.2. состав комиссии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взаимодействия структурных подразделений Администрации Красноселькупского района при осуществлении сноса самовольных построек или приведения  их в соответствие с установленными требованиями на территории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согласно приложению № 2 к настоящему постановлению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постановление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firstLine="708"/>
        <w:jc w:val="both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contextualSpacing/>
        <w:spacing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4"/>
        <w:contextualSpacing/>
        <w:spacing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84"/>
        <w:contextualSpacing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М.М. Иманов</w:t>
      </w:r>
      <w:r/>
    </w:p>
    <w:p>
      <w:pPr>
        <w:pStyle w:val="884"/>
        <w:jc w:val="both"/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</w:r>
      <w:r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961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№ 1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961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961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961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постановлением Администрации    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961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от «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18»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декабря 2023 г. № </w:t>
      </w:r>
      <w:r>
        <w:rPr>
          <w:rFonts w:ascii="Liberation Sans" w:hAnsi="Liberation Sans" w:cs="Liberation Sans"/>
          <w:sz w:val="28"/>
          <w:szCs w:val="28"/>
        </w:rPr>
        <w:t xml:space="preserve">460-П</w:t>
      </w:r>
      <w:r/>
    </w:p>
    <w:p>
      <w:pPr>
        <w:pStyle w:val="884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ПОРЯДОК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взаимодействия структурных подразделений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Администрации Красноселькупского района при осуществлении сноса самовольных построек или приведения  их в соответствие с установленными требованиями на территории муниципального округа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Красноселькупский район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I. Общие положения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Порядок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взаимодействия структурных подразделений Администрации Красноселькупского района при осуществлении сноса самовольных построек или приведения  их в соответствие с установленными требованиями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определяет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 п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орядок в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заимодействия структурных подразделений Администрации Красноселькупского района, состав лиц, участвующих в подготовке и реализации решения о сносе самовольной постройки либо решения о сносе самовольной постройки или ее приведении в соответствие с установле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нными требованиями, порядок исполнения решений о сносе самовольной постройки или ее приведения в соответствие с установленными требованиями, а также в подготовке и направлении уведомления о том, что наличие признаков самовольной постройки не усматривается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–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Порядок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муниципальный округ).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1.2. Действие настоящего Порядка не распространяется 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0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объекты недвижимого имущества, право собственности на которые признано судом либо в отношении которого ранее судом принято решение об отказе в удовлетворении исковых требований о сносе самовольной постройки;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0"/>
        </w:numPr>
        <w:ind w:left="0" w:right="0" w:firstLine="709"/>
        <w:jc w:val="both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расположенных в границах населенного пункта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а) права на эти объекты, жилые дома, жилые строения зарегистрированы до 01.09.2018;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б) параметры этих объектов, жилых домов, жилых строений соответствуют предельным параметрам разрешенного строительст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ва, реконструкции объектов капитального строительства, установленным правилами землепользования и застройки муниципального округа, и (или) предельным параметрам таких объектов, жилых домов, жилых строений, установленным федеральным законом;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в)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3) объекты индивидуального жилищного строительства, построенные на земельных участках, предназначенных для индивидуального жилищного строительства или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 расположенных в границах населенного пункта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в случае перехода прав на них после 1 сентября 2018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1.3.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 в отношении следующих объектов и случаев: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объекты недвижимого имущества, право собственности на которые зарегистрировано в Едином государственном реестре недвижимости;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многоквартирные дома, жилые дома или садовые дома;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жилые дома или жилые строения, созданные соответственно на дачном или садовом земельных участках до 1 января 2019 года;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самовольные постройки</w:t>
      </w:r>
      <w:r>
        <w:rPr>
          <w:rFonts w:ascii="Liberation Sans" w:hAnsi="Liberation Sans" w:eastAsia="Liberation Sans" w:cs="Liberation Sans"/>
          <w:sz w:val="28"/>
          <w:szCs w:val="28"/>
          <w:lang w:val="ru-RU" w:bidi="ru-RU"/>
        </w:rPr>
        <w:t xml:space="preserve">, относящиеся в соответствии с действующим законодательством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или иной культовый комплекс;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случаи, когда отсутствуют правоустанавливающие документы на земельный участок, на котором созданы здание, сооружение или другое строение, до дня вступления в силу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</w:t>
      </w:r>
      <w:hyperlink r:id="rId13" w:tooltip="https://internet.garant.ru/document/redirect/12124624/0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Земельного кодекса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1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случаи, когда отсутствует разрешение на строительство на здание, сооружение или другое строение, созданные до 14 мая 1998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color w:val="26282f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ab/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 w:bidi="ru-RU"/>
        </w:rPr>
        <w:t xml:space="preserve">II. Рассмотрение уведомлений о выявлении самовольных построек и принятие решений, предусмотренных частью 2 статьи 55.32 Градостроительного кодекса Российской Федерации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2.1. Основанием для принятия решения о сносе самовольной постройки либо решени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я о сносе самовольной постройки или ее приведении в соответствие с установленными требованиями на территории муниципального округа является поступление в Администрацию Красноселькупского района от органов, учреждений и должностных лиц, указанных в </w:t>
      </w:r>
      <w:hyperlink r:id="rId14" w:tooltip="https://internet.garant.ru/document/redirect/12138258/55322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части 2 статьи 55.32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Градостроительного кодекса Российской Федерации, уведомления о выявлении самовольной постройки (далее - Уведомление) по </w:t>
      </w:r>
      <w:hyperlink r:id="rId15" w:tooltip="https://internet.garant.ru/document/redirect/72224414/1000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форме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, утвержденной </w:t>
      </w:r>
      <w:hyperlink r:id="rId16" w:tooltip="https://internet.garant.ru/document/redirect/72224414/0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приказом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Министерства строительства и жилищно-коммунального хозяйства Российской Федерации от 03.05.2023 № 321/пр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, и документов, подтверждающих наличие признаков самовольной постройки.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2.2. Структурным подразделен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ием Администрации Красноселькупского района, уполномоченным на рассмотрение поступающих Уведомлений, подготовку проектов правовых актов (далее - уполномоченный орган), является отдел архитектуры и градостроительства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2.3. Уведомления, поступившие в уполномоченный орган, подлежат 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ссмотрению комиссией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взаимодействия структурных подразделений Администрации Красноселькупского района при осуществлении сноса самовольных построек или приведения  их в соответствие с установленными требованиями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, создаваемой правовым актом уполномоченного органа (далее - Комиссия).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Состав Комиссии утверждается постановлением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Заседания Комиссии правомочны, если в них принимает участие более половины состава. Решения Комиссии принимаются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путем открытого голосования простым большинством голосов от числа присутствующих на заседании.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В случае отсутствия членов Комиссии в работе Комиссии принимают участие лица, замещающие их по должности по основному месту работы. В отсутствии председателя Комиссии его обязанности исполняет заместитель председателя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Решения Комиссии оформляются протоколом, подписываются секретарем Комиссии и утверждаются председателем Комиссии. Протоколы Комиссии хранятся в уполномоченном органе.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2.4. В рамках подготовки необходимых для рассмотрения Комиссии документов по представленному в уполномоченный орган Уведомлению и прилагаемых к нему документов специалис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т уполномоченного органа (далее - уполномоченный специалист), ответственный за их прием, направляет запросы, а также собирает и обобщает необходимые для рассмотрения Комиссией документы и информацию, в том числе по каналам межведомственного взаимодействия.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2.5. Комиссия рассматривает представленные материалы и устанавливает наличие оснований для принятия решения о сносе самовольной постройки, решения о сносе самовольной постройки или ее приведении в соответствие с установленными требованиями, либо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об отсутствии таких оснований в срок не позднее 10 рабочих дней со дня поступления Уведомления в уполномоченный орган. По результатам рассмотрения поступивших материалов в отношении самовольной постройки  составляется протокол заседания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2.6. В случае наличия оснований, предусмотренных </w:t>
      </w:r>
      <w:hyperlink r:id="rId17" w:tooltip="https://internet.garant.ru/document/redirect/10164072/222401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подпунктами 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и </w:t>
      </w:r>
      <w:hyperlink r:id="rId18" w:tooltip="https://internet.garant.ru/document/redirect/10164072/222402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2 пункта 4 статьи 222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Гражданского кодекса Российской Федерации, Комиссия принимает решение о сносе самовольной постройки, решение о сносе самовольной постройки или ее приведении в соответствие с установленными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2.7. Решение, предусмотренное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пунктом 2.6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раздела, принимается уполномоченным органом в течение 10 рабочих дней с момента вынесения решения Комиссии в форме правового акта уполномоченного органа с учетом заключения Комиссии, отраженного в протоколе заседания Комиссии.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2.8. Подготовку проекта правового акта о сносе самовольной постройки либо о сносе или ее приведении в соответствие с установленными требованиями и согласование обеспечивает специалист уполномоченного органа.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Проект правового акта уполномоченного органа о сносе самовольной постройки либо о сносе или ее приведении в соответствие с установленными требованиями должен содержать: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1) местонахождение (адресный ориентир) самовольной постройки, сведения о земельном участке;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2) описание самовольной постройки;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3) сведения о лице, которое создало или возвело самовольную постройку, а при отсутствии сведений о таком лице - сведения о правообладателе земельного участка, на котором создана или возведена самовольная постройка, при наличии соответствующих сведений;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4) срок, в течение которого лицо, указанное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подпункте 3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настоящего пункта, обязано осуществить снос самовольной постройки в случае, если принято решение о сносе самовольной постройки;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5) 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6) срок, в течение которого лицо, указанное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подпункте 3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пункта, обязано привести самовольную постройку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Правовой акт уполномоченного органа о сносе самовольной постройки либо о сносе или ее приведении в соответствие с установленными требованиями принимается в срок, не превышающий двадцати рабочих дней со дня получения Уведомления.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2.9. В случае если оснований, предусмотренных </w:t>
      </w:r>
      <w:hyperlink r:id="rId19" w:tooltip="https://internet.garant.ru/document/redirect/10164072/222401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</w:t>
        </w:r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одпунктами 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и </w:t>
      </w:r>
      <w:hyperlink r:id="rId20" w:tooltip="https://internet.garant.ru/document/redirect/10164072/222402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2 пункта 4 статьи 222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Гражданского кодекса Российской Федерации, не установлено, уполномоченный орган решает вопрос об обращении в суд с иском о сносе самовольной постройки или ее приведении в соответствие с установленными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2.10. В случае если исходя из представленных документов указанный в поступившем Уведомлении объект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не обладает признаками самовольной постройки, уполномоченным сотрудником обеспечивается подготовка проекта уведомления о том, что наличие признаков самовольной постройки не усматривается. После подписания и прохождения процедуры регистрации данное уведомле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ние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орган, учреждение и должностному лицу, от которых поступило Уведомление.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2.11. Со дня поступления Уведомления не допускается: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2.11.1. внесение в Правила землепользования и застройки муниципального округа Красноселькупский район изменений, предусматривающих установление применительно к территориальной зоне, в границах которой расположена такая постройка, вида разрешенног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2.11.2. предоставление разрешения на условно разрешенный вид использования в отношении земельного участка, на котором расположена самовольная постройка, или в отношении такой постройки;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2.11.3.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2.12. Запрет на совершение действий, указанных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2.11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раздела, сохраняется до осуществления сноса самовольной постройки или приведения ее в соответствие с установленными требованиями, за исключением случаев, если по результатам рассмотрения данного уведомления принято ре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шение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color w:val="26282f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 w:bidi="ru-RU"/>
        </w:rPr>
        <w:t xml:space="preserve">III. Исполнение решений, предусмотренных частью 2 статьи 55.32 Градостроительного кодекса Российской Федерации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3.1. В течение семи рабочих дней со дня принятия правового акта, указанного в пункте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2.5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Порядка, уполномоченный специалист 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аправляет заказным письмом с уведомлением копию соответ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ствующего правового акта лицу, осуществившему самовольную постройку,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или вручает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его представителю) копию правового акта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лично под подпись в получении,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 а 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отсутствии сведений о таком лице - правообладателю земельного участка, на котором создана или возведена самовольная постройка.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3.2. В случае если лица, указанные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3.1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раздела, не были выявлены, в проекте правового акта о сносе самовольной постройки либо о сносе или ее приведении в соответствие с установленными требованиями указывается на необходимость: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опубликования в газете «Северный край» сообщения о планируемых сносе самовольной постройки или ее приведении в соответствие с установленными требованиями;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размещения на официальном сайте муниципального округа Красноселькупский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район Ямало-Ненецкого автономного округа сообщения о планируемом сносе самовольной постройки или ее приведении в соответствие с установленными требованиями;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numPr>
          <w:ilvl w:val="0"/>
          <w:numId w:val="12"/>
        </w:numPr>
        <w:ind w:left="0" w:right="0" w:firstLine="709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размещения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3.3. В случае если указанными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3.1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 лицами в установленные сроки не выполнены обязанности, предусмотренные правовым актом, уполномоченный орган совершает одно из следующих действий: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3.3.1. направляет в течение семи рабочих дней со дня истечения сроков, установленных нормативно-правовым актом, указанным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2.5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Порядка управлению муниципальным имуществом Администрации Красноселькупского района, уполн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омоченному на предоставление земельных участков, находящихся в муниципальной собственности или на земельных участках, государственная собственность на которые не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разграничена,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при условии, что самовольная постройка создана или возведена на земельных участках, находящихся в  муниципальной собственности или на земельных участках, государственная собственность на которые не разграничена для выполнения соответствующих обязанностей;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3.3.2. направляет в контрольно - правовое управление Администрации Красноселькупского района уведомление об обращении в течение шести месяцев со дня истечения сроков, предусмотренных правовым актом, указанным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2.5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Порядка, для выполнения соответствующих обязанностей,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участке, находящемся в частной собственности,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3.3.3. направляет в контрольно –</w:t>
      </w:r>
      <w:r>
        <w:rPr>
          <w:rFonts w:ascii="Liberation Sans" w:hAnsi="Liberation Sans" w:cs="Liberation Sans"/>
          <w:sz w:val="28"/>
          <w:szCs w:val="28"/>
          <w:lang w:val="ru-RU" w:bidi="ru-RU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правовое управление Администрации Красноселькупского района уведомление об обращении в течение шести месяцев со дня истечения сроков, предусмотренных правовым актом, указанным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2.5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настоящего Порядка, для выполнения соответствующих обязанностей, в суд с требо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ожен в границах территории общего пользования,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3.3.4. уведомляет управлен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  <w:lang w:val="ru-RU" w:bidi="ru-RU"/>
        </w:rPr>
        <w:t xml:space="preserve">ие муниципальным имуществом Администрации Красноселькупского района о вступившем в силу судебного акта и принятом им решении, для организации публичных торгов или приеме в муниципальную собственность земельного участка и объекта самовольного строительства.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3.4. Информация о результатах публичных торгов для случая, определенного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подпунктом 3.3.2 пункта 3.3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раздела, направляется Управлением муниципальным имуществом Администрации Красноселькупского района в уполномоченный орган.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3.5. Снос самовольной постройки осуществляется территориальным органом (структурным подразделением) Администрации Красноселькупского района на соответствующих территориях (в населенных пунктах)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3.5.1. в течение двух месяцев со дня размещения на </w:t>
      </w:r>
      <w:hyperlink r:id="rId21" w:tooltip="https://internet.garant.ru/document/redirect/27998025/35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официальном сайте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сообщения о планируемом сносе самовольной постройки или ее приведении в соответствие с установленными требованиями не были выявлены лица, указанные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3.1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3.5.2. в течение шести месяце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в со дня истечения срока, установленного решением суда или в правовом акте о сносе самовольной постройки либо решением суда или в правовом акте о сносе самовольной постройки или ее приведении в соответствие с установленными требованиями, лица, указанные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3.1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раздела, не выполнили соответствующие обязанности, предусмотренные правовым актом, указанным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2.5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3.5.3. в срок, установленный решением суда или в правовом акте о сносе самовольной постройки либо решением суда или в правовом акте о сносе самовольной постройки или ее приведении в соответствие с установленными требованиями, лицами, указанными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3.1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раздела, не выполнены соответствующие обязанности, предусмотренные правовым актом, указанным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2.5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Порядка,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3.6. В течение двух месяцев со дня истечения сроков, указанных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3.5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, уполномоченный орган обеспечивает принятие правового акта об осуществлении сноса самовольной постройки или ее приведении в соответствие с установленными требованиями с указанием сроков таких сноса, приведения в соответствие с установленными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Решение об осуществлении сноса самовольной постройки или ее приведении в соответствие с установленными требованиями в рамках </w:t>
      </w:r>
      <w:hyperlink r:id="rId22" w:tooltip="https://internet.garant.ru/document/redirect/12138258/55329"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части 9 статьи 55.32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Градостроительного кодекса Российской Федерации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принимается в форме правового акта уполномоченного органа, копия которого для села Красноселькуп направляется для организации ег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о исполнения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в Управление жизнео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беспеч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ения села Красноселькуп Администрации Красноселькупского района, для села Толька и села Ратта организация исполнения правового акта осуществляется соответствующим территориальным органом (структурным подразделением)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3.7. В случаях, предусмотренных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пунктом 3.5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, территориальный орган (структурно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е подразделение) Администрации Красноселькупского района, 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равление жизнеобеспечения села Красноселькуп Администрации Красноселькупского района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</w:t>
      </w:r>
      <w:hyperlink w:history="1">
        <w:r>
          <w:rPr>
            <w:rStyle w:val="889"/>
            <w:rFonts w:ascii="Liberation Sans" w:hAnsi="Liberation Sans" w:eastAsia="Liberation Sans" w:cs="Liberation Sans"/>
            <w:color w:val="000000" w:themeColor="text1"/>
            <w:sz w:val="28"/>
            <w:szCs w:val="28"/>
            <w:lang w:val="ru-RU" w:bidi="ru-RU"/>
          </w:rPr>
          <w:t xml:space="preserve">пункте 3.1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 настоящего раздела, за исключение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 w:bidi="ru-RU"/>
        </w:rPr>
        <w:t xml:space="preserve">м случая, если в соответствии с федеральным законом орган местного самоуправления имеет право на возмещение за счет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248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№ 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248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248" w:firstLine="70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постановлением Администрации     </w:t>
        <w:tab/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248" w:firstLine="708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от «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18»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декабря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2023 г. №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460-П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4956" w:right="0" w:firstLine="708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0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СОСТАВ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комиссии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взаимодействия структурных подразделений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Администрации Красноселькупского района при осуществлении сноса самовольных построек или приведения  их в соответствие с установленными требованиями на территории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Первый заместитель Главы Администрации Красноселькупского района (председатель Комиссии)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ab/>
        <w:t xml:space="preserve">начальник отдела архитектуры и градостроительства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(заместитель председателя Комиссии)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главный специалист отдела архитектуры и градостроительства Администрации Красноселькупского района (секретарь Комиссии)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Члены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начальник управления муниципальным имуществом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директор МКУ «Комитет по управлению капитальным строительством»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начальник управления жизнеобеспечения села Красноселькуп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начальник управления ЖКХ, транспорта и связи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начальник Контрольно-правового управления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глава администрации с. Толька (по согласованию)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глава администрации с. Ратта (по согласованию)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84"/>
        <w:ind w:left="0" w:righ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  <w:tabs>
        <w:tab w:val="left" w:pos="4535" w:leader="none"/>
        <w:tab w:val="clear" w:pos="7143" w:leader="none"/>
        <w:tab w:val="clear" w:pos="14287" w:leader="none"/>
      </w:tabs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center"/>
    </w:pPr>
    <w:r/>
    <w:r/>
  </w:p>
  <w:p>
    <w:pPr>
      <w:pStyle w:val="73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81"/>
    <w:next w:val="881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6">
    <w:name w:val="Heading 1 Char"/>
    <w:link w:val="705"/>
    <w:uiPriority w:val="9"/>
    <w:rPr>
      <w:rFonts w:ascii="Arial" w:hAnsi="Arial" w:eastAsia="Arial" w:cs="Arial"/>
      <w:sz w:val="40"/>
      <w:szCs w:val="40"/>
    </w:rPr>
  </w:style>
  <w:style w:type="paragraph" w:styleId="707">
    <w:name w:val="Heading 2"/>
    <w:basedOn w:val="881"/>
    <w:next w:val="881"/>
    <w:link w:val="7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8">
    <w:name w:val="Heading 2 Char"/>
    <w:link w:val="707"/>
    <w:uiPriority w:val="9"/>
    <w:rPr>
      <w:rFonts w:ascii="Arial" w:hAnsi="Arial" w:eastAsia="Arial" w:cs="Arial"/>
      <w:sz w:val="34"/>
    </w:rPr>
  </w:style>
  <w:style w:type="paragraph" w:styleId="709">
    <w:name w:val="Heading 3"/>
    <w:basedOn w:val="881"/>
    <w:next w:val="881"/>
    <w:link w:val="7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0">
    <w:name w:val="Heading 3 Char"/>
    <w:link w:val="709"/>
    <w:uiPriority w:val="9"/>
    <w:rPr>
      <w:rFonts w:ascii="Arial" w:hAnsi="Arial" w:eastAsia="Arial" w:cs="Arial"/>
      <w:sz w:val="30"/>
      <w:szCs w:val="30"/>
    </w:rPr>
  </w:style>
  <w:style w:type="paragraph" w:styleId="711">
    <w:name w:val="Heading 4"/>
    <w:basedOn w:val="881"/>
    <w:next w:val="881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2">
    <w:name w:val="Heading 4 Char"/>
    <w:link w:val="711"/>
    <w:uiPriority w:val="9"/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881"/>
    <w:next w:val="881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4">
    <w:name w:val="Heading 5 Char"/>
    <w:link w:val="713"/>
    <w:uiPriority w:val="9"/>
    <w:rPr>
      <w:rFonts w:ascii="Arial" w:hAnsi="Arial" w:eastAsia="Arial" w:cs="Arial"/>
      <w:b/>
      <w:bCs/>
      <w:sz w:val="24"/>
      <w:szCs w:val="24"/>
    </w:rPr>
  </w:style>
  <w:style w:type="paragraph" w:styleId="715">
    <w:name w:val="Heading 6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6">
    <w:name w:val="Heading 6 Char"/>
    <w:link w:val="715"/>
    <w:uiPriority w:val="9"/>
    <w:rPr>
      <w:rFonts w:ascii="Arial" w:hAnsi="Arial" w:eastAsia="Arial" w:cs="Arial"/>
      <w:b/>
      <w:bCs/>
      <w:sz w:val="22"/>
      <w:szCs w:val="22"/>
    </w:rPr>
  </w:style>
  <w:style w:type="paragraph" w:styleId="717">
    <w:name w:val="Heading 7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8">
    <w:name w:val="Heading 7 Char"/>
    <w:link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0">
    <w:name w:val="Heading 8 Char"/>
    <w:link w:val="719"/>
    <w:uiPriority w:val="9"/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881"/>
    <w:next w:val="881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>
    <w:name w:val="Heading 9 Char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Title"/>
    <w:basedOn w:val="881"/>
    <w:next w:val="881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link w:val="723"/>
    <w:uiPriority w:val="10"/>
    <w:rPr>
      <w:sz w:val="48"/>
      <w:szCs w:val="48"/>
    </w:rPr>
  </w:style>
  <w:style w:type="paragraph" w:styleId="725">
    <w:name w:val="Subtitle"/>
    <w:basedOn w:val="881"/>
    <w:next w:val="881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link w:val="725"/>
    <w:uiPriority w:val="11"/>
    <w:rPr>
      <w:sz w:val="24"/>
      <w:szCs w:val="24"/>
    </w:rPr>
  </w:style>
  <w:style w:type="paragraph" w:styleId="727">
    <w:name w:val="Quote"/>
    <w:basedOn w:val="881"/>
    <w:next w:val="881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81"/>
    <w:next w:val="881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81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Header Char"/>
    <w:link w:val="731"/>
    <w:uiPriority w:val="99"/>
  </w:style>
  <w:style w:type="paragraph" w:styleId="733">
    <w:name w:val="Footer"/>
    <w:basedOn w:val="881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Footer Char"/>
    <w:link w:val="733"/>
    <w:uiPriority w:val="99"/>
  </w:style>
  <w:style w:type="paragraph" w:styleId="735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733"/>
    <w:uiPriority w:val="99"/>
  </w:style>
  <w:style w:type="table" w:styleId="737">
    <w:name w:val="Table Grid"/>
    <w:basedOn w:val="8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7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8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9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0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1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2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4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5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6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7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8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9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1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2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3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4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5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6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88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>
    <w:name w:val="Footnote Text Char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paragraph" w:styleId="884">
    <w:name w:val="No Spacing"/>
    <w:basedOn w:val="881"/>
    <w:uiPriority w:val="1"/>
    <w:qFormat/>
    <w:pPr>
      <w:spacing w:after="0" w:line="240" w:lineRule="auto"/>
    </w:pPr>
  </w:style>
  <w:style w:type="paragraph" w:styleId="885">
    <w:name w:val="List Paragraph"/>
    <w:basedOn w:val="881"/>
    <w:uiPriority w:val="34"/>
    <w:qFormat/>
    <w:pPr>
      <w:contextualSpacing/>
      <w:ind w:left="720"/>
    </w:pPr>
  </w:style>
  <w:style w:type="character" w:styleId="886" w:default="1">
    <w:name w:val="Default Paragraph Font"/>
    <w:uiPriority w:val="1"/>
    <w:semiHidden/>
    <w:unhideWhenUsed/>
  </w:style>
  <w:style w:type="paragraph" w:styleId="887" w:customStyle="1">
    <w:name w:val="ConsPlusNormal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eastAsia="Times New Roman" w:cs="Calibri" w:asciiTheme="minorHAnsi" w:hAnsi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88" w:customStyle="1">
    <w:name w:val="ListLabel 1"/>
    <w:qFormat/>
    <w:rPr>
      <w:rFonts w:ascii="Times New Roman" w:hAnsi="Times New Roman" w:cs="Times New Roman"/>
      <w:sz w:val="28"/>
      <w:szCs w:val="28"/>
    </w:rPr>
  </w:style>
  <w:style w:type="character" w:styleId="889" w:customStyle="1">
    <w:name w:val="Гипертекстовая ссылка"/>
    <w:basedOn w:val="716"/>
    <w:rPr>
      <w:rFonts w:ascii="Times New Roman" w:hAnsi="Times New Roman" w:eastAsia="Times New Roman" w:cs="Times New Roman"/>
      <w:b w:val="0"/>
      <w:bCs w:val="0"/>
      <w:color w:val="106bbe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https://internet.garant.ru/document/redirect/12124624/0" TargetMode="External"/><Relationship Id="rId14" Type="http://schemas.openxmlformats.org/officeDocument/2006/relationships/hyperlink" Target="https://internet.garant.ru/document/redirect/12138258/55322" TargetMode="External"/><Relationship Id="rId15" Type="http://schemas.openxmlformats.org/officeDocument/2006/relationships/hyperlink" Target="https://internet.garant.ru/document/redirect/72224414/1000" TargetMode="External"/><Relationship Id="rId16" Type="http://schemas.openxmlformats.org/officeDocument/2006/relationships/hyperlink" Target="https://internet.garant.ru/document/redirect/72224414/0" TargetMode="External"/><Relationship Id="rId17" Type="http://schemas.openxmlformats.org/officeDocument/2006/relationships/hyperlink" Target="https://internet.garant.ru/document/redirect/10164072/222401" TargetMode="External"/><Relationship Id="rId18" Type="http://schemas.openxmlformats.org/officeDocument/2006/relationships/hyperlink" Target="https://internet.garant.ru/document/redirect/10164072/222402" TargetMode="External"/><Relationship Id="rId19" Type="http://schemas.openxmlformats.org/officeDocument/2006/relationships/hyperlink" Target="https://internet.garant.ru/document/redirect/10164072/222401" TargetMode="External"/><Relationship Id="rId20" Type="http://schemas.openxmlformats.org/officeDocument/2006/relationships/hyperlink" Target="https://internet.garant.ru/document/redirect/10164072/222402" TargetMode="External"/><Relationship Id="rId21" Type="http://schemas.openxmlformats.org/officeDocument/2006/relationships/hyperlink" Target="https://internet.garant.ru/document/redirect/27998025/35" TargetMode="External"/><Relationship Id="rId22" Type="http://schemas.openxmlformats.org/officeDocument/2006/relationships/hyperlink" Target="https://internet.garant.ru/document/redirect/12138258/5532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2023-12-18T12:10:13Z</dcterms:modified>
</cp:coreProperties>
</file>