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contextualSpacing/>
        <w:jc w:val="center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8.5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color w:val="000000" w:themeColor="text1"/>
        </w:rPr>
      </w:r>
      <w:r/>
    </w:p>
    <w:p>
      <w:pPr>
        <w:pStyle w:val="873"/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color w:val="000000" w:themeColor="text1"/>
        </w:rPr>
      </w:r>
      <w:r/>
    </w:p>
    <w:p>
      <w:pPr>
        <w:pStyle w:val="873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>
        <w:rPr>
          <w:color w:val="000000" w:themeColor="text1"/>
        </w:rPr>
      </w:r>
      <w:r/>
    </w:p>
    <w:p>
      <w:pPr>
        <w:pStyle w:val="873"/>
        <w:contextualSpacing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contextualSpacing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«08» декабря 2023 г.                                                                          № 441-П</w:t>
      </w:r>
      <w:r>
        <w:rPr>
          <w:color w:val="000000" w:themeColor="text1"/>
        </w:rPr>
      </w:r>
      <w:r/>
    </w:p>
    <w:p>
      <w:pPr>
        <w:pStyle w:val="873"/>
        <w:contextualSpacing/>
        <w:jc w:val="center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с. Красноселькуп</w:t>
      </w:r>
      <w:r>
        <w:rPr>
          <w:color w:val="000000" w:themeColor="text1"/>
        </w:rPr>
      </w:r>
      <w:r/>
    </w:p>
    <w:p>
      <w:pPr>
        <w:pStyle w:val="873"/>
        <w:contextualSpacing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contextualSpacing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contextualSpacing/>
        <w:ind w:right="-140"/>
        <w:jc w:val="center"/>
        <w:spacing w:line="17" w:lineRule="atLeast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внесении изменени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в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постановление Администрации Красноселькупского района от 31 июля 2023 года № 268-П</w:t>
      </w:r>
      <w:r>
        <w:rPr>
          <w:color w:val="000000" w:themeColor="text1"/>
        </w:rPr>
      </w:r>
      <w:r/>
    </w:p>
    <w:p>
      <w:pPr>
        <w:pStyle w:val="873"/>
        <w:contextualSpacing/>
        <w:ind w:right="-140"/>
        <w:jc w:val="center"/>
        <w:spacing w:line="17" w:lineRule="atLeast"/>
        <w:widowControl w:val="off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contextualSpacing/>
        <w:ind w:right="-140"/>
        <w:jc w:val="center"/>
        <w:spacing w:line="17" w:lineRule="atLeast"/>
        <w:widowControl w:val="off"/>
        <w:rPr>
          <w:rFonts w:ascii="Liberation Sans" w:hAnsi="Liberation Sans" w:cs="Liberation Sans"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contextualSpacing/>
        <w:ind w:firstLine="709"/>
        <w:jc w:val="both"/>
        <w:spacing w:line="17" w:lineRule="atLeast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В целях приведения нормативного правового акта муниципального округа Красноселькупский район Ямало-Ненецкого автономного округа в соответствие с законодательством Российской Федерации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руководствуясь Уставом муниципального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Администрация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ого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постановляет:</w:t>
      </w:r>
      <w:r>
        <w:rPr>
          <w:color w:val="000000" w:themeColor="text1"/>
        </w:rPr>
      </w:r>
      <w:r/>
    </w:p>
    <w:p>
      <w:pPr>
        <w:pStyle w:val="873"/>
        <w:contextualSpacing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1.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 Утвердить прила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гаемые изменения, которые вносятся в постановление Администрации Красноселькупского района от 31 июля 2023 года № 268-П «Об утверждении положения о системе оповещения населения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».</w:t>
      </w:r>
      <w:r>
        <w:rPr>
          <w:color w:val="000000" w:themeColor="text1"/>
        </w:rPr>
      </w:r>
      <w:r/>
    </w:p>
    <w:p>
      <w:pPr>
        <w:pStyle w:val="873"/>
        <w:contextualSpacing/>
        <w:ind w:firstLine="708"/>
        <w:jc w:val="both"/>
        <w:spacing w:line="17" w:lineRule="atLeast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 w:cs="Liberation Sans"/>
          <w:color w:val="000000" w:themeColor="text1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3. Настоящее постановление вступает в силу с момента подписания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и распространяет свое действие на правоотношен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ия, возникшие с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01 сентября 2023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года.</w:t>
      </w:r>
      <w:r>
        <w:rPr>
          <w:color w:val="000000" w:themeColor="text1"/>
          <w:highlight w:val="white"/>
        </w:rPr>
      </w:r>
      <w:r/>
    </w:p>
    <w:p>
      <w:pPr>
        <w:pStyle w:val="873"/>
        <w:contextualSpacing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highlight w:val="white"/>
        </w:rPr>
      </w:r>
      <w:r/>
    </w:p>
    <w:p>
      <w:pPr>
        <w:pStyle w:val="873"/>
        <w:contextualSpacing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contextualSpacing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3"/>
        <w:contextualSpacing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Глав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Ю.В. Фише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</w:rPr>
      </w:r>
      <w:r/>
    </w:p>
    <w:p>
      <w:pPr>
        <w:ind w:left="4956" w:firstLine="0"/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ind w:left="4956" w:firstLine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Приложение</w:t>
      </w:r>
      <w:r>
        <w:rPr>
          <w:color w:val="000000" w:themeColor="text1"/>
        </w:rPr>
      </w:r>
      <w:r/>
    </w:p>
    <w:p>
      <w:pPr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ab/>
        <w:tab/>
        <w:tab/>
        <w:tab/>
        <w:tab/>
        <w:tab/>
        <w:tab/>
        <w:t xml:space="preserve">УТВЕРЖДЕНЫ</w:t>
      </w:r>
      <w:r>
        <w:rPr>
          <w:color w:val="000000" w:themeColor="text1"/>
        </w:rPr>
      </w:r>
      <w:r/>
    </w:p>
    <w:p>
      <w:pPr>
        <w:ind w:left="4956" w:firstLine="0"/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постановлением Администрации Красноселькупского района 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ind w:left="4956" w:firstLine="0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от «08» декабря 2023 г. № 441-П</w:t>
      </w:r>
      <w:r>
        <w:rPr>
          <w:color w:val="000000" w:themeColor="text1"/>
        </w:rPr>
      </w:r>
      <w:r/>
    </w:p>
    <w:p>
      <w:pPr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color w:val="000000" w:themeColor="text1"/>
        </w:rPr>
      </w:r>
      <w:r/>
    </w:p>
    <w:p>
      <w:pPr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</w:rPr>
        <w:t xml:space="preserve">ИЗМЕНЕНИЯ, </w:t>
      </w:r>
      <w:r>
        <w:rPr>
          <w:color w:val="000000" w:themeColor="text1"/>
        </w:rPr>
      </w:r>
      <w:r/>
    </w:p>
    <w:p>
      <w:pPr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которые вносятся в постановление Администрации Красноселькупского района от 31 июля 2023 года № 268-П </w:t>
      </w:r>
      <w:r>
        <w:rPr>
          <w:color w:val="000000" w:themeColor="text1"/>
        </w:rPr>
      </w:r>
      <w:r/>
    </w:p>
    <w:p>
      <w:pPr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1.</w:t>
        <w:tab/>
        <w:t xml:space="preserve">Преамбулу изложить в следующей редакции: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14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«В соответствии с Федеральным законом от 21 декабря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1994 года </w:t>
      </w:r>
      <w:hyperlink r:id="rId15" w:tooltip="consultantplus://offline/ref=815AABE2BEA2AF8DFB1540E1526A6A999DBB4E74A32410CE4D52C791481CB77A769E6996676C962394A9853AF87081B11D2A5A35Z4G1K" w:history="1">
        <w:r>
          <w:rPr>
            <w:rStyle w:val="855"/>
            <w:rFonts w:ascii="Liberation Sans" w:hAnsi="Liberation Sans" w:eastAsia="Liberation Serif" w:cs="Liberation Sans"/>
            <w:color w:val="000000" w:themeColor="text1"/>
            <w:sz w:val="28"/>
            <w:szCs w:val="28"/>
            <w:u w:val="none"/>
          </w:rPr>
          <w:t xml:space="preserve">№ 68-ФЗ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Федеральным законом от 12 февраля 1998 года </w:t>
      </w:r>
      <w:hyperlink r:id="rId16" w:tooltip="consultantplus://offline/ref=815AABE2BEA2AF8DFB1540E1526A6A999DBB4E74A32710CE4D52C791481CB77A769E6997636C962394A9853AF87081B11D2A5A35Z4G1K" w:history="1">
        <w:r>
          <w:rPr>
            <w:rStyle w:val="855"/>
            <w:rFonts w:ascii="Liberation Sans" w:hAnsi="Liberation Sans" w:eastAsia="Liberation Serif" w:cs="Liberation Sans"/>
            <w:color w:val="000000" w:themeColor="text1"/>
            <w:sz w:val="28"/>
            <w:szCs w:val="28"/>
            <w:u w:val="none"/>
          </w:rPr>
          <w:t xml:space="preserve">№ 28-ФЗ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«О гражданской обороне», Федеральным законом </w:t>
      </w:r>
      <w:bookmarkStart w:id="0" w:name="undefined"/>
      <w:r>
        <w:rPr>
          <w:rFonts w:ascii="Liberation Sans" w:hAnsi="Liberation Sans" w:cs="Liberation Sans"/>
          <w:color w:val="000000" w:themeColor="text1"/>
        </w:rPr>
      </w:r>
      <w:bookmarkEnd w:id="0"/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от 06 октября 2003 года </w:t>
      </w:r>
      <w:hyperlink r:id="rId17" w:tooltip="consultantplus://offline/ref=815AABE2BEA2AF8DFB1540E1526A6A999DBB4C73A42110CE4D52C791481CB77A769E699F6166C17AD4F7DC6ABD3B8DB102365B365FA9662DZ9GDK" w:history="1">
        <w:r>
          <w:rPr>
            <w:rStyle w:val="855"/>
            <w:rFonts w:ascii="Liberation Sans" w:hAnsi="Liberation Sans" w:eastAsia="Liberation Serif" w:cs="Liberation Sans"/>
            <w:color w:val="000000" w:themeColor="text1"/>
            <w:sz w:val="28"/>
            <w:szCs w:val="28"/>
            <w:u w:val="none"/>
          </w:rPr>
          <w:t xml:space="preserve">№ 131-ФЗ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постановлением Правительства Российской Федерации от 17 мая 2023 года № 769 «О порядке создания, реконструкции и поддержания в состоянии постоянной готовности к использованию систем оповещения населения»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приказом Министерства Российской Федерации по делам гражданской обороны, чрезвычайны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7"/>
        </w:rPr>
        <w:t xml:space="preserve">постановляет:</w:t>
      </w:r>
      <w:r>
        <w:rPr>
          <w:rFonts w:ascii="Liberation Sans" w:hAnsi="Liberation Sans" w:cs="Liberation Sans"/>
          <w:b/>
          <w:color w:val="000000" w:themeColor="text1"/>
          <w:sz w:val="28"/>
          <w:szCs w:val="27"/>
        </w:rPr>
        <w:t xml:space="preserve">».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714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2.</w:t>
        <w:tab/>
        <w:t xml:space="preserve">В положении о системе оповещения населения муниципального округа Красноселькупский район Ямало-Ненецкого автономного округа, утверждённом указанным постановлением: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714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2.1.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в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разделе I: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714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2.1.1.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пункт 1.1 изложить в следующей редакции:</w:t>
      </w:r>
      <w:r/>
    </w:p>
    <w:p>
      <w:pPr>
        <w:ind w:left="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«1.1.</w:t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Положение о системе оповещения населения муниципального округа Красноселькупский район Ямало-Ненецкого автономного округа (далее – положение, муниципальная система оповещения) разработано в соответствии с Федеральным законом от 21 декабря 1994 г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ода </w:t>
      </w:r>
      <w:hyperlink r:id="rId18" w:tooltip="consultantplus://offline/ref=815AABE2BEA2AF8DFB1540E1526A6A999DBB4E74A32410CE4D52C791481CB77A769E6996676C962394A9853AF87081B11D2A5A35Z4G1K" w:history="1">
        <w:r>
          <w:rPr>
            <w:rStyle w:val="855"/>
            <w:rFonts w:ascii="Liberation Sans" w:hAnsi="Liberation Sans" w:eastAsia="Liberation Serif" w:cs="Liberation Sans"/>
            <w:color w:val="000000" w:themeColor="text1"/>
            <w:sz w:val="28"/>
            <w:szCs w:val="28"/>
            <w:u w:val="none"/>
          </w:rPr>
          <w:t xml:space="preserve">№ 68-ФЗ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(далее - Федеральный закон № 68-ФЗ), Федеральным законом от 12 февраля 1998 года </w:t>
      </w:r>
      <w:hyperlink r:id="rId19" w:tooltip="consultantplus://offline/ref=815AABE2BEA2AF8DFB1540E1526A6A999DBB4E74A32710CE4D52C791481CB77A769E6997636C962394A9853AF87081B11D2A5A35Z4G1K" w:history="1">
        <w:r>
          <w:rPr>
            <w:rStyle w:val="855"/>
            <w:rFonts w:ascii="Liberation Sans" w:hAnsi="Liberation Sans" w:eastAsia="Liberation Serif" w:cs="Liberation Sans"/>
            <w:color w:val="000000" w:themeColor="text1"/>
            <w:sz w:val="28"/>
            <w:szCs w:val="28"/>
            <w:u w:val="none"/>
          </w:rPr>
          <w:t xml:space="preserve">№ 28-ФЗ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«О гражданской обороне», Федеральным законом от 06 октября 2003 года </w:t>
      </w:r>
      <w:hyperlink r:id="rId20" w:tooltip="consultantplus://offline/ref=815AABE2BEA2AF8DFB1540E1526A6A999DBB4C73A42110CE4D52C791481CB77A769E699F6166C17AD4F7DC6ABD3B8DB102365B365FA9662DZ9GDK" w:history="1">
        <w:r>
          <w:rPr>
            <w:rStyle w:val="855"/>
            <w:rFonts w:ascii="Liberation Sans" w:hAnsi="Liberation Sans" w:eastAsia="Liberation Serif" w:cs="Liberation Sans"/>
            <w:color w:val="000000" w:themeColor="text1"/>
            <w:sz w:val="28"/>
            <w:szCs w:val="28"/>
            <w:u w:val="none"/>
          </w:rPr>
          <w:t xml:space="preserve">№ 131-ФЗ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ением Правительства Российской Федерации от 17 мая 2023 года №769 «О порядке создания, реконструкции и поддержания в состоянии постоянной готовности к использованию систем оповещения населения»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(далее -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постановление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Правительства Российской Федерации № 769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приказом Министерства Российской Федерации по делам гражданск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ой обороны, чрезвычайным ситуациям и ликвидации последствий стихи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ных бедствий и Министерства цифрового развития, связи и массовых коммуникаций Российской Федерации от 31 июля 2020 года  №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578/365 «Об утверждении Положения о системах оповещения населения»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.»;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2.1.2.</w:t>
        <w:tab/>
        <w:t xml:space="preserve">пункт 1.2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1.2.</w:t>
        <w:tab/>
        <w:t xml:space="preserve">Положение определяет назначение, задачи и требования к муниципальной системе оповещения, порядок ее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создания, реконструкции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и поддержания в состоянии постоянной готовности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к использованию, порядок её задействования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firstLine="708"/>
        <w:jc w:val="both"/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2.1.3.</w:t>
        <w:tab/>
        <w:t xml:space="preserve">пункт 1.5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признать утратившим силу;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firstLine="708"/>
        <w:jc w:val="both"/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2.1.4.</w:t>
        <w:tab/>
        <w:t xml:space="preserve">пункт 1.7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«1.7.</w:t>
        <w:tab/>
        <w:t xml:space="preserve">Муниципальная система оповещения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создается Администрацией Красноселькупского района, входит в состав РАСЦО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состоит из: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оборудования муниципального пункта управления оповещением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размещаемого в помещениях муниципального казенного учреждения «Единая дежурная диспетчерская служба» Красноселькупского района (далее – ЕДДС)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коммутационного оборудования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используемого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на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муниципальном уровне;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удаленного оборудования, обеспечивающего перехват радио-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телевизионных каналов, осуществляющих вещание на территории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и вывод сигналов оповещения в эфир;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удаленного оборудования передачи звукового сигнала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оповещения (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сирены, громкоговорители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линий и каналов передачи сигналов оповещения от муниципальных пунктов управления до удаленного оборудования оповещения и пунктов управления локальных систем оповещения;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линий и каналов связи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обеспечивающих доведение сигналов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оповещения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до руководящего состава сил гражданской обороны муниципального округа Красноселькупский район Ямало-Ненецкого автономного округа (далее – СГО Красноселькупского района) и МЗТП РСЧС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jc w:val="both"/>
        <w:spacing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2.2.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раздел IV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                     IV. Порядок создания, совершенствования, реконструкции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и поддержания в готовности к использов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анию муниципальной системы оповещения населения</w:t>
      </w:r>
      <w:r>
        <w:rPr>
          <w:color w:val="000000" w:themeColor="text1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4.1.</w:t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Поддержание муниципальной системы оповещения населения в готовности организуется и осуществляется Администрацией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ab/>
        <w:t xml:space="preserve">4.2.</w:t>
        <w:tab/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Поддержание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в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постоянной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готовности муниципальной системы оповещения населения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достигается за счёт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ab/>
        <w:t xml:space="preserve">осуществления обучения уполномоченного на задействование систем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оповещения населения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дежурного (дежурно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диспетчерского) персонала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органов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осуществляющих управление гражданской обороной,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органов повседневного управления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единой государственной системы предупреждения и ликвидации чрезвычайных ситуаций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и организаций,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указанных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  <w:u w:val="none"/>
        </w:rPr>
        <w:t xml:space="preserve"> в пункте 3 статьи 9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Федерального закона «О гражданской обороне»;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заблаговременного формирования сигналов оповещения и экстренной информации об опасностях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возникающих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при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военных конфликтах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или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вследствие этих конфликтов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а также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при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чрезвычайных ситуациях природного и техногенного характера;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регулярного проведения проверок наличия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и готовности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технических средств оповещения системы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оповещения населения в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соответствии с проектно-технической документацией;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эксплуатационно-технического обслуживания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ремонта неисправных и замены выслуживших установленный эксплуатационный ресурс технических средств оповещения;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создания запасов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(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резервов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)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средств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оповещения населения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и поддержания их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в готовности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к использованию по предназначению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в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соответствии с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none"/>
        </w:rPr>
        <w:t xml:space="preserve"> </w:t>
      </w:r>
      <w:hyperlink r:id="rId21" w:tooltip="https://internet.garant.ru/#/document/182010/entry/0" w:history="1">
        <w:r>
          <w:rPr>
            <w:rStyle w:val="900"/>
            <w:rFonts w:ascii="Liberation Sans" w:hAnsi="Liberation Sans" w:eastAsia="PT Serif" w:cs="Liberation Sans"/>
            <w:color w:val="000000" w:themeColor="text1"/>
            <w:sz w:val="28"/>
            <w:szCs w:val="28"/>
            <w:highlight w:val="white"/>
            <w:u w:val="none"/>
          </w:rPr>
          <w:t xml:space="preserve">постановлением</w:t>
        </w:r>
      </w:hyperlink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Правительства Российской Федерации от 27 апреля 2000 года N 379 «О накоплении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хранении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использовании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в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целях гражданской обороны запасов материально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-технических,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продовольственных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медицинских и иных средств»;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  <w:tab/>
        <w:t xml:space="preserve">осуществления реконструкции систем оповещения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населения в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случаях,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  <w:u w:val="none"/>
        </w:rPr>
        <w:t xml:space="preserve">установленных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  <w:u w:val="none"/>
        </w:rPr>
        <w:t xml:space="preserve"> </w:t>
      </w:r>
      <w:hyperlink r:id="rId22" w:tooltip="https://internet.garant.ru/#/document/400530375/entry/1029" w:history="1">
        <w:r>
          <w:rPr>
            <w:rStyle w:val="900"/>
            <w:rFonts w:ascii="Liberation Sans" w:hAnsi="Liberation Sans" w:eastAsia="PT Serif" w:cs="Liberation Sans"/>
            <w:color w:val="000000" w:themeColor="text1"/>
            <w:sz w:val="28"/>
            <w:szCs w:val="28"/>
            <w:highlight w:val="white"/>
            <w:u w:val="none"/>
          </w:rPr>
          <w:t xml:space="preserve">пунктом </w:t>
        </w:r>
        <w:r>
          <w:rPr>
            <w:rStyle w:val="900"/>
            <w:rFonts w:ascii="Liberation Sans" w:hAnsi="Liberation Sans" w:eastAsia="PT Serif" w:cs="Liberation Sans"/>
            <w:color w:val="000000" w:themeColor="text1"/>
            <w:sz w:val="28"/>
            <w:szCs w:val="28"/>
            <w:highlight w:val="white"/>
            <w:u w:val="none"/>
          </w:rPr>
          <w:t xml:space="preserve">4.8 настоящего </w:t>
        </w:r>
      </w:hyperlink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  <w:u w:val="none"/>
        </w:rPr>
        <w:t xml:space="preserve">п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  <w:u w:val="none"/>
        </w:rPr>
        <w:t xml:space="preserve">оложения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  <w:u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  <w:u w:val="non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4.3.</w:t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Для обеспечения оп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yellow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</w:rPr>
        <w:t xml:space="preserve">4.4.</w:t>
        <w:tab/>
        <w:t xml:space="preserve">Вывод из эксплуатации действующей муниципальной системы опо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</w:rPr>
        <w:t xml:space="preserve">вещения населения осуществляется по окончанию эксплуатационного ресурса технических средств этой муниципальной системы оповещения населения, завершения ее модернизации (реконструкции) и ввода в эксплуатацию новой муниципальной системы оповещения населения.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</w:rPr>
        <w:t xml:space="preserve">4.5.</w:t>
        <w:tab/>
        <w:t xml:space="preserve">Организация технического обслуживания средств оповещения осуществляется в соответствии с положением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</w:rPr>
        <w:t xml:space="preserve">по организации эксплуатационно-технического обслуживания систем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</w:rPr>
        <w:t xml:space="preserve"> и Министерства цифрового развития, связи и массовых коммуникаций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Российской Федерации от 31 июля 2020 года N 579/366.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4.6.</w:t>
        <w:tab/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Мероприятия по созданию, реконструкции муниципальной системы оповещения населения проводятся в 3 этапа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в соответствии с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правилами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создания, реконструкции и поддержания в состоянии постоянной готовности к использованию систем оповещения населения, утвержденными постановлением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Правительства Российской Федерации N 769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4.7.</w:t>
        <w:tab/>
        <w:t xml:space="preserve">В ходе развития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(строительства) населенных пунктов, районов (кварталов)населенных пунктов, жилых комплексов и т.д. Администрацией Красноселькупского района проводятся необходимые мероприятия по совершенствованию (развитию, дооборудованию) муниципальной системы оповещения.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4.8.</w:t>
        <w:tab/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Реконструкция муниципальной системы оповещения населения проводится в случаях: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а) необходимости полной замены технических средств оповещения муниципальной системы оповещения населения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не выслуживших установленный заводом-изготовителем эксплуатационный ресурс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в связи с невозможностью восстановления из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за выхода из строя (потери работоспособности) при военных конфликтах или вследствие этих конфликтов, а также при чрезвычайных ситуациях природного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техногенного характера;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8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б)</w:t>
        <w:tab/>
        <w:t xml:space="preserve">необходимости полной замены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технических средств оповещения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муниципальной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системы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 оповещения населения в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связи с невозможностью восстановления выслуживших установленный заводом-изготовителем эксплуатационный ресурс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.».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2.3.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раздел V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«V. Порядок финансирования создания, реконструкции и поддержания в состоянии постоянной готовности муниципальной системы оповещения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before="0" w:beforeAutospacing="0" w:after="0" w:afterAutospacing="0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ab/>
        <w:t xml:space="preserve">5.1.</w:t>
        <w:tab/>
        <w:t xml:space="preserve">Финансирование мероприятий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по созданию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, реконструкции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white"/>
        </w:rPr>
        <w:t xml:space="preserve">и поддержанию в постоянной готовности муниципальной системы оповещения и информирования населения о чрезвычайных ситуациях осуществляется </w:t>
      </w:r>
      <w:r>
        <w:rPr>
          <w:rFonts w:ascii="Liberation Sans" w:hAnsi="Liberation Sans" w:eastAsia="PT Serif" w:cs="Liberation Sans"/>
          <w:color w:val="000000" w:themeColor="text1"/>
          <w:sz w:val="28"/>
          <w:szCs w:val="28"/>
          <w:highlight w:val="none"/>
        </w:rPr>
        <w:t xml:space="preserve">Администрацией Красноселькупского района за счет средств бюджета Красноселькупского района.».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sectPr>
      <w:headerReference w:type="first" r:id="rId11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alibri Light">
    <w:panose1 w:val="020F0502020204030204"/>
  </w:font>
  <w:font w:name="PT Serif">
    <w:panose1 w:val="020A060304050502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723"/>
      <w:rPr>
        <w:rFonts w:ascii="Liberation Sans" w:hAnsi="Liberation Sans" w:cs="Liberation Sans"/>
      </w:rPr>
    </w:pPr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3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3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73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pStyle w:val="873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7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6">
    <w:name w:val="Heading 1 Char"/>
    <w:link w:val="695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73"/>
    <w:next w:val="873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73"/>
    <w:next w:val="873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73"/>
    <w:next w:val="873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873"/>
    <w:uiPriority w:val="34"/>
    <w:qFormat/>
    <w:pPr>
      <w:contextualSpacing/>
      <w:ind w:left="720"/>
    </w:p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3"/>
    <w:next w:val="87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next w:val="873"/>
    <w:link w:val="873"/>
    <w:rPr>
      <w:sz w:val="24"/>
      <w:szCs w:val="24"/>
      <w:lang w:val="ru-RU" w:eastAsia="ru-RU" w:bidi="ar-SA"/>
    </w:rPr>
  </w:style>
  <w:style w:type="paragraph" w:styleId="874">
    <w:name w:val="Заголовок 1"/>
    <w:basedOn w:val="873"/>
    <w:next w:val="873"/>
    <w:link w:val="87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75">
    <w:name w:val="Заголовок 2"/>
    <w:basedOn w:val="873"/>
    <w:next w:val="873"/>
    <w:link w:val="873"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876">
    <w:name w:val="Заголовок 3"/>
    <w:basedOn w:val="873"/>
    <w:next w:val="873"/>
    <w:link w:val="903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77">
    <w:name w:val="Основной шрифт абзаца"/>
    <w:next w:val="877"/>
    <w:link w:val="873"/>
    <w:uiPriority w:val="1"/>
    <w:semiHidden/>
    <w:unhideWhenUsed/>
  </w:style>
  <w:style w:type="table" w:styleId="878">
    <w:name w:val="Обычная таблица"/>
    <w:next w:val="878"/>
    <w:link w:val="873"/>
    <w:uiPriority w:val="99"/>
    <w:semiHidden/>
    <w:unhideWhenUsed/>
    <w:qFormat/>
    <w:tblPr/>
  </w:style>
  <w:style w:type="numbering" w:styleId="879">
    <w:name w:val="Нет списка"/>
    <w:next w:val="879"/>
    <w:link w:val="873"/>
    <w:uiPriority w:val="99"/>
    <w:semiHidden/>
    <w:unhideWhenUsed/>
  </w:style>
  <w:style w:type="paragraph" w:styleId="880">
    <w:name w:val="- СТРАНИЦА -"/>
    <w:next w:val="880"/>
    <w:link w:val="873"/>
    <w:rPr>
      <w:lang w:val="ru-RU" w:eastAsia="ru-RU" w:bidi="ar-SA"/>
    </w:rPr>
  </w:style>
  <w:style w:type="paragraph" w:styleId="881">
    <w:name w:val="Название объекта"/>
    <w:basedOn w:val="873"/>
    <w:next w:val="873"/>
    <w:link w:val="873"/>
    <w:pPr>
      <w:jc w:val="center"/>
    </w:pPr>
    <w:rPr>
      <w:b/>
      <w:sz w:val="52"/>
      <w:szCs w:val="20"/>
    </w:rPr>
  </w:style>
  <w:style w:type="paragraph" w:styleId="882">
    <w:name w:val="Название"/>
    <w:basedOn w:val="873"/>
    <w:next w:val="882"/>
    <w:link w:val="873"/>
    <w:pPr>
      <w:jc w:val="center"/>
    </w:pPr>
    <w:rPr>
      <w:b/>
      <w:szCs w:val="20"/>
    </w:rPr>
  </w:style>
  <w:style w:type="paragraph" w:styleId="883">
    <w:name w:val="Текст выноски"/>
    <w:basedOn w:val="873"/>
    <w:next w:val="883"/>
    <w:link w:val="873"/>
    <w:rPr>
      <w:rFonts w:ascii="Tahoma" w:hAnsi="Tahoma" w:cs="Tahoma"/>
      <w:sz w:val="16"/>
      <w:szCs w:val="16"/>
    </w:rPr>
  </w:style>
  <w:style w:type="character" w:styleId="884">
    <w:name w:val="Название Знак"/>
    <w:next w:val="884"/>
    <w:link w:val="873"/>
    <w:rPr>
      <w:b/>
      <w:sz w:val="24"/>
    </w:rPr>
  </w:style>
  <w:style w:type="paragraph" w:styleId="885">
    <w:name w:val="Верхний колонтитул"/>
    <w:basedOn w:val="873"/>
    <w:next w:val="885"/>
    <w:link w:val="873"/>
    <w:uiPriority w:val="99"/>
    <w:pPr>
      <w:tabs>
        <w:tab w:val="center" w:pos="4677" w:leader="none"/>
        <w:tab w:val="right" w:pos="9355" w:leader="none"/>
      </w:tabs>
    </w:pPr>
  </w:style>
  <w:style w:type="character" w:styleId="886">
    <w:name w:val="Верхний колонтитул Знак"/>
    <w:next w:val="886"/>
    <w:link w:val="873"/>
    <w:uiPriority w:val="99"/>
    <w:rPr>
      <w:sz w:val="24"/>
      <w:szCs w:val="24"/>
    </w:rPr>
  </w:style>
  <w:style w:type="paragraph" w:styleId="887">
    <w:name w:val="Нижний колонтитул"/>
    <w:basedOn w:val="873"/>
    <w:next w:val="887"/>
    <w:link w:val="873"/>
    <w:pPr>
      <w:tabs>
        <w:tab w:val="center" w:pos="4677" w:leader="none"/>
        <w:tab w:val="right" w:pos="9355" w:leader="none"/>
      </w:tabs>
    </w:pPr>
  </w:style>
  <w:style w:type="character" w:styleId="888">
    <w:name w:val="Нижний колонтитул Знак"/>
    <w:next w:val="888"/>
    <w:link w:val="873"/>
    <w:rPr>
      <w:sz w:val="24"/>
      <w:szCs w:val="24"/>
    </w:rPr>
  </w:style>
  <w:style w:type="paragraph" w:styleId="889">
    <w:name w:val="Body Text 21"/>
    <w:basedOn w:val="873"/>
    <w:next w:val="889"/>
    <w:link w:val="873"/>
    <w:pPr>
      <w:ind w:right="4250"/>
      <w:jc w:val="both"/>
    </w:pPr>
    <w:rPr>
      <w:color w:val="0000ff"/>
      <w:sz w:val="26"/>
      <w:szCs w:val="26"/>
    </w:rPr>
  </w:style>
  <w:style w:type="paragraph" w:styleId="890">
    <w:name w:val="Основной текст"/>
    <w:basedOn w:val="873"/>
    <w:next w:val="890"/>
    <w:link w:val="873"/>
    <w:pPr>
      <w:jc w:val="both"/>
      <w:tabs>
        <w:tab w:val="left" w:pos="700" w:leader="none"/>
        <w:tab w:val="left" w:pos="900" w:leader="none"/>
      </w:tabs>
    </w:pPr>
    <w:rPr>
      <w:sz w:val="27"/>
      <w:szCs w:val="27"/>
    </w:rPr>
  </w:style>
  <w:style w:type="character" w:styleId="891">
    <w:name w:val="Основной текст Знак"/>
    <w:next w:val="891"/>
    <w:link w:val="873"/>
    <w:rPr>
      <w:sz w:val="27"/>
      <w:szCs w:val="27"/>
    </w:rPr>
  </w:style>
  <w:style w:type="character" w:styleId="892">
    <w:name w:val="Заголовок 2 Знак"/>
    <w:next w:val="892"/>
    <w:link w:val="873"/>
    <w:rPr>
      <w:rFonts w:ascii="Arial" w:hAnsi="Arial" w:eastAsia="Calibri" w:cs="Arial"/>
      <w:b/>
      <w:bCs/>
      <w:i/>
      <w:iCs/>
      <w:sz w:val="28"/>
      <w:szCs w:val="28"/>
    </w:rPr>
  </w:style>
  <w:style w:type="paragraph" w:styleId="893">
    <w:name w:val="ConsPlusTitle"/>
    <w:next w:val="893"/>
    <w:link w:val="873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94">
    <w:name w:val="ConsPlusCell"/>
    <w:next w:val="894"/>
    <w:link w:val="873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95">
    <w:name w:val="ConsPlusNonformat"/>
    <w:next w:val="895"/>
    <w:link w:val="873"/>
    <w:rPr>
      <w:rFonts w:ascii="Courier New" w:hAnsi="Courier New" w:cs="Courier New"/>
      <w:lang w:val="ru-RU" w:eastAsia="ru-RU" w:bidi="ar-SA"/>
    </w:rPr>
  </w:style>
  <w:style w:type="paragraph" w:styleId="896">
    <w:name w:val="Обычный (веб)"/>
    <w:basedOn w:val="873"/>
    <w:next w:val="896"/>
    <w:link w:val="873"/>
    <w:uiPriority w:val="99"/>
    <w:pPr>
      <w:spacing w:after="240"/>
    </w:pPr>
  </w:style>
  <w:style w:type="character" w:styleId="897">
    <w:name w:val="Заголовок 1 Знак"/>
    <w:next w:val="897"/>
    <w:link w:val="873"/>
    <w:rPr>
      <w:rFonts w:ascii="Cambria" w:hAnsi="Cambria" w:eastAsia="Times New Roman" w:cs="Times New Roman"/>
      <w:b/>
      <w:bCs/>
      <w:sz w:val="32"/>
      <w:szCs w:val="32"/>
    </w:rPr>
  </w:style>
  <w:style w:type="paragraph" w:styleId="898">
    <w:name w:val="Основной текст с отступом"/>
    <w:basedOn w:val="873"/>
    <w:next w:val="898"/>
    <w:link w:val="873"/>
    <w:pPr>
      <w:ind w:left="283"/>
      <w:spacing w:after="120"/>
    </w:pPr>
  </w:style>
  <w:style w:type="character" w:styleId="899">
    <w:name w:val="Основной текст с отступом Знак"/>
    <w:next w:val="899"/>
    <w:link w:val="873"/>
    <w:rPr>
      <w:sz w:val="24"/>
      <w:szCs w:val="24"/>
    </w:rPr>
  </w:style>
  <w:style w:type="character" w:styleId="900">
    <w:name w:val="Гиперссылка"/>
    <w:next w:val="900"/>
    <w:link w:val="873"/>
    <w:rPr>
      <w:rFonts w:cs="Times New Roman"/>
      <w:color w:val="0000ff"/>
      <w:u w:val="single"/>
    </w:rPr>
  </w:style>
  <w:style w:type="paragraph" w:styleId="901">
    <w:name w:val="ConsPlusNormal"/>
    <w:next w:val="901"/>
    <w:link w:val="873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902">
    <w:name w:val="ConsPlusNormal Знак"/>
    <w:next w:val="902"/>
    <w:link w:val="873"/>
    <w:rPr>
      <w:rFonts w:ascii="Calibri" w:hAnsi="Calibri" w:cs="Calibri"/>
      <w:sz w:val="22"/>
      <w:lang w:val="ru-RU" w:eastAsia="ru-RU" w:bidi="ar-SA"/>
    </w:rPr>
  </w:style>
  <w:style w:type="character" w:styleId="903">
    <w:name w:val="Заголовок 3 Знак"/>
    <w:next w:val="903"/>
    <w:link w:val="876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904">
    <w:name w:val="Основной текст (2)_"/>
    <w:next w:val="904"/>
    <w:link w:val="905"/>
    <w:rPr>
      <w:rFonts w:ascii="Cambria" w:hAnsi="Cambria" w:eastAsia="Cambria" w:cs="Cambria"/>
      <w:sz w:val="28"/>
      <w:szCs w:val="28"/>
      <w:shd w:val="clear" w:color="auto" w:fill="ffffff"/>
    </w:rPr>
  </w:style>
  <w:style w:type="paragraph" w:styleId="905">
    <w:name w:val="Основной текст (2)"/>
    <w:basedOn w:val="873"/>
    <w:next w:val="905"/>
    <w:link w:val="904"/>
    <w:pPr>
      <w:spacing w:before="900" w:after="300" w:line="0" w:lineRule="atLeast"/>
      <w:shd w:val="clear" w:color="auto" w:fill="ffffff"/>
      <w:widowControl w:val="off"/>
    </w:pPr>
    <w:rPr>
      <w:rFonts w:ascii="Cambria" w:hAnsi="Cambria" w:eastAsia="Cambria" w:cs="Cambria"/>
      <w:sz w:val="28"/>
      <w:szCs w:val="28"/>
    </w:rPr>
  </w:style>
  <w:style w:type="paragraph" w:styleId="906">
    <w:name w:val="Абзац списка"/>
    <w:basedOn w:val="873"/>
    <w:next w:val="906"/>
    <w:link w:val="87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paragraph" w:styleId="907">
    <w:name w:val="Без интервала"/>
    <w:next w:val="907"/>
    <w:link w:val="873"/>
    <w:uiPriority w:val="1"/>
    <w:qFormat/>
    <w:rPr>
      <w:rFonts w:ascii="Calibri" w:hAnsi="Calibri" w:eastAsia="Calibri"/>
      <w:sz w:val="22"/>
      <w:szCs w:val="22"/>
      <w:lang w:val="en-US" w:eastAsia="en-US" w:bidi="en-US"/>
    </w:rPr>
  </w:style>
  <w:style w:type="paragraph" w:styleId="908">
    <w:name w:val="Подзаголовок"/>
    <w:basedOn w:val="873"/>
    <w:next w:val="873"/>
    <w:link w:val="909"/>
    <w:uiPriority w:val="11"/>
    <w:qFormat/>
    <w:pPr>
      <w:numPr>
        <w:ilvl w:val="1"/>
        <w:numId w:val="0"/>
      </w:numPr>
      <w:spacing w:after="200" w:line="276" w:lineRule="auto"/>
    </w:pPr>
    <w:rPr>
      <w:rFonts w:ascii="Calibri Light" w:hAnsi="Calibri Light" w:eastAsia="Times New Roman" w:cs="Times New Roman"/>
      <w:i/>
      <w:iCs/>
      <w:color w:val="5b9bd5"/>
      <w:spacing w:val="15"/>
      <w:lang w:val="en-US" w:eastAsia="en-US" w:bidi="en-US"/>
    </w:rPr>
  </w:style>
  <w:style w:type="character" w:styleId="909">
    <w:name w:val="Подзаголовок Знак"/>
    <w:next w:val="909"/>
    <w:link w:val="908"/>
    <w:uiPriority w:val="11"/>
    <w:rPr>
      <w:rFonts w:ascii="Calibri Light" w:hAnsi="Calibri Light"/>
      <w:i/>
      <w:iCs/>
      <w:color w:val="5b9bd5"/>
      <w:spacing w:val="15"/>
      <w:sz w:val="24"/>
      <w:szCs w:val="24"/>
      <w:lang w:val="en-US" w:eastAsia="en-US" w:bidi="en-US"/>
    </w:rPr>
  </w:style>
  <w:style w:type="paragraph" w:styleId="910">
    <w:name w:val="Прижатый влево"/>
    <w:basedOn w:val="873"/>
    <w:next w:val="873"/>
    <w:link w:val="873"/>
    <w:uiPriority w:val="99"/>
    <w:pPr>
      <w:widowControl w:val="off"/>
    </w:pPr>
    <w:rPr>
      <w:rFonts w:ascii="Arial" w:hAnsi="Arial" w:cs="Arial"/>
    </w:rPr>
  </w:style>
  <w:style w:type="character" w:styleId="911" w:default="1">
    <w:name w:val="Default Paragraph Font"/>
    <w:uiPriority w:val="1"/>
    <w:semiHidden/>
    <w:unhideWhenUsed/>
  </w:style>
  <w:style w:type="numbering" w:styleId="912" w:default="1">
    <w:name w:val="No List"/>
    <w:uiPriority w:val="99"/>
    <w:semiHidden/>
    <w:unhideWhenUsed/>
  </w:style>
  <w:style w:type="table" w:styleId="9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hyperlink" Target="consultantplus://offline/ref=815AABE2BEA2AF8DFB1540E1526A6A999DBB4E74A32410CE4D52C791481CB77A769E6996676C962394A9853AF87081B11D2A5A35Z4G1K" TargetMode="External"/><Relationship Id="rId16" Type="http://schemas.openxmlformats.org/officeDocument/2006/relationships/hyperlink" Target="consultantplus://offline/ref=815AABE2BEA2AF8DFB1540E1526A6A999DBB4E74A32710CE4D52C791481CB77A769E6997636C962394A9853AF87081B11D2A5A35Z4G1K" TargetMode="External"/><Relationship Id="rId17" Type="http://schemas.openxmlformats.org/officeDocument/2006/relationships/hyperlink" Target="consultantplus://offline/ref=815AABE2BEA2AF8DFB1540E1526A6A999DBB4C73A42110CE4D52C791481CB77A769E699F6166C17AD4F7DC6ABD3B8DB102365B365FA9662DZ9GDK" TargetMode="External"/><Relationship Id="rId18" Type="http://schemas.openxmlformats.org/officeDocument/2006/relationships/hyperlink" Target="consultantplus://offline/ref=815AABE2BEA2AF8DFB1540E1526A6A999DBB4E74A32410CE4D52C791481CB77A769E6996676C962394A9853AF87081B11D2A5A35Z4G1K" TargetMode="External"/><Relationship Id="rId19" Type="http://schemas.openxmlformats.org/officeDocument/2006/relationships/hyperlink" Target="consultantplus://offline/ref=815AABE2BEA2AF8DFB1540E1526A6A999DBB4E74A32710CE4D52C791481CB77A769E6997636C962394A9853AF87081B11D2A5A35Z4G1K" TargetMode="External"/><Relationship Id="rId20" Type="http://schemas.openxmlformats.org/officeDocument/2006/relationships/hyperlink" Target="consultantplus://offline/ref=815AABE2BEA2AF8DFB1540E1526A6A999DBB4C73A42110CE4D52C791481CB77A769E699F6166C17AD4F7DC6ABD3B8DB102365B365FA9662DZ9GDK" TargetMode="External"/><Relationship Id="rId21" Type="http://schemas.openxmlformats.org/officeDocument/2006/relationships/hyperlink" Target="https://internet.garant.ru/#/document/182010/entry/0" TargetMode="External"/><Relationship Id="rId22" Type="http://schemas.openxmlformats.org/officeDocument/2006/relationships/hyperlink" Target="https://internet.garant.ru/#/document/400530375/entry/102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</dc:creator>
  <cp:revision>30</cp:revision>
  <dcterms:created xsi:type="dcterms:W3CDTF">2021-03-04T10:47:00Z</dcterms:created>
  <dcterms:modified xsi:type="dcterms:W3CDTF">2023-12-08T08:54:01Z</dcterms:modified>
  <cp:version>1048576</cp:version>
</cp:coreProperties>
</file>