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2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2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2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contextualSpacing/>
        <w:jc w:val="left"/>
        <w:spacing w:line="17" w:lineRule="atLeast"/>
        <w:rPr>
          <w:rFonts w:ascii="Liberation Sans" w:hAnsi="Liberation Sans" w:eastAsia="Liberation Serif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30»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ноября 20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23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г. </w:t>
        <w:tab/>
        <w:tab/>
        <w:tab/>
        <w:tab/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     </w:t>
        <w:tab/>
        <w:tab/>
        <w:t xml:space="preserve">         №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425-П</w:t>
      </w:r>
      <w:r/>
    </w:p>
    <w:p>
      <w:pPr>
        <w:pStyle w:val="752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2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2"/>
        <w:contextualSpacing/>
        <w:jc w:val="center"/>
        <w:spacing w:line="17" w:lineRule="atLeast"/>
        <w:rPr>
          <w:rFonts w:ascii="Liberation Sans" w:hAnsi="Liberation Sans" w:eastAsia="Liberation Serif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О внес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ении изменений в Административный регламент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/>
    </w:p>
    <w:p>
      <w:pPr>
        <w:pStyle w:val="752"/>
        <w:contextualSpacing/>
        <w:jc w:val="center"/>
        <w:spacing w:line="17" w:lineRule="atLeast"/>
        <w:rPr>
          <w:rFonts w:ascii="Liberation Sans" w:hAnsi="Liberation Sans" w:eastAsia="Liberation Serif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 по предоставлению муниципальной услуги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/>
    </w:p>
    <w:p>
      <w:pPr>
        <w:pStyle w:val="752"/>
        <w:contextualSpacing/>
        <w:jc w:val="center"/>
        <w:spacing w:line="17" w:lineRule="atLeast"/>
        <w:rPr>
          <w:rFonts w:ascii="Liberation Sans" w:hAnsi="Liberation Sans" w:eastAsia="Liberation Serif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«Выдача разрешения на ввод объекта в эксплуатацию»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/>
    </w:p>
    <w:p>
      <w:pPr>
        <w:pStyle w:val="752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2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2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2"/>
        <w:contextualSpacing/>
        <w:ind w:firstLine="708"/>
        <w:jc w:val="both"/>
        <w:spacing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ascii="Liberation Sans" w:hAnsi="Liberation Sans" w:cs="Liberation Sans"/>
          <w:sz w:val="28"/>
          <w:szCs w:val="28"/>
        </w:rPr>
        <w:t xml:space="preserve">Федеральным законом от 27.07.2010 № 210-ФЗ «Об организации 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предоставления муниципальных услуг», </w:t>
      </w:r>
      <w:r>
        <w:rPr>
          <w:rFonts w:ascii="Liberation Sans" w:hAnsi="Liberation Sans" w:cs="Liberation Sans"/>
          <w:sz w:val="28"/>
          <w:szCs w:val="28"/>
        </w:rPr>
        <w:t xml:space="preserve">распоряжением Администрации Красноселькупского района от 04.04.2022 </w:t>
      </w:r>
      <w:r>
        <w:rPr>
          <w:rFonts w:ascii="Liberation Sans" w:hAnsi="Liberation Sans" w:cs="Liberation Sans"/>
          <w:sz w:val="28"/>
          <w:szCs w:val="28"/>
        </w:rPr>
        <w:t xml:space="preserve">№ 159-Р «О Порядке </w:t>
      </w:r>
      <w:r>
        <w:rPr>
          <w:rFonts w:ascii="Liberation Sans" w:hAnsi="Liberation Sans" w:cs="Liberation Sans"/>
          <w:sz w:val="28"/>
          <w:szCs w:val="28"/>
        </w:rPr>
        <w:t xml:space="preserve">разработки и утверждения административных </w:t>
      </w:r>
      <w:r>
        <w:rPr>
          <w:rFonts w:ascii="Liberation Sans" w:hAnsi="Liberation Sans" w:cs="Liberation Sans"/>
          <w:sz w:val="28"/>
          <w:szCs w:val="28"/>
        </w:rPr>
        <w:t xml:space="preserve">регламентов предоставления муниципальных услуг», руководствуясь Уставом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 Ямало-Ненецкого </w:t>
      </w:r>
      <w:r>
        <w:rPr>
          <w:rFonts w:ascii="Liberation Sans" w:hAnsi="Liberation Sans" w:cs="Liberation Sans"/>
          <w:sz w:val="28"/>
          <w:szCs w:val="28"/>
        </w:rPr>
        <w:t xml:space="preserve">автономного округа, Администрация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</w:rPr>
      </w:r>
      <w:r/>
    </w:p>
    <w:p>
      <w:pPr>
        <w:pStyle w:val="752"/>
        <w:contextualSpacing/>
        <w:ind w:firstLine="708"/>
        <w:jc w:val="both"/>
        <w:spacing w:line="17" w:lineRule="atLeast"/>
        <w:rPr>
          <w:rFonts w:ascii="Liberation Sans" w:hAnsi="Liberation Sans" w:cs="Liberation Sans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1. Утвердить прилагаемые изменения,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которые вносятся в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«Выдача разрешения на ввод объекта в эксплуатацию»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,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утвержденный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района от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 17.07.2023 № 243-П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Cs w:val="28"/>
          <w:highlight w:val="none"/>
        </w:rPr>
      </w:r>
      <w:r/>
    </w:p>
    <w:p>
      <w:pPr>
        <w:pStyle w:val="752"/>
        <w:contextualSpacing/>
        <w:ind w:firstLine="708"/>
        <w:jc w:val="both"/>
        <w:spacing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pStyle w:val="752"/>
        <w:contextualSpacing/>
        <w:ind w:firstLine="708"/>
        <w:jc w:val="both"/>
        <w:spacing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</w:rPr>
      </w:r>
      <w:r/>
    </w:p>
    <w:p>
      <w:pPr>
        <w:pStyle w:val="752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contextualSpacing/>
        <w:jc w:val="both"/>
        <w:spacing w:line="17" w:lineRule="atLeast"/>
        <w:rPr>
          <w:rFonts w:ascii="Liberation Sans" w:hAnsi="Liberation Sans" w:eastAsia="Liberation Serif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contextualSpacing/>
        <w:jc w:val="both"/>
        <w:spacing w:line="17" w:lineRule="atLeast"/>
        <w:rPr>
          <w:rFonts w:ascii="Liberation Sans" w:hAnsi="Liberation Sans" w:eastAsia="Liberation Serif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района                                                       М.М. Иманов</w:t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left="4956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lang w:bidi="en-US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lang w:bidi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ind w:left="4956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lang w:bidi="en-US"/>
        </w:rPr>
        <w:t xml:space="preserve">УТВЕРЖДЕНЫ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ind w:left="4956"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52"/>
        <w:ind w:left="4248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ого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52"/>
        <w:ind w:left="4248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«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30»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ноября 20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23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года №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425-П</w:t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52"/>
        <w:jc w:val="center"/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которые вносятся в Административный регламент по предоставлению муниципальной услуги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«Выдача разрешения на ввод объекта в эксплуатацию»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, утвержденный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52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района от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 17.07.2023 № 243-П</w:t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1. Абзац второй пункта 2.9.1 изложить в следующей редакции: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«2) 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документ, удостоверяющий личность заявителя или представителя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заявителя, в случае представления заявления о выдаче разрешения на ввод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объекта в эксплуатацию и прилагаемых к нему документов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 через многофункциональный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центр. В случае представления документов посредством Единого портала,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регионального портала, единой информационной системы жилищного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строительства в соответствии с подпунктом «1», «4» пункта 2.14 настоящего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Административного регламента представление указанного документа не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требуется;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 Абзац второй пункта 2.9.2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«2) 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документ, удостоверяющий личность заявителя или представителя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заявителя, в случае представления заявления о внесении изменений 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прилагаемых к нему документов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через многофункциональный центр. 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случае представления документов посредством Единого портала, регионального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портала, единой информационной системы жилищного строительства 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соответствии с подпунктами «1», «4» пункта 2.14 настоящего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Административного регламента представление указанного документа не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требуется;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3. Абзац второй пункта 2.9.3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«2) 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документ, удостоверяющий личность заявителя или представителя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заявителя, в случае представления заявления об исправлении допущенных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опечаток и ошибок и прилагаемых к нему документов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через многофункциональный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центр. В случае представления документов посредством Единого портала,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регионального портала, единой информационной системы жилищного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строительства в соответствии с подпунктами «1», «4» пункта 2.14 настоящего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Административного регламента представление указанного документа не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требуется;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4. Абзац второй пункта 2.9.4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«2) 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документ, удостоверяющий личность заявителя или представителя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заявителя, в случае представления заявления о выдаче дубликата и прилагаемых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к нему документов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через многофункциональный центр. В случае представления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документов посредством Единого портала, регионального портала, единой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информационной системы жилищного строительства в соответствии с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подпунктами «1», «4» пункта 2.14 настоящего Административного регламента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представление указанного документа не требуется;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5. Пункт 2.14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«2.14. З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аявитель или его представитель представляет в уполномоченный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орган заявление о выдаче разрешения на ввод объекта в эксплуатацию, заявление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 внесении изменений по рекомендуемым формам согласно Приложениям № 2 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3 к настоящему Административному регламенту, заявление о выдаче дубликата,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заявление об исправлении допущенных опечаток и ошибок по рекомендуемым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формам согласно Приложениям № 4, 5 к настоящему Административному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регламенту, а также прилагаемые к ним документы, указанные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 подпунктах «2» - «6» пункта 2.9.1, в пунктах 2.9.2 – 2.9.4 настоящего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Административного регламента, одним из следующих способов: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1) в электронной форме посредством Единого портала, регионального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В случае направления заявления о выдаче разрешения на ввод объекта 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эксплуатацию, заявления о внесении изменений, заявления об исправлении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допущенных опечаток и ошибок, заявления о выдаче дубликата и прилагаемых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к ним документов указанным способом заявитель или его представитель,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прошедший процедуры регистрации, идентификации и аутентификации с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использованием федеральной государственной информационной системы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«Единая система идентификации и аутентификации в инфраструктуре,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обеспечивающей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информационно-технологическое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взаимодействие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информационных систем, используемых для предоставления государственных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 муниципальных услуг в электронной форме» (далее – ЕСИА) или иных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государственных информационных систем, если такие государственные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информационные системы в установленном Правительством Российской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Федерации порядке обеспечивают взаимодействие с ЕСИА, при условии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совпадения сведений о физическом лице в указанных информационных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системах, заполняет формы указанных заявлений с использованием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интерактивной формы в электронном виде.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Заявление о выдаче разрешения на ввод объекта в эксплуатацию, заявление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 внесении изменений, заявление об исправлении допущенных опечаток 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ошибок, заявление о выдаче дубликата направляется заявителем или его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представителем вместе с прикрепленными электронными документами,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указанными в подпунктах «2» - «6» пункта 2.9.1, в пункте 2.9.2 настоящего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Административного регламента. Заявление о выдаче разрешения на ввод объекта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 эксплуатацию, заявление о внесении изменений, заявление об исправлении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допущенных опечаток и ошибок, заявление о выдаче дубликата подписываются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заявителем или его представителем, уполномоченным на подписание таких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заявлений, простой электронной подписью, либо усиленной квалифицированной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электронной подписью, либо усиленной неквалифицированной электронной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подписью, сертификат ключа проверки которой создан и используется 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инфраструктуре,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обеспечивающей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информационно-технологическое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взаимодействие информационных систем, используемых для предоставления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государственных и муниципальных услуг в электронной форме, которая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создается и проверяется с использованием средств электронной подписи 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средств удостоверяющего центра, имеющих подтверждение соответствия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требованиям, установленным федеральным органом исполнительной власти 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области обеспечения безопасности в соответствии с частью 5 статьи 8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Федерального закона от 6 апреля 2011 года № 63-ФЗ «Об электронной подписи»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(Собрание законодательства Российской Федерации, 2011, № 15, ст. 2036; 2019,  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№ 52, ст. 7794) (далее – Федеральный закон № 63-ФЗ), а также при наличии у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владельца сертификата ключа проверки ключа простой электронной подписи,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выданного ему при личном приеме в соответствии с Правилами использования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простой электронной подписи при обращении за получением государственных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 муниципальных услуг, утвержденными постановлением Правительства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Российской Федерации от 25 января 2013 года № 33 «Об использовании простой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электронной подписи при оказании государственных и муниципальных услуг»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(Собрание законодательства Российской Федерации, 2013, № 5, ст. 377; 2022, №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21, ст. 3453), в соответствии с Правилами определения видов электронной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подписи, использование которых допускается при обращении за получением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государственных и муниципальных услуг, утвержденными постановлением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Правительства Российской Федерации от 25 июня 2012 года № 634 «О видах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электронной подписи, использование которых допускается при обращении за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получением государственных и муниципальных услуг» (Собрание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законодательства Российской Федерации , 2012, № 27, ст. 3744; 2021, № 22,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ст. 3841) (далее – усиленная неквалифицированная электронная подпись).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eastAsia="LiberationSerif" w:cs="Liberation Sans"/>
          <w:sz w:val="28"/>
        </w:rPr>
        <w:t xml:space="preserve">Для получения </w:t>
      </w:r>
      <w:r>
        <w:rPr>
          <w:rFonts w:ascii="Liberation Sans" w:hAnsi="Liberation Sans" w:eastAsia="LiberationSerif" w:cs="Liberation Sans"/>
          <w:color w:val="000000"/>
          <w:sz w:val="28"/>
        </w:rPr>
        <w:t xml:space="preserve">муниципальной </w:t>
      </w:r>
      <w:r>
        <w:rPr>
          <w:rFonts w:ascii="Liberation Sans" w:hAnsi="Liberation Sans" w:eastAsia="LiberationSerif" w:cs="Liberation Sans"/>
          <w:sz w:val="28"/>
        </w:rPr>
        <w:t xml:space="preserve">услуги заявителям, прошедшим процедуру регистрации и авторизации в единой системе идентификации и аутентификации, предоставляется возможность направить заявление о предоставлении </w:t>
      </w:r>
      <w:r>
        <w:rPr>
          <w:rFonts w:ascii="Liberation Sans" w:hAnsi="Liberation Sans" w:eastAsia="LiberationSerif" w:cs="Liberation Sans"/>
          <w:color w:val="000000"/>
          <w:sz w:val="28"/>
        </w:rPr>
        <w:t xml:space="preserve">муниципальной </w:t>
      </w:r>
      <w:r>
        <w:rPr>
          <w:rFonts w:ascii="Liberation Sans" w:hAnsi="Liberation Sans" w:eastAsia="LiberationSerif" w:cs="Liberation Sans"/>
          <w:sz w:val="28"/>
        </w:rPr>
        <w:t xml:space="preserve">услуги через Единый портал путем заполнения специальной интерактивной формы.</w:t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Serif" w:cs="Liberation Sans"/>
          <w:sz w:val="28"/>
        </w:rPr>
        <w:t xml:space="preserve">Заявитель вправе использовать простую электронную подпись при обращении в электронной форме за получением </w:t>
      </w:r>
      <w:r>
        <w:rPr>
          <w:rFonts w:ascii="Liberation Sans" w:hAnsi="Liberation Sans" w:eastAsia="LiberationSerif" w:cs="Liberation Sans"/>
          <w:color w:val="000000"/>
          <w:sz w:val="28"/>
        </w:rPr>
        <w:t xml:space="preserve">муниципальной </w:t>
      </w:r>
      <w:r>
        <w:rPr>
          <w:rFonts w:ascii="Liberation Sans" w:hAnsi="Liberation Sans" w:eastAsia="LiberationSerif" w:cs="Liberation Sans"/>
          <w:sz w:val="28"/>
        </w:rPr>
        <w:t xml:space="preserve">услуги, если </w:t>
      </w:r>
      <w:r>
        <w:rPr>
          <w:rFonts w:ascii="Liberation Sans" w:hAnsi="Liberation Sans" w:eastAsia="LiberationSerif" w:cs="Liberation Sans"/>
          <w:sz w:val="28"/>
        </w:rPr>
        <w:t xml:space="preserve">идентификация и аутентификация заявителя - физического лица осуществляются с использованием единой системы идентификации и аутентификации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ind w:left="0" w:right="0"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Serif" w:cs="Liberation Sans"/>
          <w:sz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Заявление о выдаче разрешения на ввод объекта в эксплуатацию, заявление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 внесении изменений, заявление об исправлении допущенных опечаток 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ошибок, заявление о выдаче дубликата и прилагаемые к ним документы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направляются в уполномоченный в соответствии со статьей 55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Градостроительного кодекса Российской Федерации на выдачу разрешения на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ввод объекта в эксплуатацию орган местного самоуправления исключительно 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электронной форме в случаях, установленных нормативным правовым актом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субъекта Российской Федерации.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В целях предоставления услуги заявителю или его представителю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обеспечивается в многофункциональном центре доступ к Единому порталу,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региональному порталу в соответствии с постановлением Правительства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Российской Федерации от 22 декабря 2012 года № 1376 «Об утверждении Правил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организации деятельности многофункциональных центров предоставления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государственных и муниципальных услуг» (Собрание законодательства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Российской Федерации, 2012, № 53, ст. 7932; 2022, № 38, ст. 6464):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2) на бумажном носителе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посредством почтового отправления с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уведомлением о вручении;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3) на бумажном носителе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через многофункциональный центр в соответствии с соглашением 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взаимодействии между многофункциональным центром и уполномоченным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органом, заключенным в соответствии с постановлением Правительства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Российской Федерации от 27 сентября 2011 года № 797 «О взаимодействии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между многофункциональными центрами предоставления государственных 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муниципальных услуг и федеральными органами исполнительной власти,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органами государственных внебюджетных фондов, органами государственной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власти субъектов Российской Федерации, органами местного самоуправления»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(Собрание законодательства Российской Федерации, 2011, № 40, ст. 5559; 2022,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№ 39, ст. 6636);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4) в электронной форме посредством единой информационной системы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жилищного строительства.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Направить заявление о выдаче разрешения на ввод объекта 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эксплуатацию, заявление о внесении изменений, заявление об исправлении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допущенных опечаток и ошибок, заявление о выдаче дубликата посредством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единой информационной системы жилищного строительства вправе заявители -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застройщики, наименование которых содержат слова «специализированный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застройщик», за исключением случаев, если в соответствии с нормативным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правовым актом субъекта Российской Федерации выдача разрешения на ввод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объекта в эксплуатацию осуществляется через иные информационные системы,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которые должны быть интегрированы с единой информационной системой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жилищного строительства.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Заявителями при оформлении заявления о предоставлении муниципальной услуги, вне зависимости от способа подачи такого заявления,  может быть выбран канал взаимодействия с Уполномоченным органом для получения результата муниципальной услуги:</w:t>
      </w:r>
      <w:r/>
    </w:p>
    <w:p>
      <w:pPr>
        <w:pStyle w:val="752"/>
        <w:numPr>
          <w:ilvl w:val="0"/>
          <w:numId w:val="30"/>
        </w:numPr>
        <w:ind w:firstLine="708"/>
        <w:jc w:val="both"/>
        <w:tabs>
          <w:tab w:val="left" w:pos="992" w:leader="none"/>
        </w:tabs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 Единый портал;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numPr>
          <w:ilvl w:val="0"/>
          <w:numId w:val="30"/>
        </w:numPr>
        <w:ind w:firstLine="708"/>
        <w:jc w:val="both"/>
        <w:tabs>
          <w:tab w:val="left" w:pos="992" w:leader="none"/>
        </w:tabs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numPr>
          <w:ilvl w:val="0"/>
          <w:numId w:val="30"/>
        </w:numPr>
        <w:ind w:firstLine="708"/>
        <w:jc w:val="both"/>
        <w:tabs>
          <w:tab w:val="left" w:pos="992" w:leader="none"/>
        </w:tabs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 иные способы (заказное письмо, электронная почта).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Уведомления о ходе предоставления муниципальной услуги направляются на Единый портал.».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6. Пункт 2.16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«2.16. Р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ешение об отказе в приеме документов, указанных в пункте 2.9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настоящего Административного регламента, оформляется по рекомендуемой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форме согласно Приложению № 6 к настоящему Административному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регламенту.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В сл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заявителя форме.».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7. Пункт 2.25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«2.25. </w:t>
      </w:r>
      <w:r>
        <w:rPr>
          <w:rFonts w:ascii="Liberation Sans" w:hAnsi="Liberation Sans" w:cs="Liberation Sans"/>
          <w:sz w:val="28"/>
          <w:szCs w:val="28"/>
        </w:rPr>
        <w:t xml:space="preserve">Показатели доступности и качества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услуги</w:t>
      </w:r>
      <w:r>
        <w:rPr>
          <w:rFonts w:ascii="Liberation Sans" w:hAnsi="Liberation Sans" w:cs="Liberation Sans"/>
          <w:sz w:val="28"/>
          <w:szCs w:val="28"/>
        </w:rPr>
        <w:t xml:space="preserve"> являются: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417"/>
        <w:gridCol w:w="1275"/>
      </w:tblGrid>
      <w:tr>
        <w:trPr>
          <w:cantSplit/>
          <w:trHeight w:val="827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br/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br/>
              <w:t xml:space="preserve">измерения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br/>
              <w:t xml:space="preserve">значение</w:t>
            </w:r>
            <w:r>
              <w:rPr>
                <w:b/>
                <w:bCs/>
              </w:rPr>
            </w:r>
            <w:r/>
          </w:p>
        </w:tc>
      </w:tr>
    </w:tbl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238"/>
        <w:gridCol w:w="1417"/>
        <w:gridCol w:w="1275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или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Региональном портале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ед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 w:eastAsiaTheme="minorHAnsi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4.1.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не менее 95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5.1.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З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нет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Ф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Возможность получения муниципальной услуги в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МФЦ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7.1.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cs="Liberation Sans"/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17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7.2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95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7.3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vMerge w:val="restart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eastAsia="LiberationSerif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 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highlight w:val="none"/>
              </w:rPr>
            </w: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8.1.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pStyle w:val="965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752"/>
        <w:ind w:left="8496"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  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Serif" w:cs="Liberation Sans"/>
          <w:sz w:val="28"/>
          <w:highlight w:val="none"/>
        </w:rPr>
        <w:t xml:space="preserve">8.</w:t>
      </w:r>
      <w:r>
        <w:rPr>
          <w:rFonts w:ascii="Liberation Sans" w:hAnsi="Liberation Sans" w:eastAsia="LiberationSerif" w:cs="Liberation Sans"/>
          <w:sz w:val="28"/>
          <w:highlight w:val="none"/>
        </w:rPr>
        <w:t xml:space="preserve"> Раздел 2 «Стандарт предоставления муниципальной услуги» дополнить пунктом 2.30 в следующей редакции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Serif" w:cs="Liberation Sans"/>
          <w:sz w:val="28"/>
          <w:highlight w:val="none"/>
        </w:rPr>
        <w:t xml:space="preserve">2.30. </w:t>
      </w: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52"/>
        <w:numPr>
          <w:ilvl w:val="0"/>
          <w:numId w:val="31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 Единого портала (при условии, если заявление за предоставлением муниципальной услуги подавалось с помощью Единого портала);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52"/>
        <w:numPr>
          <w:ilvl w:val="0"/>
          <w:numId w:val="31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 обращения по номеру телефона: 8(34932)2-16-65;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52"/>
        <w:numPr>
          <w:ilvl w:val="0"/>
          <w:numId w:val="31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 обращения по адресу электронной почты: </w:t>
      </w:r>
      <w:r>
        <w:rPr>
          <w:rFonts w:ascii="Liberation Sans" w:hAnsi="Liberation Sans" w:cs="Liberation Sans"/>
          <w:sz w:val="32"/>
          <w:szCs w:val="32"/>
        </w:rPr>
      </w:r>
      <w:hyperlink r:id="rId14" w:tooltip="mailto:official@krasnoselkupsky.yanao.ru" w:history="1">
        <w:r>
          <w:rPr>
            <w:rFonts w:ascii="Liberation Sans" w:hAnsi="Liberation Sans" w:eastAsia="Times New Roman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official</w:t>
        </w:r>
        <w:r>
          <w:rPr>
            <w:rFonts w:ascii="Liberation Sans" w:hAnsi="Liberation Sans" w:eastAsia="Times New Roman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@</w:t>
        </w:r>
        <w:r>
          <w:rPr>
            <w:rFonts w:ascii="Liberation Sans" w:hAnsi="Liberation Sans" w:eastAsia="Times New Roman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krasnoselkupsky</w:t>
        </w:r>
        <w:r>
          <w:rPr>
            <w:rFonts w:ascii="Liberation Sans" w:hAnsi="Liberation Sans" w:eastAsia="Times New Roman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Times New Roman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yanao</w:t>
        </w:r>
        <w:r>
          <w:rPr>
            <w:rFonts w:ascii="Liberation Sans" w:hAnsi="Liberation Sans" w:eastAsia="Times New Roman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Times New Roman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ru</w:t>
        </w:r>
      </w:hyperlink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Замечания и/или предложения поступив</w:t>
      </w: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шие от заявителя посредством Единого портала подлежат рассмотрению уполномоченным органом в случае оценки заявителем предоставленной ему муниципальной услуге ниже 3 баллов и при наличии комментария к такой оценке, содержащего замечания и/или предложения.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</w:t>
      </w: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>
        <w:rPr>
          <w:rFonts w:ascii="Liberation Sans" w:hAnsi="Liberation Sans" w:eastAsia="LiberationSerif" w:cs="Liberation Sans"/>
          <w:color w:val="000000" w:themeColor="text1"/>
          <w:sz w:val="28"/>
        </w:rPr>
        <w:t xml:space="preserve">».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9. Пункт 3.11 изложить в следующей редакции: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«3.11. Предоставление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посредством ЕПГУ, регионального 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10. Пункт 3.35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«3.35. 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 подаче заявления и документов, предусмотренных пунктами 2.9,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2.10 - 2.10.1 настоящего Административного регламента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посредством почтового отправления решение об отказе в предоставлении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муниципальной услуги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направляется заявителю посредством почтового отправления, если в заявлении не был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указан иной способ.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11. Пункт 3.42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«3.42.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 подаче заявления и документов, предусмотренных пунктами 2.9,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2.10 - 2.10.1 настоящего Административного регламента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посредством почтового отправления разрешение на ввод объекта 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эксплуатацию направляется заявителю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посредством почтового отправления, если в заявлении не был указан иной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способ.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12. Пункт 3.45.1 изложить в следующей редакции:</w:t>
      </w:r>
      <w:r>
        <w:rPr>
          <w:rFonts w:ascii="Liberation Sans" w:hAnsi="Liberation Sans" w:eastAsia="Liberation Serif" w:cs="Liberation Sans"/>
          <w:sz w:val="28"/>
          <w:szCs w:val="28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посредством ЕПГУ, регионального 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13. Пункт 3.53 изложить в следующей редакции: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«3.53. 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посредством ЕПГУ, регионального 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14. Пункт 3.68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«3.68.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 подаче заявления посредством почтового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отправления решение об отказе в предоставлении муниципальной услуги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направляется заявителю посредством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почтового отправления, если в заявлении не был указан иной способ.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15. Пункт 3.75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«3.75.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 подаче заявления посредством почтового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отправления дубликат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направляется заявителю посредством почтового отправления, если в заявлении не был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указан иной способ.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16. Пункт 3.78.1 изложить в следующей редакции: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«3.78.1. 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посредством ЕПГУ, регионального 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17. Пункт 3.85 изложить в следующей редакции: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«3.85. 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посредством ЕПГУ, регионального 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18. Пункт 3.101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«3.101.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 подаче заявления и документов, предусмотренных пунктом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2.9.2 настоящего Административного регламента (в случае, предусмотренном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частью 5 статьи 55 Градостроительного кодекса Российской Федерации)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посредством почтового отправления решение об отказе 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предоставлении муниципальной услуги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направляется заявителю посредством почтового отправления, если в заявлении не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был указан иной способ.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19. Пункт 3.108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«3.108.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 подаче заявления и документов, предусмотренных пунктом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2.9.2 настоящего Административного регламента (в случае, предусмотренном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частью 5 статьи 55 Градостроительного кодекса Российской Федерации)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посредством почтового отправления разрешение на ввод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объекта в эксплуатацию с внесенными изменениями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направляется заявителю посредством почтового отправления, если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 заявлении не был указан иной способ.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20. 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Пункт 3.111.1 изложить в следующей редакции: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«3.111.1. 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посредством ЕПГУ, регионального 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21. Пункт 3.119 изложить в следующей редакции: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«3.119 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посредством ЕПГУ, регионального 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22. Пункт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3.146 изложить в следующей редакции: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«3.146. 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посредством ЕПГУ, регионального 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23. Пункт 3.135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«3.135.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 подаче заявления посредством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почтового отправления решение об отказе в предоставлении муниципальной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услуги направляется заявителю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посредством почтового отправления, если в заявлении не был указан иной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способ.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24. Пункт 3.142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«3.142.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 подаче заявления посредством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почтового отправления разрешение на ввод объекта в эксплуатацию с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исправленными опечатками и ошибками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направляется заявителю посредством почтового отправления, если в заявлении не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был указан иной способ.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25. Приложение № 2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left="4248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left="4248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Административному регламенту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ind w:left="354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предоставлению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</w:t>
        <w:tab/>
        <w:t xml:space="preserve">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«Выдача разрешения на ввод </w:t>
        <w:tab/>
        <w:t xml:space="preserve">объекта в </w:t>
        <w:tab/>
        <w:t xml:space="preserve">эксплуатацию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территории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sz w:val="28"/>
          <w:szCs w:val="28"/>
        </w:rPr>
        <w:tab/>
        <w:t xml:space="preserve">муниципального округа </w:t>
        <w:tab/>
        <w:t xml:space="preserve">Красноселькупский </w:t>
        <w:tab/>
        <w:t xml:space="preserve">район Ямало-</w:t>
        <w:tab/>
        <w:t xml:space="preserve">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2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52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выдаче разрешения на ввод объекта в эксплуатацию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«__» __________ 20___ г.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>
        <w:trPr>
          <w:trHeight w:val="165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26"/>
        </w:trPr>
        <w:tc>
          <w:tcPr>
            <w:tcBorders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752"/>
        <w:jc w:val="both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ввод объекта в эксплуатацию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tbl>
      <w:tblPr>
        <w:tblpPr w:horzAnchor="margin" w:tblpXSpec="left" w:vertAnchor="text" w:tblpY="314" w:leftFromText="180" w:topFromText="0" w:rightFromText="180" w:bottomFromText="0"/>
        <w:tblW w:w="9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270"/>
        <w:gridCol w:w="835"/>
        <w:gridCol w:w="1685"/>
        <w:gridCol w:w="466"/>
        <w:gridCol w:w="1823"/>
      </w:tblGrid>
      <w:tr>
        <w:trPr>
          <w:trHeight w:val="540"/>
        </w:trPr>
        <w:tc>
          <w:tcPr>
            <w:gridSpan w:val="10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 Сведения о застройщике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5"/>
        </w:trPr>
        <w:tc>
          <w:tcPr>
            <w:gridSpan w:val="3"/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1.1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Сведения о физическом лице, в случае если застройщиком является физическое лицо: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428"/>
        </w:trPr>
        <w:tc>
          <w:tcPr>
            <w:gridSpan w:val="3"/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1.1.1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Фамилия, имя, отчество (при наличии)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753"/>
        </w:trPr>
        <w:tc>
          <w:tcPr>
            <w:gridSpan w:val="3"/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1.1.2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(не указываются в случае, если застройщик является индивидуальным предпринимателем)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gridSpan w:val="3"/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65"/>
        </w:trPr>
        <w:tc>
          <w:tcPr>
            <w:gridSpan w:val="3"/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1.1.3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279"/>
        </w:trPr>
        <w:tc>
          <w:tcPr>
            <w:gridSpan w:val="3"/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1.2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Сведения о юридическом лице: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75"/>
        </w:trPr>
        <w:tc>
          <w:tcPr>
            <w:gridSpan w:val="3"/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1.2.1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Полное наименование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901"/>
        </w:trPr>
        <w:tc>
          <w:tcPr>
            <w:gridSpan w:val="3"/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1.2.2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Основной государственный регистрационный номер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093"/>
        </w:trPr>
        <w:tc>
          <w:tcPr>
            <w:gridSpan w:val="3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1.2.3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Идентификационный номер налогоплательщика – юридического лица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425"/>
        </w:trPr>
        <w:tc>
          <w:tcPr>
            <w:gridSpan w:val="10"/>
            <w:tcBorders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2. Сведения об объекте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093"/>
        </w:trPr>
        <w:tc>
          <w:tcPr>
            <w:gridSpan w:val="3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2.1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Наименование объекта капитального строительства (этапа) в соответствии с проектной документацией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  <w:r>
              <w:rPr>
                <w:rFonts w:ascii="Liberation Sans" w:hAnsi="Liberation Sans" w:cs="Liberation Sans"/>
                <w:i/>
                <w:sz w:val="18"/>
                <w:szCs w:val="1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093"/>
        </w:trPr>
        <w:tc>
          <w:tcPr>
            <w:gridSpan w:val="3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2.2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462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Адрес (местоположение) объекта: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(указывается адрес объекта капитального строительства, а при наличии – адрес</w:t>
            </w: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</w:t>
            </w: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Федерации и муниципального образования)</w:t>
            </w:r>
            <w:r>
              <w:rPr>
                <w:rFonts w:ascii="Liberation Sans" w:hAnsi="Liberation Sans" w:cs="Liberation Sans"/>
                <w:i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39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825"/>
        </w:trPr>
        <w:tc>
          <w:tcPr>
            <w:gridSpan w:val="10"/>
            <w:tcBorders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b/>
                <w:sz w:val="28"/>
                <w:szCs w:val="28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3. Сведения о земельном участке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3.1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заполнение не обязательно при выдаче разрешения на ввод линейного объекта)</w:t>
            </w:r>
            <w:r>
              <w:rPr>
                <w:rFonts w:ascii="Liberation Sans" w:hAnsi="Liberation Sans" w:cs="Liberation Sans"/>
                <w:i/>
                <w:sz w:val="18"/>
                <w:szCs w:val="1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480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10"/>
            <w:tcBorders>
              <w:left w:val="non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b/>
                <w:sz w:val="28"/>
                <w:szCs w:val="28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eastAsia="Liberation Sans" w:cs="Liberation Sans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4. Сведения о разрешении на строительство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none"/>
                <w:lang w:eastAsia="en-US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W w:w="383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Орган, выдавший разрешение на строительство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Номер документа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W w:w="228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Дата документа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520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28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10"/>
            <w:tcBorders>
              <w:left w:val="non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b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(указывается в случае, предусмотренном частью 3</w:t>
            </w: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 статьи 5</w:t>
            </w:r>
            <w:r>
              <w:rPr>
                <w:rFonts w:ascii="Liberation Sans" w:hAnsi="Liberation Sans" w:eastAsia="Liberation Sans" w:cs="Liberation Sans"/>
                <w:bCs/>
                <w:i/>
                <w:sz w:val="22"/>
                <w:szCs w:val="22"/>
                <w:lang w:eastAsia="en-US"/>
              </w:rPr>
              <w:t xml:space="preserve">5 Градостроительного кодекса Российской Федерации)</w:t>
            </w:r>
            <w:r>
              <w:rPr>
                <w:rFonts w:ascii="Liberation Sans" w:hAnsi="Liberation Sans" w:cs="Liberation Sans"/>
                <w:i/>
                <w:sz w:val="18"/>
                <w:szCs w:val="1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Орган, выдавший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разрешение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на ввод объекта в эксплуатацию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520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Номер документа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28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Дата документа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520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28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10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 И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(не заполняется в случаях, указанных в пунктах 1-2 части 3</w:t>
            </w: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vertAlign w:val="superscript"/>
                <w:lang w:eastAsia="en-US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  <w:lang w:eastAsia="en-US"/>
              </w:rPr>
              <w:t xml:space="preserve"> статьи 55 Градостроительного кодекса Российской Федерации)</w:t>
            </w:r>
            <w:r>
              <w:rPr>
                <w:rFonts w:ascii="Liberation Sans" w:hAnsi="Liberation Sans" w:cs="Liberation Sans"/>
                <w:i/>
                <w:sz w:val="18"/>
                <w:szCs w:val="18"/>
              </w:rPr>
            </w:r>
            <w:r/>
          </w:p>
        </w:tc>
      </w:tr>
      <w:tr>
        <w:trPr>
          <w:trHeight w:val="600"/>
        </w:trPr>
        <w:tc>
          <w:tcPr>
            <w:gridSpan w:val="10"/>
            <w:tcW w:w="963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6.1 Подтверждаю, что строительство, реконструкция здания, сооружения осуществлялись: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tcW w:w="975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6.1.1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480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6"/>
            <w:tcW w:w="818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застройщиком без привлечения средств иных лиц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tcW w:w="975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6.1.2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480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6"/>
            <w:tcW w:w="818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4"/>
            <w:tcW w:w="1455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W w:w="33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2986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82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Адрес (адреса) электронной почты лица, осуществлявшего финансирование: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4"/>
            <w:tcW w:w="1455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6.1.2.1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W w:w="337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2986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82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10"/>
            <w:tcW w:w="963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6.2. Подтверждаю наличие: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6.2.1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567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5"/>
            <w:tcW w:w="807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согласия застройщика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6.2.2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567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5"/>
            <w:tcW w:w="807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согласия застройщика и лица (лиц), осуществлявшего финансирование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8"/>
            <w:tcW w:w="8646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На осуществление государственной регистрации права собственности: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6.3.1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567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5"/>
            <w:tcW w:w="807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застройщика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6.3.2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567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5"/>
            <w:tcW w:w="807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6.3.3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567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5"/>
            <w:tcW w:w="807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8"/>
            <w:tcW w:w="8646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В отношении: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6.4.1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567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5"/>
            <w:tcW w:w="807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6.4.2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567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5"/>
            <w:tcW w:w="807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машино-мест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6.4.3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567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5"/>
            <w:tcW w:w="807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gridSpan w:val="10"/>
            <w:tcW w:w="9638" w:type="dxa"/>
            <w:vAlign w:val="center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6.5. Сведения об уплате государственной пошлины за осуществление государственной регистрации прав: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752"/>
        <w:jc w:val="both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752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этом сообщаю, что ввод объекта в эксплуатацию будет осуществляться на основании следующих документов: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64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705"/>
      </w:tblGrid>
      <w:tr>
        <w:trPr>
          <w:trHeight w:val="55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2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документа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Номер документа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5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Дата документа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3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2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5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85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2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Заключение органа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vertAlign w:val="superscript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и 3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vertAlign w:val="superscript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</w:rPr>
              <w:t xml:space="preserve">указывается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</w:rPr>
              <w:t xml:space="preserve"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  <w:r>
              <w:rPr>
                <w:rFonts w:ascii="Liberation Sans" w:hAnsi="Liberation Sans" w:cs="Liberation Sans"/>
                <w:i/>
                <w:sz w:val="18"/>
                <w:szCs w:val="1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5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3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2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i/>
                <w:sz w:val="22"/>
                <w:szCs w:val="22"/>
              </w:rPr>
              <w:t xml:space="preserve">(указывается в случаях, предусмотренных частью 7 статьи 54 Градостроительного кодекса Российской Федерации)</w:t>
            </w:r>
            <w:r>
              <w:rPr>
                <w:rFonts w:ascii="Liberation Sans" w:hAnsi="Liberation Sans" w:cs="Liberation Sans"/>
                <w:i/>
                <w:sz w:val="18"/>
                <w:szCs w:val="18"/>
              </w:rPr>
            </w:r>
            <w:r/>
          </w:p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i/>
                <w:sz w:val="28"/>
                <w:szCs w:val="28"/>
              </w:rPr>
            </w:r>
            <w:r>
              <w:rPr>
                <w:rFonts w:ascii="Liberation Sans" w:hAnsi="Liberation Sans" w:cs="Liberation Sans"/>
                <w:i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5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Приложение: 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Номер телефона и адрес электронной почты для связи:______________________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Результат предоставления услуги прошу: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501"/>
      </w:tblGrid>
      <w:tr>
        <w:trPr/>
        <w:tc>
          <w:tcPr>
            <w:shd w:val="clear" w:color="ffffff" w:fill="ffffff"/>
            <w:tcW w:w="913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на региональном портале государственных и муниципальных услуг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913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выдать на бумажном носителе при личном обращении в многофункциональный центр предоставления государственных и муниципальных услуг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br/>
              <w:t xml:space="preserve">_______________________________________________________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913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направить на бумажном носителе на почтовый адрес: _______________________________________________________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9137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направить в форме электронного документа в личный кабинет в единой информационной системе жилищного строительства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1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638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i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i/>
                <w:sz w:val="28"/>
                <w:szCs w:val="28"/>
              </w:rPr>
              <w:t xml:space="preserve">Указывается один из перечисленных способов</w:t>
            </w:r>
            <w:r>
              <w:rPr>
                <w:rFonts w:ascii="Liberation Sans" w:hAnsi="Liberation Sans" w:cs="Liberation Sans"/>
                <w:i/>
                <w:sz w:val="28"/>
                <w:szCs w:val="28"/>
              </w:rPr>
            </w:r>
            <w:r/>
          </w:p>
        </w:tc>
      </w:tr>
    </w:tbl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9" w:type="dxa"/>
            <w:vAlign w:val="bottom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9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7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(подпись)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(фамилия, имя, отчество (при наличии)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</w:tbl>
    <w:p>
      <w:pPr>
        <w:pStyle w:val="752"/>
        <w:ind w:firstLine="708"/>
        <w:jc w:val="righ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2020603050405020304"/>
  </w:font>
  <w:font w:name="Liberation Sans">
    <w:panose1 w:val="020B0604020202020204"/>
  </w:font>
  <w:font w:name="Liberation Serif">
    <w:panose1 w:val="02020603050405020304"/>
  </w:font>
  <w:font w:name="T*m*s*N*w*R*m*n">
    <w:panose1 w:val="02000603000000000000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jc w:val="center"/>
      <w:rPr>
        <w:rFonts w:ascii="Liberation Sans" w:hAnsi="Liberation Sans" w:cs="Liberation Sans"/>
        <w:sz w:val="28"/>
        <w:szCs w:val="28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8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1"/>
    <w:basedOn w:val="911"/>
    <w:next w:val="911"/>
    <w:link w:val="7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4">
    <w:name w:val="Heading 1 Char"/>
    <w:link w:val="733"/>
    <w:uiPriority w:val="9"/>
    <w:rPr>
      <w:rFonts w:ascii="Arial" w:hAnsi="Arial" w:eastAsia="Arial" w:cs="Arial"/>
      <w:sz w:val="40"/>
      <w:szCs w:val="40"/>
    </w:rPr>
  </w:style>
  <w:style w:type="paragraph" w:styleId="735">
    <w:name w:val="Heading 2"/>
    <w:basedOn w:val="911"/>
    <w:next w:val="911"/>
    <w:link w:val="7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6">
    <w:name w:val="Heading 2 Char"/>
    <w:link w:val="735"/>
    <w:uiPriority w:val="9"/>
    <w:rPr>
      <w:rFonts w:ascii="Arial" w:hAnsi="Arial" w:eastAsia="Arial" w:cs="Arial"/>
      <w:sz w:val="34"/>
    </w:rPr>
  </w:style>
  <w:style w:type="paragraph" w:styleId="737">
    <w:name w:val="Heading 3"/>
    <w:basedOn w:val="911"/>
    <w:next w:val="911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8">
    <w:name w:val="Heading 3 Char"/>
    <w:link w:val="737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basedOn w:val="911"/>
    <w:next w:val="911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link w:val="739"/>
    <w:uiPriority w:val="9"/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911"/>
    <w:next w:val="911"/>
    <w:link w:val="7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2">
    <w:name w:val="Heading 5 Char"/>
    <w:link w:val="741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911"/>
    <w:next w:val="911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link w:val="743"/>
    <w:uiPriority w:val="9"/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911"/>
    <w:next w:val="911"/>
    <w:link w:val="7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6">
    <w:name w:val="Heading 7 Char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basedOn w:val="911"/>
    <w:next w:val="911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8">
    <w:name w:val="Heading 8 Char"/>
    <w:link w:val="747"/>
    <w:uiPriority w:val="9"/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basedOn w:val="911"/>
    <w:next w:val="911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>
    <w:name w:val="Heading 9 Char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List Paragraph"/>
    <w:basedOn w:val="911"/>
    <w:uiPriority w:val="34"/>
    <w:qFormat/>
    <w:pPr>
      <w:contextualSpacing/>
      <w:ind w:left="720"/>
    </w:pPr>
  </w:style>
  <w:style w:type="paragraph" w:styleId="752">
    <w:name w:val="No Spacing"/>
    <w:uiPriority w:val="1"/>
    <w:qFormat/>
    <w:pPr>
      <w:spacing w:before="0" w:after="0" w:line="240" w:lineRule="auto"/>
    </w:pPr>
  </w:style>
  <w:style w:type="paragraph" w:styleId="753">
    <w:name w:val="Title"/>
    <w:basedOn w:val="911"/>
    <w:next w:val="911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link w:val="753"/>
    <w:uiPriority w:val="10"/>
    <w:rPr>
      <w:sz w:val="48"/>
      <w:szCs w:val="48"/>
    </w:rPr>
  </w:style>
  <w:style w:type="paragraph" w:styleId="755">
    <w:name w:val="Subtitle"/>
    <w:basedOn w:val="911"/>
    <w:next w:val="911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link w:val="755"/>
    <w:uiPriority w:val="11"/>
    <w:rPr>
      <w:sz w:val="24"/>
      <w:szCs w:val="24"/>
    </w:rPr>
  </w:style>
  <w:style w:type="paragraph" w:styleId="757">
    <w:name w:val="Quote"/>
    <w:basedOn w:val="911"/>
    <w:next w:val="911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11"/>
    <w:next w:val="911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paragraph" w:styleId="761">
    <w:name w:val="Header"/>
    <w:basedOn w:val="911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>
    <w:name w:val="Header Char"/>
    <w:link w:val="761"/>
    <w:uiPriority w:val="99"/>
  </w:style>
  <w:style w:type="paragraph" w:styleId="763">
    <w:name w:val="Footer"/>
    <w:basedOn w:val="911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Footer Char"/>
    <w:link w:val="763"/>
    <w:uiPriority w:val="99"/>
  </w:style>
  <w:style w:type="paragraph" w:styleId="765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>
    <w:name w:val="Caption Char"/>
    <w:basedOn w:val="765"/>
    <w:link w:val="763"/>
    <w:uiPriority w:val="99"/>
  </w:style>
  <w:style w:type="table" w:styleId="76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ind w:left="0" w:right="0" w:firstLine="0"/>
      <w:spacing w:after="57"/>
    </w:pPr>
  </w:style>
  <w:style w:type="paragraph" w:styleId="901">
    <w:name w:val="toc 2"/>
    <w:basedOn w:val="911"/>
    <w:next w:val="911"/>
    <w:uiPriority w:val="39"/>
    <w:unhideWhenUsed/>
    <w:pPr>
      <w:ind w:left="283" w:right="0" w:firstLine="0"/>
      <w:spacing w:after="57"/>
    </w:pPr>
  </w:style>
  <w:style w:type="paragraph" w:styleId="902">
    <w:name w:val="toc 3"/>
    <w:basedOn w:val="911"/>
    <w:next w:val="911"/>
    <w:uiPriority w:val="39"/>
    <w:unhideWhenUsed/>
    <w:pPr>
      <w:ind w:left="567" w:right="0" w:firstLine="0"/>
      <w:spacing w:after="57"/>
    </w:pPr>
  </w:style>
  <w:style w:type="paragraph" w:styleId="903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4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5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6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7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8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next w:val="911"/>
    <w:link w:val="911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912">
    <w:name w:val="Заголовок 1"/>
    <w:basedOn w:val="911"/>
    <w:next w:val="911"/>
    <w:link w:val="920"/>
    <w:pPr>
      <w:jc w:val="center"/>
      <w:spacing w:before="108" w:after="108" w:line="240" w:lineRule="auto"/>
      <w:widowControl w:val="off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913">
    <w:name w:val="Заголовок 2"/>
    <w:basedOn w:val="912"/>
    <w:next w:val="911"/>
    <w:link w:val="921"/>
    <w:pPr>
      <w:jc w:val="both"/>
      <w:spacing w:before="0" w:after="0"/>
      <w:outlineLvl w:val="1"/>
    </w:pPr>
    <w:rPr>
      <w:b w:val="0"/>
      <w:bCs w:val="0"/>
      <w:color w:val="000000"/>
    </w:rPr>
  </w:style>
  <w:style w:type="paragraph" w:styleId="914">
    <w:name w:val="Заголовок 3"/>
    <w:basedOn w:val="913"/>
    <w:next w:val="911"/>
    <w:link w:val="922"/>
    <w:pPr>
      <w:outlineLvl w:val="2"/>
    </w:pPr>
  </w:style>
  <w:style w:type="paragraph" w:styleId="915">
    <w:name w:val="Заголовок 4"/>
    <w:basedOn w:val="914"/>
    <w:next w:val="911"/>
    <w:link w:val="923"/>
    <w:pPr>
      <w:outlineLvl w:val="3"/>
    </w:pPr>
  </w:style>
  <w:style w:type="paragraph" w:styleId="916">
    <w:name w:val="Заголовок 6"/>
    <w:basedOn w:val="911"/>
    <w:next w:val="911"/>
    <w:link w:val="924"/>
    <w:pPr>
      <w:keepLines/>
      <w:keepNext/>
      <w:spacing w:before="200" w:after="0" w:line="240" w:lineRule="auto"/>
      <w:widowControl w:val="off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917">
    <w:name w:val="Основной шрифт абзаца"/>
    <w:next w:val="917"/>
    <w:link w:val="911"/>
  </w:style>
  <w:style w:type="table" w:styleId="918">
    <w:name w:val="Обычная таблица"/>
    <w:next w:val="918"/>
    <w:link w:val="911"/>
    <w:semiHidden/>
    <w:tblPr/>
  </w:style>
  <w:style w:type="numbering" w:styleId="919">
    <w:name w:val="Нет списка"/>
    <w:next w:val="919"/>
    <w:link w:val="911"/>
    <w:semiHidden/>
  </w:style>
  <w:style w:type="character" w:styleId="920">
    <w:name w:val="Заголовок 1 Знак"/>
    <w:next w:val="920"/>
    <w:link w:val="912"/>
    <w:rPr>
      <w:rFonts w:ascii="Arial" w:hAnsi="Arial"/>
      <w:b/>
      <w:bCs/>
      <w:color w:val="000080"/>
      <w:sz w:val="24"/>
      <w:szCs w:val="24"/>
    </w:rPr>
  </w:style>
  <w:style w:type="character" w:styleId="921">
    <w:name w:val="Заголовок 2 Знак"/>
    <w:next w:val="921"/>
    <w:link w:val="913"/>
    <w:rPr>
      <w:rFonts w:ascii="Arial" w:hAnsi="Arial"/>
      <w:sz w:val="24"/>
      <w:szCs w:val="24"/>
    </w:rPr>
  </w:style>
  <w:style w:type="character" w:styleId="922">
    <w:name w:val="Заголовок 3 Знак"/>
    <w:next w:val="922"/>
    <w:link w:val="914"/>
    <w:rPr>
      <w:rFonts w:ascii="Arial" w:hAnsi="Arial"/>
      <w:sz w:val="24"/>
      <w:szCs w:val="24"/>
    </w:rPr>
  </w:style>
  <w:style w:type="character" w:styleId="923">
    <w:name w:val="Заголовок 4 Знак"/>
    <w:next w:val="923"/>
    <w:link w:val="915"/>
    <w:rPr>
      <w:rFonts w:ascii="Arial" w:hAnsi="Arial"/>
      <w:sz w:val="24"/>
      <w:szCs w:val="24"/>
    </w:rPr>
  </w:style>
  <w:style w:type="character" w:styleId="924">
    <w:name w:val="Заголовок 6 Знак"/>
    <w:next w:val="924"/>
    <w:link w:val="916"/>
    <w:semiHidden/>
    <w:rPr>
      <w:rFonts w:ascii="Cambria" w:hAnsi="Cambria"/>
      <w:i/>
      <w:iCs/>
      <w:color w:val="243f60"/>
      <w:sz w:val="24"/>
      <w:szCs w:val="24"/>
    </w:rPr>
  </w:style>
  <w:style w:type="character" w:styleId="925">
    <w:name w:val="Цветовое выделение"/>
    <w:next w:val="925"/>
    <w:link w:val="911"/>
    <w:rPr>
      <w:b/>
      <w:bCs/>
      <w:color w:val="000080"/>
    </w:rPr>
  </w:style>
  <w:style w:type="character" w:styleId="926">
    <w:name w:val="Гипертекстовая ссылка"/>
    <w:next w:val="926"/>
    <w:link w:val="911"/>
    <w:rPr>
      <w:b/>
      <w:bCs/>
      <w:color w:val="008000"/>
    </w:rPr>
  </w:style>
  <w:style w:type="character" w:styleId="927">
    <w:name w:val="Активная гипертекстовая ссылка"/>
    <w:next w:val="927"/>
    <w:link w:val="911"/>
    <w:rPr>
      <w:b/>
      <w:bCs/>
      <w:color w:val="008000"/>
      <w:u w:val="single"/>
    </w:rPr>
  </w:style>
  <w:style w:type="paragraph" w:styleId="928">
    <w:name w:val="Основное меню (преемственное)"/>
    <w:basedOn w:val="911"/>
    <w:next w:val="911"/>
    <w:link w:val="911"/>
    <w:pPr>
      <w:jc w:val="both"/>
      <w:spacing w:after="0" w:line="240" w:lineRule="auto"/>
      <w:widowControl w:val="off"/>
    </w:pPr>
    <w:rPr>
      <w:rFonts w:ascii="Verdana" w:hAnsi="Verdana"/>
      <w:sz w:val="24"/>
      <w:szCs w:val="24"/>
    </w:rPr>
  </w:style>
  <w:style w:type="character" w:styleId="929">
    <w:name w:val="Заголовок своего сообщения"/>
    <w:next w:val="929"/>
    <w:link w:val="911"/>
    <w:rPr>
      <w:b/>
      <w:bCs/>
      <w:color w:val="000080"/>
    </w:rPr>
  </w:style>
  <w:style w:type="paragraph" w:styleId="930">
    <w:name w:val="Заголовок статьи"/>
    <w:basedOn w:val="911"/>
    <w:next w:val="911"/>
    <w:link w:val="911"/>
    <w:pPr>
      <w:ind w:left="1612" w:hanging="892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31">
    <w:name w:val="Заголовок чужого сообщения"/>
    <w:next w:val="931"/>
    <w:link w:val="911"/>
    <w:rPr>
      <w:b/>
      <w:bCs/>
      <w:color w:val="ff0000"/>
    </w:rPr>
  </w:style>
  <w:style w:type="paragraph" w:styleId="932">
    <w:name w:val="Интерактивный заголовок"/>
    <w:basedOn w:val="968"/>
    <w:next w:val="911"/>
    <w:link w:val="911"/>
    <w:rPr>
      <w:b w:val="0"/>
      <w:bCs w:val="0"/>
      <w:color w:val="000000"/>
      <w:u w:val="single"/>
    </w:rPr>
  </w:style>
  <w:style w:type="paragraph" w:styleId="933">
    <w:name w:val="Интерфейс"/>
    <w:basedOn w:val="911"/>
    <w:next w:val="911"/>
    <w:link w:val="911"/>
    <w:pPr>
      <w:jc w:val="both"/>
      <w:spacing w:after="0" w:line="240" w:lineRule="auto"/>
      <w:widowControl w:val="off"/>
    </w:pPr>
    <w:rPr>
      <w:rFonts w:ascii="Arial" w:hAnsi="Arial"/>
      <w:color w:val="ece9d8"/>
    </w:rPr>
  </w:style>
  <w:style w:type="paragraph" w:styleId="934">
    <w:name w:val="Комментарий"/>
    <w:basedOn w:val="911"/>
    <w:next w:val="911"/>
    <w:link w:val="911"/>
    <w:pPr>
      <w:ind w:left="170"/>
      <w:jc w:val="both"/>
      <w:spacing w:after="0" w:line="240" w:lineRule="auto"/>
      <w:widowControl w:val="off"/>
    </w:pPr>
    <w:rPr>
      <w:rFonts w:ascii="Arial" w:hAnsi="Arial"/>
      <w:i/>
      <w:iCs/>
      <w:color w:val="800080"/>
      <w:sz w:val="24"/>
      <w:szCs w:val="24"/>
    </w:rPr>
  </w:style>
  <w:style w:type="paragraph" w:styleId="935">
    <w:name w:val="Информация об изменениях документа"/>
    <w:basedOn w:val="934"/>
    <w:next w:val="911"/>
    <w:link w:val="911"/>
    <w:pPr>
      <w:ind w:left="0"/>
    </w:pPr>
  </w:style>
  <w:style w:type="paragraph" w:styleId="936">
    <w:name w:val="Текст (лев. подпись)"/>
    <w:basedOn w:val="911"/>
    <w:next w:val="911"/>
    <w:link w:val="911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37">
    <w:name w:val="Колонтитул (левый)"/>
    <w:basedOn w:val="936"/>
    <w:next w:val="911"/>
    <w:link w:val="911"/>
    <w:pPr>
      <w:jc w:val="both"/>
    </w:pPr>
    <w:rPr>
      <w:sz w:val="16"/>
      <w:szCs w:val="16"/>
    </w:rPr>
  </w:style>
  <w:style w:type="paragraph" w:styleId="938">
    <w:name w:val="Текст (прав. подпись)"/>
    <w:basedOn w:val="911"/>
    <w:next w:val="911"/>
    <w:link w:val="911"/>
    <w:pPr>
      <w:jc w:val="right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39">
    <w:name w:val="Колонтитул (правый)"/>
    <w:basedOn w:val="938"/>
    <w:next w:val="911"/>
    <w:link w:val="911"/>
    <w:pPr>
      <w:jc w:val="both"/>
    </w:pPr>
    <w:rPr>
      <w:sz w:val="16"/>
      <w:szCs w:val="16"/>
    </w:rPr>
  </w:style>
  <w:style w:type="paragraph" w:styleId="940">
    <w:name w:val="Комментарий пользователя"/>
    <w:basedOn w:val="934"/>
    <w:next w:val="911"/>
    <w:link w:val="911"/>
    <w:pPr>
      <w:ind w:left="0"/>
      <w:jc w:val="left"/>
    </w:pPr>
    <w:rPr>
      <w:i w:val="0"/>
      <w:iCs w:val="0"/>
      <w:color w:val="000080"/>
    </w:rPr>
  </w:style>
  <w:style w:type="paragraph" w:styleId="941">
    <w:name w:val="Моноширинный"/>
    <w:basedOn w:val="911"/>
    <w:next w:val="911"/>
    <w:link w:val="911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character" w:styleId="942">
    <w:name w:val="Найденные слова"/>
    <w:next w:val="942"/>
    <w:link w:val="911"/>
    <w:rPr>
      <w:b/>
      <w:bCs/>
      <w:color w:val="000080"/>
    </w:rPr>
  </w:style>
  <w:style w:type="character" w:styleId="943">
    <w:name w:val="Не вступил в силу"/>
    <w:next w:val="943"/>
    <w:link w:val="911"/>
    <w:rPr>
      <w:b/>
      <w:bCs/>
      <w:color w:val="008080"/>
    </w:rPr>
  </w:style>
  <w:style w:type="paragraph" w:styleId="944">
    <w:name w:val="Нормальный (таблица)"/>
    <w:basedOn w:val="911"/>
    <w:next w:val="911"/>
    <w:link w:val="911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5">
    <w:name w:val="Объект"/>
    <w:basedOn w:val="911"/>
    <w:next w:val="911"/>
    <w:link w:val="911"/>
    <w:pPr>
      <w:jc w:val="both"/>
      <w:spacing w:after="0" w:line="240" w:lineRule="auto"/>
      <w:widowControl w:val="off"/>
    </w:pPr>
    <w:rPr>
      <w:sz w:val="24"/>
      <w:szCs w:val="24"/>
    </w:rPr>
  </w:style>
  <w:style w:type="paragraph" w:styleId="946">
    <w:name w:val="Таблицы (моноширинный)"/>
    <w:basedOn w:val="911"/>
    <w:next w:val="911"/>
    <w:link w:val="911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paragraph" w:styleId="947">
    <w:name w:val="Оглавление"/>
    <w:basedOn w:val="946"/>
    <w:next w:val="911"/>
    <w:link w:val="911"/>
    <w:pPr>
      <w:ind w:left="140"/>
    </w:pPr>
    <w:rPr>
      <w:rFonts w:ascii="Arial" w:hAnsi="Arial"/>
    </w:rPr>
  </w:style>
  <w:style w:type="character" w:styleId="948">
    <w:name w:val="Опечатки"/>
    <w:next w:val="948"/>
    <w:link w:val="911"/>
    <w:rPr>
      <w:color w:val="ff0000"/>
    </w:rPr>
  </w:style>
  <w:style w:type="paragraph" w:styleId="949">
    <w:name w:val="Переменная часть"/>
    <w:basedOn w:val="928"/>
    <w:next w:val="911"/>
    <w:link w:val="911"/>
    <w:rPr>
      <w:rFonts w:ascii="Arial" w:hAnsi="Arial"/>
      <w:sz w:val="20"/>
      <w:szCs w:val="20"/>
    </w:rPr>
  </w:style>
  <w:style w:type="paragraph" w:styleId="950">
    <w:name w:val="Постоянная часть"/>
    <w:basedOn w:val="928"/>
    <w:next w:val="911"/>
    <w:link w:val="911"/>
    <w:rPr>
      <w:rFonts w:ascii="Arial" w:hAnsi="Arial"/>
      <w:sz w:val="22"/>
      <w:szCs w:val="22"/>
    </w:rPr>
  </w:style>
  <w:style w:type="paragraph" w:styleId="951">
    <w:name w:val="Прижатый влево"/>
    <w:basedOn w:val="911"/>
    <w:next w:val="911"/>
    <w:link w:val="911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2">
    <w:name w:val="Продолжение ссылки"/>
    <w:next w:val="952"/>
    <w:link w:val="911"/>
    <w:rPr>
      <w:b/>
      <w:bCs/>
      <w:color w:val="008000"/>
    </w:rPr>
  </w:style>
  <w:style w:type="paragraph" w:styleId="953">
    <w:name w:val="Словарная статья"/>
    <w:basedOn w:val="911"/>
    <w:next w:val="911"/>
    <w:link w:val="911"/>
    <w:pPr>
      <w:ind w:right="118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4">
    <w:name w:val="Сравнение редакций"/>
    <w:next w:val="954"/>
    <w:link w:val="911"/>
    <w:rPr>
      <w:b/>
      <w:bCs/>
      <w:color w:val="000080"/>
    </w:rPr>
  </w:style>
  <w:style w:type="character" w:styleId="955">
    <w:name w:val="Сравнение редакций. Добавленный фрагмент"/>
    <w:next w:val="955"/>
    <w:link w:val="911"/>
    <w:rPr>
      <w:color w:val="0000ff"/>
    </w:rPr>
  </w:style>
  <w:style w:type="character" w:styleId="956">
    <w:name w:val="Сравнение редакций. Удаленный фрагмент"/>
    <w:next w:val="956"/>
    <w:link w:val="911"/>
    <w:rPr>
      <w:strike/>
      <w:color w:val="808000"/>
    </w:rPr>
  </w:style>
  <w:style w:type="paragraph" w:styleId="957">
    <w:name w:val="Текст (справка)"/>
    <w:basedOn w:val="911"/>
    <w:next w:val="911"/>
    <w:link w:val="911"/>
    <w:pPr>
      <w:ind w:left="170" w:right="170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58">
    <w:name w:val="Текст в таблице"/>
    <w:basedOn w:val="944"/>
    <w:next w:val="911"/>
    <w:link w:val="911"/>
    <w:pPr>
      <w:ind w:firstLine="500"/>
    </w:pPr>
  </w:style>
  <w:style w:type="paragraph" w:styleId="959">
    <w:name w:val="Технический комментарий"/>
    <w:basedOn w:val="911"/>
    <w:next w:val="911"/>
    <w:link w:val="911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60">
    <w:name w:val="Утратил силу"/>
    <w:next w:val="960"/>
    <w:link w:val="911"/>
    <w:rPr>
      <w:b/>
      <w:bCs/>
      <w:strike/>
      <w:color w:val="808000"/>
    </w:rPr>
  </w:style>
  <w:style w:type="paragraph" w:styleId="961">
    <w:name w:val="Центрированный (таблица)"/>
    <w:basedOn w:val="944"/>
    <w:next w:val="911"/>
    <w:link w:val="911"/>
    <w:pPr>
      <w:jc w:val="center"/>
    </w:pPr>
  </w:style>
  <w:style w:type="character" w:styleId="962">
    <w:name w:val="Гиперссылка"/>
    <w:next w:val="962"/>
    <w:link w:val="911"/>
    <w:rPr>
      <w:color w:val="0000ff"/>
      <w:u w:val="single"/>
    </w:rPr>
  </w:style>
  <w:style w:type="paragraph" w:styleId="963">
    <w:name w:val="Текст выноски"/>
    <w:basedOn w:val="911"/>
    <w:next w:val="963"/>
    <w:link w:val="964"/>
    <w:semiHidden/>
    <w:pPr>
      <w:spacing w:after="0" w:line="240" w:lineRule="auto"/>
      <w:widowControl w:val="off"/>
    </w:pPr>
    <w:rPr>
      <w:rFonts w:ascii="Tahoma" w:hAnsi="Tahoma"/>
      <w:sz w:val="16"/>
      <w:szCs w:val="16"/>
    </w:rPr>
  </w:style>
  <w:style w:type="character" w:styleId="964">
    <w:name w:val="Текст выноски Знак"/>
    <w:next w:val="964"/>
    <w:link w:val="963"/>
    <w:semiHidden/>
    <w:rPr>
      <w:rFonts w:ascii="Tahoma" w:hAnsi="Tahoma"/>
      <w:sz w:val="16"/>
      <w:szCs w:val="16"/>
    </w:rPr>
  </w:style>
  <w:style w:type="paragraph" w:styleId="965">
    <w:name w:val="ConsPlusNormal"/>
    <w:next w:val="965"/>
    <w:link w:val="911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966">
    <w:name w:val="Основной текст"/>
    <w:basedOn w:val="911"/>
    <w:next w:val="966"/>
    <w:link w:val="967"/>
    <w:semiHidden/>
    <w:pPr>
      <w:jc w:val="both"/>
      <w:spacing w:after="0" w:line="240" w:lineRule="auto"/>
    </w:pPr>
    <w:rPr>
      <w:sz w:val="24"/>
      <w:szCs w:val="24"/>
    </w:rPr>
  </w:style>
  <w:style w:type="character" w:styleId="967">
    <w:name w:val="Основной текст Знак"/>
    <w:next w:val="967"/>
    <w:link w:val="966"/>
    <w:semiHidden/>
    <w:rPr>
      <w:rFonts w:ascii="Times New Roman" w:hAnsi="Times New Roman"/>
      <w:sz w:val="24"/>
      <w:szCs w:val="24"/>
    </w:rPr>
  </w:style>
  <w:style w:type="paragraph" w:styleId="968">
    <w:name w:val="Название"/>
    <w:basedOn w:val="911"/>
    <w:next w:val="968"/>
    <w:link w:val="969"/>
    <w:pPr>
      <w:ind w:right="-766"/>
      <w:jc w:val="center"/>
      <w:spacing w:after="0" w:line="240" w:lineRule="auto"/>
    </w:pPr>
    <w:rPr>
      <w:b/>
      <w:bCs/>
      <w:sz w:val="24"/>
      <w:szCs w:val="24"/>
    </w:rPr>
  </w:style>
  <w:style w:type="character" w:styleId="969">
    <w:name w:val="Название Знак"/>
    <w:next w:val="969"/>
    <w:link w:val="968"/>
    <w:rPr>
      <w:rFonts w:ascii="Times New Roman" w:hAnsi="Times New Roman"/>
      <w:b/>
      <w:bCs/>
      <w:sz w:val="20"/>
      <w:szCs w:val="20"/>
    </w:rPr>
  </w:style>
  <w:style w:type="paragraph" w:styleId="970">
    <w:name w:val="Основной текст с отступом"/>
    <w:basedOn w:val="911"/>
    <w:next w:val="970"/>
    <w:link w:val="971"/>
    <w:pPr>
      <w:ind w:left="283"/>
      <w:spacing w:after="120" w:line="240" w:lineRule="auto"/>
      <w:widowControl w:val="off"/>
    </w:pPr>
    <w:rPr>
      <w:rFonts w:ascii="Arial" w:hAnsi="Arial"/>
      <w:sz w:val="24"/>
      <w:szCs w:val="24"/>
    </w:rPr>
  </w:style>
  <w:style w:type="character" w:styleId="971">
    <w:name w:val="Основной текст с отступом Знак"/>
    <w:next w:val="971"/>
    <w:link w:val="970"/>
    <w:rPr>
      <w:rFonts w:ascii="Arial" w:hAnsi="Arial"/>
      <w:sz w:val="24"/>
      <w:szCs w:val="24"/>
    </w:rPr>
  </w:style>
  <w:style w:type="paragraph" w:styleId="972">
    <w:name w:val="???????"/>
    <w:next w:val="972"/>
    <w:link w:val="911"/>
    <w:rPr>
      <w:lang w:val="ru-RU" w:eastAsia="ru-RU" w:bidi="ar-SA"/>
    </w:rPr>
  </w:style>
  <w:style w:type="paragraph" w:styleId="973">
    <w:name w:val="????????? 3"/>
    <w:basedOn w:val="972"/>
    <w:next w:val="972"/>
    <w:link w:val="911"/>
    <w:pPr>
      <w:jc w:val="center"/>
      <w:keepNext/>
    </w:pPr>
    <w:rPr>
      <w:b/>
      <w:bCs/>
      <w:spacing w:val="40"/>
      <w:sz w:val="22"/>
      <w:szCs w:val="22"/>
    </w:rPr>
  </w:style>
  <w:style w:type="paragraph" w:styleId="974">
    <w:name w:val="????????? 4"/>
    <w:basedOn w:val="972"/>
    <w:next w:val="972"/>
    <w:link w:val="911"/>
    <w:pPr>
      <w:jc w:val="center"/>
      <w:keepNext/>
    </w:pPr>
    <w:rPr>
      <w:b/>
      <w:bCs/>
      <w:spacing w:val="60"/>
      <w:sz w:val="28"/>
      <w:szCs w:val="28"/>
    </w:rPr>
  </w:style>
  <w:style w:type="paragraph" w:styleId="975">
    <w:name w:val="Верхний колонтитул,Header Char"/>
    <w:basedOn w:val="911"/>
    <w:next w:val="975"/>
    <w:link w:val="976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6">
    <w:name w:val="Верхний колонтитул Знак,Header Char Знак"/>
    <w:next w:val="976"/>
    <w:link w:val="975"/>
    <w:rPr>
      <w:rFonts w:ascii="Arial" w:hAnsi="Arial"/>
      <w:sz w:val="24"/>
      <w:szCs w:val="24"/>
    </w:rPr>
  </w:style>
  <w:style w:type="paragraph" w:styleId="977">
    <w:name w:val="Нижний колонтитул"/>
    <w:basedOn w:val="911"/>
    <w:next w:val="977"/>
    <w:link w:val="978"/>
    <w:semiHidden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8">
    <w:name w:val="Нижний колонтитул Знак"/>
    <w:next w:val="978"/>
    <w:link w:val="977"/>
    <w:semiHidden/>
    <w:rPr>
      <w:rFonts w:ascii="Arial" w:hAnsi="Arial"/>
      <w:sz w:val="24"/>
      <w:szCs w:val="24"/>
    </w:rPr>
  </w:style>
  <w:style w:type="paragraph" w:styleId="979">
    <w:name w:val="Без интервала"/>
    <w:next w:val="979"/>
    <w:link w:val="988"/>
    <w:rPr>
      <w:sz w:val="22"/>
      <w:szCs w:val="22"/>
      <w:lang w:val="ru-RU" w:eastAsia="ru-RU" w:bidi="ar-SA"/>
    </w:rPr>
  </w:style>
  <w:style w:type="table" w:styleId="980">
    <w:name w:val="Сетка таблицы"/>
    <w:basedOn w:val="918"/>
    <w:next w:val="980"/>
    <w:link w:val="911"/>
    <w:tblPr/>
  </w:style>
  <w:style w:type="paragraph" w:styleId="981">
    <w:name w:val="Основной текст 2"/>
    <w:basedOn w:val="911"/>
    <w:next w:val="981"/>
    <w:link w:val="982"/>
    <w:semiHidden/>
    <w:pPr>
      <w:spacing w:after="120" w:line="480" w:lineRule="auto"/>
    </w:pPr>
  </w:style>
  <w:style w:type="character" w:styleId="982">
    <w:name w:val="Основной текст 2 Знак"/>
    <w:basedOn w:val="917"/>
    <w:next w:val="982"/>
    <w:link w:val="981"/>
    <w:semiHidden/>
  </w:style>
  <w:style w:type="paragraph" w:styleId="983">
    <w:name w:val="ConsPlusNonformat"/>
    <w:next w:val="983"/>
    <w:link w:val="911"/>
    <w:pPr>
      <w:widowControl w:val="off"/>
    </w:pPr>
    <w:rPr>
      <w:rFonts w:ascii="Courier New" w:hAnsi="Courier New"/>
      <w:lang w:val="ru-RU" w:eastAsia="ru-RU" w:bidi="ar-SA"/>
    </w:rPr>
  </w:style>
  <w:style w:type="paragraph" w:styleId="984">
    <w:name w:val="Абзац списка"/>
    <w:basedOn w:val="911"/>
    <w:next w:val="984"/>
    <w:link w:val="911"/>
    <w:pPr>
      <w:ind w:left="720"/>
    </w:pPr>
  </w:style>
  <w:style w:type="character" w:styleId="985">
    <w:name w:val="Номер страницы"/>
    <w:basedOn w:val="917"/>
    <w:next w:val="985"/>
    <w:link w:val="911"/>
  </w:style>
  <w:style w:type="paragraph" w:styleId="986">
    <w:name w:val="Основной текст с отступом 2"/>
    <w:basedOn w:val="911"/>
    <w:next w:val="986"/>
    <w:link w:val="987"/>
    <w:semiHidden/>
    <w:pPr>
      <w:ind w:left="283"/>
      <w:spacing w:after="120" w:line="480" w:lineRule="auto"/>
    </w:pPr>
  </w:style>
  <w:style w:type="character" w:styleId="987">
    <w:name w:val="Основной текст с отступом 2 Знак"/>
    <w:next w:val="987"/>
    <w:link w:val="986"/>
    <w:semiHidden/>
    <w:rPr>
      <w:sz w:val="22"/>
      <w:szCs w:val="22"/>
    </w:rPr>
  </w:style>
  <w:style w:type="character" w:styleId="988">
    <w:name w:val="Без интервала Знак"/>
    <w:next w:val="988"/>
    <w:link w:val="979"/>
    <w:rPr>
      <w:sz w:val="22"/>
      <w:szCs w:val="22"/>
    </w:rPr>
  </w:style>
  <w:style w:type="character" w:styleId="989" w:default="1">
    <w:name w:val="Default Paragraph Font"/>
    <w:uiPriority w:val="1"/>
    <w:semiHidden/>
    <w:unhideWhenUsed/>
  </w:style>
  <w:style w:type="numbering" w:styleId="990" w:default="1">
    <w:name w:val="No List"/>
    <w:uiPriority w:val="99"/>
    <w:semiHidden/>
    <w:unhideWhenUsed/>
  </w:style>
  <w:style w:type="table" w:styleId="991" w:default="1">
    <w:name w:val="Normal Table"/>
    <w:uiPriority w:val="99"/>
    <w:semiHidden/>
    <w:unhideWhenUsed/>
    <w:tblPr/>
  </w:style>
  <w:style w:type="paragraph" w:styleId="992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3" w:customStyle="1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N*w*R*m*n" w:hAnsi="T*m*s*N*w*R*m*n" w:eastAsia="T*m*s*N*w*R*m*n" w:cs="T*m*s*N*w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mailto:official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35</cp:revision>
  <dcterms:modified xsi:type="dcterms:W3CDTF">2023-11-30T08:49:37Z</dcterms:modified>
</cp:coreProperties>
</file>