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69"/>
        <w:contextualSpacing/>
        <w:ind w:left="708"/>
        <w:spacing w:after="0" w:afterAutospacing="0" w:line="17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ОГО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864"/>
        <w:contextualSpacing/>
        <w:jc w:val="center"/>
        <w:spacing w:after="0" w:afterAutospacing="0"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tabs>
          <w:tab w:val="left" w:pos="18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69"/>
        <w:contextualSpacing/>
        <w:jc w:val="left"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«10» ноября 2023 г.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             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  №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397-П</w:t>
      </w:r>
      <w:r>
        <w:rPr>
          <w:sz w:val="28"/>
          <w:szCs w:val="28"/>
        </w:rPr>
      </w:r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внесении изменений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в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раздел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 Административного регламента предоставления муниципальной услуги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«Принятие на учет граждан в качестве нуждающихся в жилых помещениях на территории муниципального округа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 район 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Ямало-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Н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енецкого автономного округа»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1418" w:leader="none"/>
        </w:tabs>
        <w:rPr>
          <w:rFonts w:ascii="Liberation Sans" w:hAnsi="Liberation Sans" w:cs="Liberation Sans"/>
          <w:b/>
          <w:bCs/>
          <w:color w:val="000000"/>
          <w:sz w:val="28"/>
          <w:szCs w:val="27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В целях приведения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муниципального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правового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акта Администрации Красноселькупского района в соответствие с действующ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им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законодательством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Ямало-Ненецкого автономного округа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,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руководствуясь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распоряжением Администрации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Красноселькупского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 района от 04 апреля 2022 года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, </w:t>
      </w:r>
      <w:bookmarkStart w:id="0" w:name="_GoBack"/>
      <w:r>
        <w:rPr>
          <w:rFonts w:ascii="Liberation Sans" w:hAnsi="Liberation Sans" w:eastAsia="Liberation Serif" w:cs="Liberation Sans"/>
          <w:color w:val="000000" w:themeColor="text1"/>
          <w:sz w:val="28"/>
        </w:rPr>
      </w:r>
      <w:bookmarkEnd w:id="0"/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Уставом муниципального округа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Красноселькупский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 район Ямало-Ненецкого автономного округа, Администрация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Красноселькупского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 района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7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1.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 Утвердить прилагаемые изменения, которые вносятся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в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раздел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lang w:val="en-US"/>
        </w:rPr>
        <w:t xml:space="preserve">II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Административного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регламента предоставления муниципальной услуги «Принятие на учет граждан в качестве нуждающихся в жилых помещениях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на территории муниципального округа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Красноселькупский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район Ямало-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Н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енецкого автономного округа»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утвержденного постановлением Администрации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Красноселькупского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</w:rPr>
        <w:t xml:space="preserve"> района от 03 марта 2022 года № 81-П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20"/>
        <w:jc w:val="both"/>
        <w:spacing w:after="0" w:afterAutospacing="0" w:line="17" w:lineRule="atLeast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/>
          <w:color w:val="000000"/>
          <w:spacing w:val="-13"/>
          <w:sz w:val="28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Красноселькупский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20"/>
        <w:jc w:val="both"/>
        <w:spacing w:after="0" w:afterAutospacing="0" w:line="17" w:lineRule="atLeast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/>
          <w:color w:val="000000"/>
          <w:sz w:val="28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Глав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а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района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  Ю.В. Фишер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5103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5103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5103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5103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5103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становлением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Администрации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5103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4395" w:firstLine="708"/>
        <w:jc w:val="both"/>
        <w:spacing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от «10» ноября 2023 г. № 397-П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b/>
          <w:color w:val="000000"/>
          <w:sz w:val="28"/>
          <w:szCs w:val="28"/>
        </w:rPr>
        <w:outlineLvl w:val="1"/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ans" w:hAnsi="Liberation Sans" w:cs="Liberation Sans"/>
          <w:color w:val="000000"/>
          <w:sz w:val="28"/>
          <w:szCs w:val="28"/>
        </w:rPr>
        <w:outlineLvl w:val="1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которые вносятся в раздел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Административного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регламента предоставления муниципальной услуги «Принятие на учет граждан в качестве нуждающихся в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жилых помещениях на территории муниципального округа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район Ямало-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Н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енецкого автономного округа»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, утвержденного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м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Администрации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района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от 03 марта 2022 года № 81-П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75"/>
        <w:contextualSpacing/>
        <w:ind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875"/>
        <w:contextualSpacing/>
        <w:ind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</w:rPr>
      </w:r>
      <w:r/>
    </w:p>
    <w:p>
      <w:pPr>
        <w:pStyle w:val="875"/>
        <w:contextualSpacing/>
        <w:ind w:left="0" w:firstLine="708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1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.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 В разделе 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  <w:lang w:val="en-US"/>
        </w:rPr>
        <w:t xml:space="preserve">II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875"/>
        <w:contextualSpacing/>
        <w:ind w:left="709" w:firstLine="0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1.1.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в пункте 2.8: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left="0" w:right="0" w:firstLine="709"/>
        <w:jc w:val="both"/>
        <w:spacing w:after="0" w:afterAutospacing="0" w:line="17" w:lineRule="atLeast"/>
        <w:tabs>
          <w:tab w:val="left" w:pos="1560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none"/>
        </w:rPr>
        <w:t xml:space="preserve">1.1.1. абзацы первый - четвертый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left="0" w:right="0" w:firstLine="709"/>
        <w:jc w:val="both"/>
        <w:spacing w:after="0" w:afterAutospacing="0" w:line="17" w:lineRule="atLeast"/>
        <w:tabs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.8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. Для получения муниципальной услуги заявитель представляет заявление </w:t>
      </w:r>
      <w:r>
        <w:rPr>
          <w:rFonts w:ascii="Liberation Sans" w:hAnsi="Liberation Sans" w:cs="Liberation Sans"/>
          <w:bCs/>
          <w:strike w:val="0"/>
          <w:color w:val="000000"/>
          <w:sz w:val="28"/>
          <w:szCs w:val="28"/>
          <w:highlight w:val="white"/>
        </w:rPr>
        <w:t xml:space="preserve">о предоставлении муниципальной услуги по форме, согласно Приложению № 6 к настоящему Административному регламенту и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 док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ументы в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структурное подразделение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Уполномоченн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ого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 орган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 одним из следующих способов: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firstLine="709"/>
        <w:jc w:val="both"/>
        <w:spacing w:after="0" w:afterAutospacing="0" w:line="17" w:lineRule="atLeast"/>
        <w:tabs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 в электронной форме посредством ЕПГУ;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firstLine="709"/>
        <w:jc w:val="both"/>
        <w:spacing w:after="0" w:afterAutospacing="0" w:line="17" w:lineRule="atLeast"/>
        <w:tabs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 на бумажном носителе через МФЦ (с момента вступления в силу соответствующего соглашения о взаимодействии с Администрацией Красноселькупского района).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firstLine="709"/>
        <w:jc w:val="both"/>
        <w:spacing w:after="0" w:afterAutospacing="0" w:line="17" w:lineRule="atLeast"/>
        <w:tabs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Cs/>
          <w:strike w:val="0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erif" w:cs="Liberation Sans"/>
          <w:bCs/>
          <w:strike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erif" w:cs="Liberation Sans"/>
          <w:bCs/>
          <w:strike w:val="0"/>
          <w:color w:val="000000" w:themeColor="text1"/>
          <w:sz w:val="28"/>
          <w:szCs w:val="28"/>
          <w:highlight w:val="white"/>
        </w:rPr>
        <w:t xml:space="preserve">случае личного обращения заявителя либо е</w:t>
      </w:r>
      <w:r>
        <w:rPr>
          <w:rFonts w:ascii="Liberation Sans" w:hAnsi="Liberation Sans" w:eastAsia="Liberation Serif" w:cs="Liberation Sans"/>
          <w:bCs/>
          <w:strike w:val="0"/>
          <w:color w:val="000000" w:themeColor="text1"/>
          <w:sz w:val="28"/>
          <w:szCs w:val="28"/>
          <w:highlight w:val="white"/>
        </w:rPr>
        <w:t xml:space="preserve">го представителя в структурные подразделения Уполномоченного органа с заявлением и документами, структурные подразделения Уполномоченного органа обеспечивают им доступ к ЕПГУ для подачи заявления и докумен</w:t>
      </w:r>
      <w:r>
        <w:rPr>
          <w:rFonts w:ascii="Liberation Sans" w:hAnsi="Liberation Sans" w:eastAsia="Liberation Serif" w:cs="Liberation Sans"/>
          <w:bCs/>
          <w:strike w:val="0"/>
          <w:color w:val="000000" w:themeColor="text1"/>
          <w:sz w:val="28"/>
          <w:szCs w:val="28"/>
          <w:highlight w:val="white"/>
        </w:rPr>
        <w:t xml:space="preserve">тов в электронной </w:t>
      </w:r>
      <w:r>
        <w:rPr>
          <w:rFonts w:ascii="Liberation Sans" w:hAnsi="Liberation Sans" w:eastAsia="Liberation Serif" w:cs="Liberation Sans"/>
          <w:bCs/>
          <w:strike w:val="0"/>
          <w:color w:val="000000" w:themeColor="text1"/>
          <w:sz w:val="28"/>
          <w:szCs w:val="28"/>
          <w:highlight w:val="white"/>
        </w:rPr>
        <w:t xml:space="preserve">форме.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pStyle w:val="875"/>
        <w:contextualSpacing/>
        <w:ind w:left="709" w:firstLine="0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1.1.2. подп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ункт 2.8.1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изложить в следующей редакции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8"/>
        <w:jc w:val="both"/>
        <w:spacing w:after="0" w:afterAutospacing="0" w:line="17" w:lineRule="atLeast"/>
        <w:widowControl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trike w:val="0"/>
          <w:color w:val="000000"/>
          <w:sz w:val="28"/>
          <w:szCs w:val="28"/>
          <w:highlight w:val="white"/>
        </w:rPr>
        <w:t xml:space="preserve">«2.8.1. </w:t>
      </w:r>
      <w:r>
        <w:rPr>
          <w:rFonts w:ascii="Liberation Sans" w:hAnsi="Liberation Sans" w:cs="Liberation Sans"/>
          <w:bCs/>
          <w:strike w:val="0"/>
          <w:color w:val="000000"/>
          <w:sz w:val="28"/>
          <w:szCs w:val="28"/>
          <w:highlight w:val="white"/>
        </w:rPr>
        <w:t xml:space="preserve">В случае направления заявления посредством </w:t>
      </w:r>
      <w:r>
        <w:rPr>
          <w:rFonts w:ascii="Liberation Sans" w:hAnsi="Liberation Sans" w:cs="Liberation Sans"/>
          <w:strike w:val="0"/>
          <w:sz w:val="28"/>
          <w:szCs w:val="28"/>
          <w:highlight w:val="white"/>
        </w:rPr>
        <w:t xml:space="preserve">ЕПГУ</w:t>
      </w:r>
      <w:r>
        <w:rPr>
          <w:rFonts w:ascii="Liberation Sans" w:hAnsi="Liberation Sans" w:cs="Liberation Sans"/>
          <w:bCs/>
          <w:strike w:val="0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bCs/>
          <w:strike w:val="0"/>
          <w:color w:val="000000"/>
          <w:sz w:val="28"/>
          <w:szCs w:val="28"/>
          <w:highlight w:val="white"/>
        </w:rPr>
        <w:t xml:space="preserve">формирование заявления осуществляется посредством заполнения интерактивной формы на </w:t>
      </w:r>
      <w:r>
        <w:rPr>
          <w:rFonts w:ascii="Liberation Sans" w:hAnsi="Liberation Sans" w:cs="Liberation Sans"/>
          <w:strike w:val="0"/>
          <w:sz w:val="28"/>
          <w:szCs w:val="28"/>
          <w:highlight w:val="white"/>
        </w:rPr>
        <w:t xml:space="preserve">ЕПГУ</w:t>
      </w:r>
      <w:r>
        <w:rPr>
          <w:rFonts w:ascii="Liberation Sans" w:hAnsi="Liberation Sans" w:cs="Liberation Sans"/>
          <w:bCs/>
          <w:strike w:val="0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bCs/>
          <w:strike w:val="0"/>
          <w:color w:val="000000"/>
          <w:sz w:val="28"/>
          <w:szCs w:val="28"/>
          <w:highlight w:val="white"/>
        </w:rPr>
        <w:t xml:space="preserve">без необходимости дополнительной подачи заявления в какой-либо иной форме.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firstLine="709"/>
        <w:jc w:val="both"/>
        <w:spacing w:after="0" w:afterAutospacing="0" w:line="17" w:lineRule="atLeast"/>
        <w:shd w:val="clear" w:color="ffffff" w:themeColor="background1" w:fill="ffffff" w:themeFill="background1"/>
        <w:tabs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Заявителем, при оформлении заявления 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 предоставлении муниципа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льной услуги, вне зависимости от способа подачи такого заявления, может быть выбран канал взаимодействия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со </w:t>
      </w: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  <w:lang w:eastAsia="en-US"/>
        </w:rPr>
        <w:t xml:space="preserve">структурными подразделениями </w:t>
      </w: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  <w:lang w:eastAsia="en-US"/>
        </w:rPr>
        <w:t xml:space="preserve">Уполномоченного органа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 в процессе предоставления муниципальной услуги для получения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 уведомлений и способ получения результата муниципальной услуги: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firstLine="709"/>
        <w:jc w:val="both"/>
        <w:spacing w:after="0" w:afterAutospacing="0" w:line="17" w:lineRule="atLeast"/>
        <w:tabs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Cs/>
          <w:i w:val="0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Liberation Serif" w:cs="Liberation Sans"/>
          <w:bCs/>
          <w:i w:val="0"/>
          <w:color w:val="000000" w:themeColor="text1"/>
          <w:sz w:val="28"/>
          <w:szCs w:val="28"/>
          <w:highlight w:val="white"/>
        </w:rPr>
        <w:t xml:space="preserve"> МФЦ;</w:t>
      </w:r>
      <w:r>
        <w:rPr>
          <w:rFonts w:ascii="Liberation Sans" w:hAnsi="Liberation Sans" w:cs="Liberation Sans"/>
        </w:rPr>
      </w:r>
      <w:r/>
    </w:p>
    <w:p>
      <w:pPr>
        <w:pStyle w:val="707"/>
        <w:contextualSpacing/>
        <w:ind w:firstLine="709"/>
        <w:jc w:val="both"/>
        <w:spacing w:after="0" w:afterAutospacing="0" w:line="17" w:lineRule="atLeast"/>
        <w:tabs>
          <w:tab w:val="left" w:pos="156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Cs/>
          <w:i w:val="0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Liberation Serif" w:cs="Liberation Sans"/>
          <w:bCs/>
          <w:i w:val="0"/>
          <w:color w:val="000000" w:themeColor="text1"/>
          <w:sz w:val="28"/>
          <w:szCs w:val="28"/>
          <w:highlight w:val="white"/>
        </w:rPr>
        <w:t xml:space="preserve"> ЕПГУ.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rPr>
          <w:rFonts w:ascii="Liberation Sans" w:hAnsi="Liberation Sans" w:cs="Liberation Sans"/>
          <w:strike w:val="0"/>
          <w:color w:val="000000"/>
          <w:highlight w:val="white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Уведомления о ходе предоставления государственной (муниципальной) услуги по выбору заявителя направляются на электронную почту заявителя или посредством смс-информирования по номеру телефона заявителя.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426" w:leader="none"/>
          <w:tab w:val="left" w:pos="1134" w:leader="none"/>
        </w:tabs>
        <w:rPr>
          <w:rFonts w:ascii="Liberation Sans" w:hAnsi="Liberation Sans" w:cs="Liberation Sans"/>
          <w:strike w:val="0"/>
          <w:color w:val="auto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none"/>
        </w:rPr>
        <w:t xml:space="preserve">1.1.3. дополнить подпунктом 2.8.10-1 следующего содержания: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426" w:leader="none"/>
          <w:tab w:val="left" w:pos="1134" w:leader="none"/>
        </w:tabs>
        <w:rPr>
          <w:rFonts w:ascii="Liberation Sans" w:hAnsi="Liberation Sans" w:cs="Liberation Sans"/>
          <w:bCs/>
          <w:i/>
          <w:strike w:val="0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«</w:t>
      </w: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2.8.10-1. Согласие заявителя и всех членов его семьи, а также представителя (в случае, если заявление</w:t>
      </w: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подается представителем) на обработку персональных данных в соответствии с положениями Федерального закона от 27 июля 2006 года №152-ФЗ «О персональных данных» (в случае подачи документов через ЕПГУ согласие на обработку персональных данных не требуется).»</w:t>
      </w: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8"/>
        <w:spacing w:after="0" w:afterAutospacing="0" w:line="17" w:lineRule="atLeast"/>
        <w:widowControl/>
        <w:rPr>
          <w:rFonts w:ascii="Liberation Sans" w:hAnsi="Liberation Sans" w:cs="Liberation Sans"/>
          <w:strike w:val="0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strike w:val="0"/>
          <w:color w:val="000000"/>
          <w:sz w:val="28"/>
          <w:szCs w:val="28"/>
          <w:highlight w:val="white"/>
        </w:rPr>
        <w:t xml:space="preserve">1.2. пункт 2.10 признать утратившим силу;</w:t>
      </w:r>
      <w:r>
        <w:rPr>
          <w:rFonts w:ascii="Liberation Sans" w:hAnsi="Liberation Sans" w:cs="Liberation Sans"/>
        </w:rPr>
      </w:r>
      <w:r/>
    </w:p>
    <w:p>
      <w:pPr>
        <w:pStyle w:val="875"/>
        <w:contextualSpacing/>
        <w:ind w:left="708" w:firstLine="0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white"/>
        </w:rPr>
        <w:t xml:space="preserve">1.3. пункт 2.11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white"/>
        </w:rPr>
        <w:t xml:space="preserve">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rPr>
          <w:rFonts w:ascii="Liberation Sans" w:hAnsi="Liberation Sans" w:cs="Liberation Sans"/>
          <w:highlight w:val="white"/>
        </w:rPr>
        <w:outlineLvl w:val="2"/>
      </w:pP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«2.11.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 Перечень документов и сведений, необходимых в соот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в случае обращения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,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которые заявитель вправе предоставить самостоятельно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1)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Сведения из Единого государственного реестра недвижимости об объектах недвижимости у заявителя и членов его семьи, о сделках, совершенных в последние пять лет заявителем и членами его семьи до дня подачи заявления о принятии на учет.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Заявитель может получить данные документы (сведения)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 в Федеральной службе государственной регистрации, кадастра и картографии, ее территориальных органах,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соотве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тствии с частью 4 статьи 3 Федерального закона от 13 июля 2015 года № 218-ФЗ «О государственной регистрации недвижимости» в рамках предоставления государственной услуги «Предоставление сведений, содержащихся в Едином государственном реестре недвижимости».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2)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Сведения о страховом номере индивидуального лицевого счета зарегистрированного лица в системе обязательного пенсионного страхования, полученные на каждого члена семьи.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Заявитель может получить данные документы (сведения) в территориальном органе </w:t>
      </w:r>
      <w:r>
        <w:rPr>
          <w:rFonts w:ascii="Liberation Sans" w:hAnsi="Liberation Sans" w:cs="Liberation Sans"/>
          <w:bCs/>
          <w:i/>
          <w:iCs/>
          <w:sz w:val="28"/>
          <w:szCs w:val="28"/>
          <w:highlight w:val="white"/>
        </w:rPr>
        <w:t xml:space="preserve">Фонда пенсионного и социального страхования 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Российской Федерации.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3)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 документ, выданный полномочной медицинской организацией, подтверждающий наличие у заявителя (члена семь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и) заболеваний, предусмотренных перечнем тяжелых форм хронических заболеваний, при которых невозможно совместное проживание граждан в одной квартире, утвержденным уполномоченным Правительством Российской Федерации федеральным органом исполнительной власти.</w:t>
      </w:r>
      <w:r>
        <w:rPr>
          <w:rFonts w:ascii="Liberation Sans" w:hAnsi="Liberation Sans" w:cs="Liberation Sans"/>
        </w:rPr>
      </w:r>
      <w:r/>
    </w:p>
    <w:p>
      <w:pPr>
        <w:pStyle w:val="888"/>
        <w:contextualSpacing/>
        <w:ind w:firstLine="540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Заявитель может получить данный документ в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полномочной медицинской организации.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4)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Сведения, подтверждающие место жительства; сведения о гражданах, зарегистрированных по месту жительства заявителя;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Заявитель может получить данный документ в территориальном органе федерального органа исполнительной власти, осуществляющем функции по выработке и реализации государственной политики и нормативно-правовому регулированию в сфере миграции.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5)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Сведения из единого государственного реестра записей актов гражданского состояния: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-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о государственной регистрации заключения и расторжения брака;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-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о государственной регистрации рождения (для детей в возрасте до 14 лет);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-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о государственной регистрации перемены имени (при необходимости);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- об установлении отцовства;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- о проверке соответствия фамильно-именной группы, даты рождения, пола;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- о внесении исправлений или изменений в указанные записи актов гражданского состояния.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Заявитель может получить данные документы (сведения) в органах записи актов гражданского состояния.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6)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 Сведения, подтверждающие наличие действующего удостоверения многодетной семьи (при необходимости).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/>
        <w:tabs>
          <w:tab w:val="left" w:pos="1134" w:leader="none"/>
        </w:tabs>
        <w:rPr>
          <w:rFonts w:ascii="Liberation Sans" w:hAnsi="Liberation Sans" w:cs="Liberation Sans"/>
          <w:strike/>
          <w:sz w:val="28"/>
          <w:szCs w:val="28"/>
          <w:highlight w:val="white"/>
        </w:rPr>
      </w:pP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Заявитель может получить данные документы (сведения) в органах соц</w:t>
      </w:r>
      <w:r>
        <w:rPr>
          <w:rFonts w:ascii="Liberation Sans" w:hAnsi="Liberation Sans" w:cs="Liberation Sans"/>
          <w:bCs/>
          <w:sz w:val="28"/>
          <w:szCs w:val="28"/>
          <w:highlight w:val="white"/>
        </w:rPr>
        <w:t xml:space="preserve">иальной защиты населения.</w:t>
      </w:r>
      <w:r>
        <w:rPr>
          <w:rFonts w:ascii="Liberation Sans" w:hAnsi="Liberation Sans" w:cs="Liberation Sans"/>
        </w:rPr>
      </w:r>
      <w:r/>
    </w:p>
    <w:p>
      <w:pPr>
        <w:pStyle w:val="888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7) Сведения о реабилитации лица, признание лица подвергшимся политическим репрессиям и подлежащим реабилитации, признание лица пострадавшим от политических репрессий.</w:t>
      </w:r>
      <w:r>
        <w:rPr>
          <w:rFonts w:ascii="Liberation Sans" w:hAnsi="Liberation Sans" w:cs="Liberation Sans"/>
        </w:rPr>
      </w:r>
      <w:r/>
    </w:p>
    <w:p>
      <w:pPr>
        <w:pStyle w:val="888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Заявитель может получить данный документ в управлении Министерства внутренних дел Российской Федерации по Ямало-Ненецкому автономному округу.</w:t>
      </w:r>
      <w:r>
        <w:rPr>
          <w:rFonts w:ascii="Liberation Sans" w:hAnsi="Liberation Sans" w:cs="Liberation Sans"/>
        </w:rPr>
      </w:r>
      <w:r/>
    </w:p>
    <w:p>
      <w:pPr>
        <w:pStyle w:val="888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8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)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копию решения Уполномоченного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органа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 признании гражданина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малоимущим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88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Заявитель может получить данный документ в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Уполномоченном органе.</w:t>
      </w:r>
      <w:r>
        <w:rPr>
          <w:rFonts w:ascii="Liberation Sans" w:hAnsi="Liberation Sans" w:cs="Liberation Sans"/>
        </w:rPr>
      </w:r>
      <w:r/>
    </w:p>
    <w:p>
      <w:pPr>
        <w:pStyle w:val="888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9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)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к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опию решения о признании жилого помещения непригодным для проживания либо о признании многоквартирного дома аварийным и подлежащим сносу или реконструкции.</w:t>
      </w:r>
      <w:r>
        <w:rPr>
          <w:rFonts w:ascii="Liberation Sans" w:hAnsi="Liberation Sans" w:cs="Liberation Sans"/>
        </w:rPr>
      </w:r>
      <w:r/>
    </w:p>
    <w:p>
      <w:pPr>
        <w:pStyle w:val="888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Заявитель может получить данный документ в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органе местного самоуправления, по месту нахождения такого жилого помещения.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spacing w:after="0" w:afterAutospacing="0" w:line="17" w:lineRule="atLeast"/>
        <w:widowControl/>
        <w:tabs>
          <w:tab w:val="left" w:pos="426" w:leader="none"/>
          <w:tab w:val="left" w:pos="1134" w:leader="none"/>
        </w:tabs>
        <w:rPr>
          <w:rFonts w:ascii="Liberation Sans" w:hAnsi="Liberation Sans" w:cs="Liberation Sans"/>
          <w:color w:val="auto"/>
          <w:highlight w:val="white"/>
        </w:rPr>
      </w:pP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1.4. дополнить подпунктом 2.13-1 следующего содержания: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</w:rPr>
        <w:t xml:space="preserve">2.13-1.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В случае отказа в приеме документов у заявителя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структурное подразделение Уполномоченного органа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 обязано уведомлять заявителя о причинах, послуживших основанием отказа, с разъяснениями в понятной и доступной для заявителя фо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рме.»;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spacing w:after="0" w:afterAutospacing="0" w:line="17" w:lineRule="atLeast"/>
        <w:widowControl/>
        <w:tabs>
          <w:tab w:val="left" w:pos="426" w:leader="none"/>
          <w:tab w:val="left" w:pos="1134" w:leader="none"/>
        </w:tabs>
        <w:rPr>
          <w:rFonts w:ascii="Liberation Sans" w:hAnsi="Liberation Sans" w:cs="Liberation Sans"/>
          <w:color w:val="auto"/>
          <w:highlight w:val="white"/>
        </w:rPr>
      </w:pP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1.5. дополнить пунктом 2.17-1 следующего содержания: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</w:rPr>
        <w:t xml:space="preserve">2.17-1.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В случае отказа в предоставлении заявителю муниципальной услуги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структурное подразделение Уполномоченного органа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 обязано уведомлять заявителя о причинах, послуживших ос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нованием отказа, с разъяснениями в понятной и доступной для заявителя фо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рме.»;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</w:rPr>
        <w:t xml:space="preserve">1.6. 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ункт 2.25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изложить в следующей редакции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highlight w:val="whit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«2.25.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Показателями доступности 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качества муниципальной услуги являются: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625"/>
        <w:gridCol w:w="1559"/>
        <w:gridCol w:w="1772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№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br/>
              <w:t xml:space="preserve">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Единица 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br/>
              <w:t xml:space="preserve">измерения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Нормативное</w:t>
            </w: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br/>
              <w:t xml:space="preserve">значение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</w:tbl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625"/>
        <w:gridCol w:w="1559"/>
        <w:gridCol w:w="1772"/>
      </w:tblGrid>
      <w:tr>
        <w:trPr>
          <w:cantSplit/>
          <w:trHeight w:val="240"/>
          <w:tblHeader/>
        </w:trPr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b/>
                <w:bCs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/>
                <w:bCs/>
                <w:color w:val="000000" w:themeColor="text1"/>
                <w:sz w:val="24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vAlign w:val="center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ед.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3.3.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3.4.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3.5.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4.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не менее 95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5.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5.1.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раз/минут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раз/минут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1/15 мин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1/15 мин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Оплата государственной пошлины за предоставление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муниципальной  услуг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6.9.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7.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ab/>
              <w:t xml:space="preserve">Возможность получения муниципальной усл</w:t>
            </w:r>
            <w:r>
              <w:rPr>
                <w:rFonts w:ascii="Liberation Sans" w:hAnsi="Liberation Sans" w:eastAsia="Liberation Serif" w:cs="Liberation Sans"/>
                <w:bCs/>
                <w:strike w:val="0"/>
                <w:color w:val="000000" w:themeColor="text1"/>
                <w:sz w:val="24"/>
                <w:highlight w:val="white"/>
              </w:rPr>
              <w:t xml:space="preserve">уги</w:t>
            </w:r>
            <w:r>
              <w:rPr>
                <w:rFonts w:ascii="Liberation Sans" w:hAnsi="Liberation Sans" w:eastAsia="Liberation Serif" w:cs="Liberation Sans"/>
                <w:bCs/>
                <w:strike w:val="0"/>
                <w:color w:val="000000" w:themeColor="text1"/>
                <w:sz w:val="24"/>
                <w:highlight w:val="white"/>
              </w:rPr>
              <w:t xml:space="preserve"> в МФЦ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7.1.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 Красноселькупского района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7.2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Возможность либо невозможность получения муниципальной услуги в любом 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МФЦ  на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8.</w:t>
            </w: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8.1.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textDirection w:val="lrTb"/>
            <w:noWrap w:val="false"/>
          </w:tcPr>
          <w:p>
            <w:pPr>
              <w:contextualSpacing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widowControl w:val="off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8.2.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25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0"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муниципальной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contextualSpacing/>
        <w:ind w:firstLine="0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none"/>
        </w:rPr>
        <w:tab/>
        <w:tab/>
        <w:tab/>
        <w:tab/>
        <w:tab/>
        <w:tab/>
        <w:tab/>
        <w:tab/>
        <w:tab/>
        <w:tab/>
        <w:tab/>
        <w:tab/>
        <w:tab/>
        <w:t xml:space="preserve">»;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eastAsia="Liberation Serif" w:cs="Liberation Sans"/>
          <w:i w:val="0"/>
          <w:color w:val="000000" w:themeColor="text1"/>
          <w:sz w:val="28"/>
          <w:szCs w:val="28"/>
          <w:highlight w:val="white"/>
        </w:rPr>
        <w:t xml:space="preserve">1.7. 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ункт 2.26 признать утратившим силу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spacing w:after="0" w:afterAutospacing="0" w:line="17" w:lineRule="atLeast"/>
        <w:widowControl/>
        <w:tabs>
          <w:tab w:val="left" w:pos="426" w:leader="none"/>
          <w:tab w:val="left" w:pos="1134" w:leader="none"/>
        </w:tabs>
        <w:rPr>
          <w:rFonts w:ascii="Liberation Sans" w:hAnsi="Liberation Sans" w:cs="Liberation Sans"/>
          <w:strike w:val="0"/>
          <w:color w:val="auto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color w:val="auto"/>
          <w:sz w:val="28"/>
          <w:szCs w:val="28"/>
          <w:highlight w:val="white"/>
        </w:rPr>
        <w:t xml:space="preserve">1.8. дополнить пунктами 2.30 и 2.31 следующего содержания: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«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2.30. 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- Единого портала (при условии, если заявление за предоставлением государственной (муниципальной) услуги подавалось с помощью Единого портала);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- обращения по адресу электронной почты: </w:t>
      </w:r>
      <w:hyperlink r:id="rId12" w:tooltip="mailto:official@krasnoselkupsky.yanao.ru" w:history="1">
        <w:r>
          <w:rPr>
            <w:rStyle w:val="883"/>
            <w:rFonts w:ascii="Liberation Sans" w:hAnsi="Liberation Sans" w:eastAsia="Liberation Serif" w:cs="Liberation Sans"/>
            <w:color w:val="000000" w:themeColor="text1"/>
            <w:sz w:val="27"/>
            <w:highlight w:val="white"/>
          </w:rPr>
          <w:t xml:space="preserve">official@krasnoselkupsky.yanao.ru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- иные (</w:t>
      </w:r>
      <w:r>
        <w:rPr>
          <w:rFonts w:ascii="Liberation Sans" w:hAnsi="Liberation Sans" w:eastAsia="Liberation Serif" w:cs="Liberation Sans"/>
          <w:bCs/>
          <w:i w:val="0"/>
          <w:color w:val="000000" w:themeColor="text1"/>
          <w:sz w:val="28"/>
          <w:highlight w:val="white"/>
        </w:rPr>
        <w:t xml:space="preserve">заказное письмо, при личном обращении в Уполномоченный орган)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Замечания и/или предложения поступившие от заявителя посредством Единого портала подлежат рассмотрению уполномоченным органом в случае оценки заявителем предоставленной ему государственной услуге ниже 3 баллов и при наличии комментария к такой оценке, соде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ржащего замечания и/или предложения.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afterAutospacing="0" w:line="17" w:lineRule="atLeast"/>
        <w:rPr>
          <w:rFonts w:ascii="Liberation Sans" w:hAnsi="Liberation Sans" w:cs="Liberation Sans"/>
          <w:color w:val="000000" w:themeColor="text1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2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.31. Уполномоченным органом не реже одного раза в пять лет проводится оптимизация процесса предоставления государственной (муниципальной) услуги путем проведения анализа клиентского пути, актуализации клиентских сегментов и их типовых потребностей и примен</w:t>
      </w:r>
      <w:r>
        <w:rPr>
          <w:rFonts w:ascii="Liberation Sans" w:hAnsi="Liberation Sans" w:eastAsia="Liberation Serif" w:cs="Liberation Sans"/>
          <w:color w:val="000000" w:themeColor="text1"/>
          <w:sz w:val="28"/>
          <w:highlight w:val="white"/>
        </w:rPr>
        <w:t xml:space="preserve">ения предложений заявителей, поступающих по каналам обратной связи. В случаях, если за указанный пятилетний период обращения за предоставлением государственной (муниципальной) услуги в уполномоченный орган не поступали оптимизация процесса не проводится.».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877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2"/>
    <w:next w:val="862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2">
    <w:name w:val="Heading 1 Char"/>
    <w:basedOn w:val="865"/>
    <w:link w:val="691"/>
    <w:uiPriority w:val="9"/>
    <w:rPr>
      <w:rFonts w:ascii="Arial" w:hAnsi="Arial" w:eastAsia="Arial" w:cs="Arial"/>
      <w:sz w:val="40"/>
      <w:szCs w:val="40"/>
    </w:rPr>
  </w:style>
  <w:style w:type="character" w:styleId="693">
    <w:name w:val="Heading 2 Char"/>
    <w:basedOn w:val="865"/>
    <w:link w:val="863"/>
    <w:uiPriority w:val="9"/>
    <w:rPr>
      <w:rFonts w:ascii="Arial" w:hAnsi="Arial" w:eastAsia="Arial" w:cs="Arial"/>
      <w:sz w:val="34"/>
    </w:rPr>
  </w:style>
  <w:style w:type="character" w:styleId="694">
    <w:name w:val="Heading 3 Char"/>
    <w:basedOn w:val="865"/>
    <w:link w:val="864"/>
    <w:uiPriority w:val="9"/>
    <w:rPr>
      <w:rFonts w:ascii="Arial" w:hAnsi="Arial" w:eastAsia="Arial" w:cs="Arial"/>
      <w:sz w:val="30"/>
      <w:szCs w:val="30"/>
    </w:rPr>
  </w:style>
  <w:style w:type="paragraph" w:styleId="695">
    <w:name w:val="Heading 4"/>
    <w:basedOn w:val="862"/>
    <w:next w:val="862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5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862"/>
    <w:next w:val="862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8">
    <w:name w:val="Heading 5 Char"/>
    <w:basedOn w:val="865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862"/>
    <w:next w:val="862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>
    <w:name w:val="Heading 6 Char"/>
    <w:basedOn w:val="865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2"/>
    <w:next w:val="862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5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2"/>
    <w:next w:val="862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2"/>
    <w:next w:val="862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5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2"/>
    <w:next w:val="862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5"/>
    <w:link w:val="708"/>
    <w:uiPriority w:val="10"/>
    <w:rPr>
      <w:sz w:val="48"/>
      <w:szCs w:val="48"/>
    </w:rPr>
  </w:style>
  <w:style w:type="paragraph" w:styleId="710">
    <w:name w:val="Subtitle"/>
    <w:basedOn w:val="862"/>
    <w:next w:val="862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5"/>
    <w:link w:val="710"/>
    <w:uiPriority w:val="11"/>
    <w:rPr>
      <w:sz w:val="24"/>
      <w:szCs w:val="24"/>
    </w:rPr>
  </w:style>
  <w:style w:type="paragraph" w:styleId="712">
    <w:name w:val="Quote"/>
    <w:basedOn w:val="862"/>
    <w:next w:val="862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2"/>
    <w:next w:val="862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character" w:styleId="716">
    <w:name w:val="Header Char"/>
    <w:basedOn w:val="865"/>
    <w:link w:val="877"/>
    <w:uiPriority w:val="99"/>
  </w:style>
  <w:style w:type="character" w:styleId="717">
    <w:name w:val="Footer Char"/>
    <w:basedOn w:val="865"/>
    <w:link w:val="879"/>
    <w:uiPriority w:val="99"/>
  </w:style>
  <w:style w:type="paragraph" w:styleId="718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>
    <w:name w:val="Caption Char"/>
    <w:basedOn w:val="718"/>
    <w:link w:val="879"/>
    <w:uiPriority w:val="99"/>
  </w:style>
  <w:style w:type="table" w:styleId="720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5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5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paragraph" w:styleId="863">
    <w:name w:val="Heading 2"/>
    <w:basedOn w:val="862"/>
    <w:next w:val="862"/>
    <w:link w:val="871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64">
    <w:name w:val="Heading 3"/>
    <w:basedOn w:val="863"/>
    <w:next w:val="862"/>
    <w:link w:val="868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character" w:styleId="868" w:customStyle="1">
    <w:name w:val="Заголовок 3 Знак"/>
    <w:basedOn w:val="865"/>
    <w:link w:val="864"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869">
    <w:name w:val="Body Text"/>
    <w:basedOn w:val="862"/>
    <w:link w:val="870"/>
    <w:uiPriority w:val="99"/>
    <w:semiHidden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70" w:customStyle="1">
    <w:name w:val="Основной текст Знак"/>
    <w:basedOn w:val="865"/>
    <w:link w:val="869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71" w:customStyle="1">
    <w:name w:val="Заголовок 2 Знак"/>
    <w:basedOn w:val="865"/>
    <w:link w:val="863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72">
    <w:name w:val="List Paragraph"/>
    <w:basedOn w:val="862"/>
    <w:uiPriority w:val="34"/>
    <w:qFormat/>
    <w:pPr>
      <w:contextualSpacing/>
      <w:ind w:left="720"/>
    </w:pPr>
  </w:style>
  <w:style w:type="paragraph" w:styleId="873">
    <w:name w:val="Balloon Text"/>
    <w:basedOn w:val="862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865"/>
    <w:link w:val="873"/>
    <w:uiPriority w:val="99"/>
    <w:semiHidden/>
    <w:rPr>
      <w:rFonts w:ascii="Tahoma" w:hAnsi="Tahoma" w:cs="Tahoma"/>
      <w:sz w:val="16"/>
      <w:szCs w:val="16"/>
    </w:rPr>
  </w:style>
  <w:style w:type="paragraph" w:styleId="875">
    <w:name w:val="Normal (Web)"/>
    <w:basedOn w:val="86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6" w:customStyle="1">
    <w:name w:val="ConsNormal"/>
    <w:pPr>
      <w:ind w:firstLine="720"/>
      <w:spacing w:after="0" w:line="240" w:lineRule="auto"/>
    </w:pPr>
    <w:rPr>
      <w:rFonts w:ascii="Consultant" w:hAnsi="Consultant" w:eastAsia="Times New Roman" w:cs="Consultant"/>
      <w:sz w:val="24"/>
      <w:szCs w:val="24"/>
    </w:rPr>
  </w:style>
  <w:style w:type="paragraph" w:styleId="877">
    <w:name w:val="Header"/>
    <w:basedOn w:val="862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865"/>
    <w:link w:val="877"/>
    <w:uiPriority w:val="99"/>
  </w:style>
  <w:style w:type="paragraph" w:styleId="879">
    <w:name w:val="Footer"/>
    <w:basedOn w:val="862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865"/>
    <w:link w:val="879"/>
    <w:uiPriority w:val="99"/>
  </w:style>
  <w:style w:type="character" w:styleId="881">
    <w:name w:val="Emphasis"/>
    <w:basedOn w:val="865"/>
    <w:uiPriority w:val="20"/>
    <w:qFormat/>
    <w:rPr>
      <w:i/>
      <w:iCs/>
    </w:rPr>
  </w:style>
  <w:style w:type="paragraph" w:styleId="882" w:customStyle="1">
    <w:name w:val="s_1"/>
    <w:basedOn w:val="8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83">
    <w:name w:val="Hyperlink"/>
    <w:basedOn w:val="865"/>
    <w:uiPriority w:val="99"/>
    <w:unhideWhenUsed/>
    <w:rPr>
      <w:color w:val="0000ff" w:themeColor="hyperlink"/>
      <w:u w:val="single"/>
    </w:rPr>
  </w:style>
  <w:style w:type="character" w:styleId="884" w:customStyle="1">
    <w:name w:val="Добавленный текст"/>
    <w:uiPriority w:val="99"/>
    <w:rPr>
      <w:color w:val="000000"/>
    </w:rPr>
  </w:style>
  <w:style w:type="character" w:styleId="885" w:customStyle="1">
    <w:name w:val="Гипертекстовая ссылка"/>
    <w:uiPriority w:val="99"/>
    <w:rPr>
      <w:b/>
      <w:bCs/>
      <w:color w:val="106bbe"/>
    </w:rPr>
  </w:style>
  <w:style w:type="table" w:styleId="886">
    <w:name w:val="Table Grid"/>
    <w:basedOn w:val="866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7" w:customStyle="1">
    <w:name w:val="List Paragraph1"/>
    <w:basedOn w:val="878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</w:rPr>
  </w:style>
  <w:style w:type="paragraph" w:styleId="888" w:customStyle="1">
    <w:name w:val="ConsPlusNormal"/>
    <w:link w:val="79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12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327</cp:revision>
  <dcterms:created xsi:type="dcterms:W3CDTF">2021-12-20T05:29:00Z</dcterms:created>
  <dcterms:modified xsi:type="dcterms:W3CDTF">2023-11-10T10:09:00Z</dcterms:modified>
</cp:coreProperties>
</file>