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</w:rPr>
      </w:r>
      <w:r/>
    </w:p>
    <w:p>
      <w:pPr>
        <w:pStyle w:val="866"/>
        <w:ind w:left="708"/>
        <w:spacing w:after="0" w:afterAutospacing="0" w:line="240" w:lineRule="auto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61"/>
        <w:contextualSpacing/>
        <w:jc w:val="center"/>
        <w:spacing w:after="0" w:afterAutospacing="0" w:line="240" w:lineRule="auto"/>
        <w:tabs>
          <w:tab w:val="left" w:pos="180" w:leader="none"/>
        </w:tabs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center"/>
        <w:spacing w:after="0" w:afterAutospacing="0" w:line="240" w:lineRule="auto"/>
        <w:tabs>
          <w:tab w:val="left" w:pos="180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66"/>
        <w:jc w:val="left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«19» октября 2023 г.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                    №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369-П</w:t>
      </w:r>
      <w:r>
        <w:rPr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внесении изменений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раздел 2 Административного регламента предоставления муниципальной услуги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«Принятие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 район 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Ямало-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Н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енецкого автономного округа»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widowControl w:val="off"/>
        <w:tabs>
          <w:tab w:val="left" w:pos="1418" w:leader="none"/>
        </w:tabs>
        <w:rPr>
          <w:rFonts w:ascii="Liberation Serif" w:hAnsi="Liberation Serif" w:eastAsia="Liberation Serif" w:cs="Liberation Serif"/>
          <w:b/>
          <w:bCs/>
          <w:color w:val="000000"/>
          <w:sz w:val="28"/>
          <w:szCs w:val="27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В целях приведения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муниципального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 правового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 акта Администрации Красноселькупского района в соответствие с действующ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им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 законодательством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 Ямало-Ненецкого автономного округа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,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руководствуясь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распоряжением Администрации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 района от 04 апреля 2022 года № 159-Р «О Порядке разработки и утверждения административных регламентов предоставления муниципальных услуг»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, </w:t>
      </w:r>
      <w:bookmarkStart w:id="0" w:name="_GoBack"/>
      <w:r>
        <w:rPr>
          <w:rFonts w:ascii="Liberation Serif" w:hAnsi="Liberation Serif" w:eastAsia="Liberation Serif" w:cs="Liberation Serif"/>
          <w:color w:val="000000" w:themeColor="text1"/>
          <w:sz w:val="28"/>
        </w:rPr>
      </w:r>
      <w:bookmarkEnd w:id="0"/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Уставом муниципального округа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 район Ямало-Ненецкого автономного округа, Администрация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 района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7"/>
        </w:rPr>
        <w:t xml:space="preserve">постановляет: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7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1.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 Утвердить прилагаемые изменения, которые вносятся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в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раздел 2 Административного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 регламента предоставления муниципальной услуги «Принятие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 район Ямало-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Н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енецкого автономного округа»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,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утвержденный постановлением Администрации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7"/>
        </w:rPr>
        <w:t xml:space="preserve"> района от 23 мая 2022 года № 185-П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20"/>
        <w:jc w:val="both"/>
        <w:spacing w:after="0" w:afterAutospacing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eastAsia="Liberation Serif" w:cs="Liberation Serif"/>
          <w:color w:val="000000"/>
          <w:spacing w:val="-13"/>
          <w:sz w:val="28"/>
          <w:szCs w:val="27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 район Ямало-Ненецкого автономного округа.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20"/>
        <w:jc w:val="both"/>
        <w:spacing w:after="0" w:afterAutospacing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eastAsia="Liberation Serif" w:cs="Liberation Serif"/>
          <w:color w:val="000000"/>
          <w:sz w:val="28"/>
          <w:szCs w:val="27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7"/>
        </w:rPr>
        <w:t xml:space="preserve">3. Настоящее постановление вступает в силу со дня его официального опубликования.</w:t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Первый заместитель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Глав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ы Администрации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            М.М. Иманов</w:t>
      </w:r>
      <w:r/>
    </w:p>
    <w:p>
      <w:pPr>
        <w:ind w:firstLine="5103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ind w:firstLine="5103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5103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103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103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УТВЕРЖДЕНЫ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103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становлением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Администрации 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103"/>
        <w:jc w:val="both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395" w:firstLine="708"/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от «19» октября 2023 г. № 369-П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ИЗМЕНЕНИЯ,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которые вносятся в раздел 2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Административного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 регламента предоставления муниципальной услуги «Принятие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 район Ямало-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Н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енецкого автономного округа»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, утвержденный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м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 Администрации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 района 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от 23 мая 2022 года № 185-П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72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72"/>
        <w:contextualSpacing/>
        <w:ind w:left="0" w:firstLine="708"/>
        <w:jc w:val="both"/>
        <w:spacing w:before="0" w:beforeAutospacing="0" w:after="0" w:afterAutospacing="0" w:line="240" w:lineRule="auto"/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1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В разделе 2: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r>
      <w:r/>
    </w:p>
    <w:p>
      <w:pPr>
        <w:pStyle w:val="872"/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1.1. 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В пункте 2.4.2 слова «посредством почтового отправления,» исключить;</w:t>
      </w:r>
      <w:r/>
    </w:p>
    <w:p>
      <w:pPr>
        <w:pStyle w:val="872"/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1.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2.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 В абзаце 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white"/>
        </w:rPr>
        <w:t xml:space="preserve">пятом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пункта 2.4.3 слова «по средствам» заменить словом «посредством»;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72"/>
        <w:contextualSpacing/>
        <w:ind w:left="709" w:firstLine="0"/>
        <w:jc w:val="both"/>
        <w:spacing w:before="0" w:beforeAutospacing="0"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none"/>
        </w:rPr>
        <w:t xml:space="preserve">1.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3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.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Пункты 2.6.2 - 2.6.3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изложить в следующей редакции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«2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.6.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2.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ab/>
        <w:t xml:space="preserve">Заявление (документы) представляются заявителем в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Отдел, структурное подразделение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Уполномоченн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ого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 орган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а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 одним из следующих способов: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-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 в электронной форме, в том числе с использованием Единого портала и/или Регионального портала (с момента реализации технической возможности);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strike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-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white"/>
        </w:rPr>
        <w:t xml:space="preserve"> при обращении в МФЦ (с момента вступления в силу соответствующего соглашения о взаимодействии с Администрацией Красноселькупского района).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bCs/>
          <w:strike w:val="0"/>
          <w:color w:val="000000" w:themeColor="text1"/>
          <w:sz w:val="28"/>
          <w:highlight w:val="white"/>
        </w:rPr>
        <w:t xml:space="preserve">2</w:t>
      </w:r>
      <w:r>
        <w:rPr>
          <w:rFonts w:ascii="Liberation Serif" w:hAnsi="Liberation Serif" w:eastAsia="Liberation Serif" w:cs="Liberation Serif"/>
          <w:bCs/>
          <w:strike w:val="0"/>
          <w:color w:val="000000" w:themeColor="text1"/>
          <w:sz w:val="28"/>
          <w:highlight w:val="white"/>
        </w:rPr>
        <w:t xml:space="preserve">.6.3. </w:t>
      </w:r>
      <w:r>
        <w:rPr>
          <w:rFonts w:ascii="Liberation Serif" w:hAnsi="Liberation Serif" w:eastAsia="Liberation Serif" w:cs="Liberation Serif"/>
          <w:bCs/>
          <w:strike w:val="0"/>
          <w:color w:val="000000" w:themeColor="text1"/>
          <w:sz w:val="28"/>
          <w:highlight w:val="white"/>
        </w:rPr>
        <w:t xml:space="preserve">В</w:t>
      </w:r>
      <w:r>
        <w:rPr>
          <w:rFonts w:ascii="Liberation Serif" w:hAnsi="Liberation Serif" w:eastAsia="Liberation Serif" w:cs="Liberation Serif"/>
          <w:bCs/>
          <w:strike w:val="0"/>
          <w:color w:val="000000" w:themeColor="text1"/>
          <w:sz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bCs/>
          <w:strike w:val="0"/>
          <w:color w:val="000000" w:themeColor="text1"/>
          <w:sz w:val="28"/>
          <w:highlight w:val="white"/>
        </w:rPr>
        <w:t xml:space="preserve">случае личного обращения заявителя либо е</w:t>
      </w:r>
      <w:r>
        <w:rPr>
          <w:rFonts w:ascii="Liberation Serif" w:hAnsi="Liberation Serif" w:eastAsia="Liberation Serif" w:cs="Liberation Serif"/>
          <w:bCs/>
          <w:strike w:val="0"/>
          <w:color w:val="000000" w:themeColor="text1"/>
          <w:sz w:val="28"/>
          <w:highlight w:val="white"/>
        </w:rPr>
        <w:t xml:space="preserve">го представителя в Отдел, структурные подразделения Уполномоченного органа с заявлением и документами, указанными в пункте 2.6.4 Отдел, структурные подразделения Уполномоченного органа обеспечивают им доступ к Единому порталу для подачи заявления и докумен</w:t>
      </w:r>
      <w:r>
        <w:rPr>
          <w:rFonts w:ascii="Liberation Serif" w:hAnsi="Liberation Serif" w:eastAsia="Liberation Serif" w:cs="Liberation Serif"/>
          <w:bCs/>
          <w:strike w:val="0"/>
          <w:color w:val="000000" w:themeColor="text1"/>
          <w:sz w:val="28"/>
          <w:highlight w:val="white"/>
        </w:rPr>
        <w:t xml:space="preserve">тов в электронной </w:t>
      </w:r>
      <w:r>
        <w:rPr>
          <w:rFonts w:ascii="Liberation Serif" w:hAnsi="Liberation Serif" w:eastAsia="Liberation Serif" w:cs="Liberation Serif"/>
          <w:bCs/>
          <w:strike w:val="0"/>
          <w:color w:val="000000" w:themeColor="text1"/>
          <w:sz w:val="28"/>
          <w:highlight w:val="white"/>
        </w:rPr>
        <w:t xml:space="preserve">форме.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  <w:highlight w:val="white"/>
        </w:rPr>
      </w:pP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1.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white"/>
        </w:rPr>
        <w:t xml:space="preserve">4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В пункте 2.6.4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left="709" w:firstLine="0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1.4.1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 подпункт 1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trike w:val="0"/>
          <w:color w:val="000000"/>
          <w:sz w:val="28"/>
          <w:highlight w:val="white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«1)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документ, удостоверяющий личность гражданина Российской Федерации, на заявителя и членов его семьи в возрасте от 14 лет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, представителя (в случае, если заявление подается представителем)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;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white"/>
        </w:rPr>
        <w:t xml:space="preserve">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trike w:val="0"/>
          <w:color w:val="000000"/>
          <w:sz w:val="28"/>
          <w:highlight w:val="white"/>
        </w:rPr>
        <w:suppressLineNumbers w:val="0"/>
      </w:pP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1.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4.2. подпункты 5 - 6 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  <w:suppressLineNumbers w:val="0"/>
      </w:pP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5)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сведения о наличии или отсутствии жилых помещений, принадлежащих заявителю и (или) членам его семьи, права на которые не зарегистрированы в Едином государственном реестре недвижимости, но оформлены до 31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января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1998 года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8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trike w:val="0"/>
          <w:color w:val="000000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6) 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согласие заявителя и всех членов его семьи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, а также представителя (в случае, если заявление подается представителем)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 на обработку персональных данных в соответствии с положениями</w:t>
      </w:r>
      <w:r>
        <w:rPr>
          <w:rFonts w:ascii="Liberation Serif" w:hAnsi="Liberation Serif" w:eastAsia="Liberation Serif" w:cs="Liberation Serif"/>
          <w:color w:val="000000" w:themeColor="text1"/>
          <w:sz w:val="28"/>
          <w:u w:val="none"/>
        </w:rPr>
        <w:t xml:space="preserve"> </w:t>
      </w:r>
      <w:hyperlink r:id="rId12" w:tooltip="https://internet.garant.ru/#/document/12148567/entry/0" w:history="1">
        <w:r>
          <w:rPr>
            <w:rStyle w:val="880"/>
            <w:rFonts w:ascii="Liberation Serif" w:hAnsi="Liberation Serif" w:eastAsia="Liberation Serif" w:cs="Liberation Serif"/>
            <w:color w:val="000000" w:themeColor="text1"/>
            <w:sz w:val="28"/>
            <w:u w:val="none"/>
          </w:rPr>
          <w:t xml:space="preserve">Федерального закона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u w:val="none"/>
        </w:rPr>
        <w:t xml:space="preserve"> от 2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7 июля 2006 года № 152-ФЗ «О персональных данных» 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(в случае подачи документов через Единый портал </w:t>
      </w:r>
      <w:r>
        <w:rPr>
          <w:rFonts w:ascii="Liberation Serif" w:hAnsi="Liberation Serif" w:eastAsia="Liberation Serif" w:cs="Liberation Serif"/>
          <w:color w:val="000000" w:themeColor="text1"/>
          <w:sz w:val="28"/>
          <w:u w:val="non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согласие на обработку персональных данных не требуется);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8"/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1.5. Д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ополнить пунктом 2.6.9 следующего содержания: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highlight w:val="none"/>
        </w:rPr>
        <w:t xml:space="preserve">2.6.9.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В случае направления заявления посредством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 </w:t>
      </w:r>
      <w:hyperlink r:id="rId13" w:tooltip="http://www.gosuslugi.ru/" w:history="1">
        <w:r>
          <w:rPr>
            <w:rStyle w:val="880"/>
            <w:rFonts w:ascii="Liberation Serif" w:hAnsi="Liberation Serif" w:eastAsia="Liberation Serif" w:cs="Liberation Serif"/>
            <w:color w:val="000000" w:themeColor="text1"/>
            <w:sz w:val="28"/>
            <w:highlight w:val="white"/>
            <w:u w:val="none"/>
          </w:rPr>
          <w:t xml:space="preserve">Единого портала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  <w:u w:val="none"/>
        </w:rPr>
        <w:t xml:space="preserve"> 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сведения из документа, удостоверяющего личность заявителя, членов его семьи, представителя,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могут быть проверены путем направления запроса с использованием системы межведомственного электронного взаимодействия.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  <w:u w:val="none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 </w:t>
      </w:r>
      <w:hyperlink r:id="rId14" w:tooltip="https://internet.garant.ru/#/document/12184522/entry/21" w:history="1">
        <w:r>
          <w:rPr>
            <w:rStyle w:val="880"/>
            <w:rFonts w:ascii="Liberation Serif" w:hAnsi="Liberation Serif" w:eastAsia="Liberation Serif" w:cs="Liberation Serif"/>
            <w:color w:val="000000" w:themeColor="text1"/>
            <w:sz w:val="28"/>
            <w:highlight w:val="none"/>
            <w:u w:val="none"/>
          </w:rPr>
          <w:t xml:space="preserve">электронной подписью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  <w:u w:val="none"/>
        </w:rPr>
        <w:t xml:space="preserve"> уполномоченного лица, выдавшего документ.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u w:val="none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  <w:u w:val="none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 </w:t>
      </w:r>
      <w:hyperlink r:id="rId15" w:tooltip="https://internet.garant.ru/#/document/12184522/entry/21" w:history="1">
        <w:r>
          <w:rPr>
            <w:rStyle w:val="880"/>
            <w:rFonts w:ascii="Liberation Serif" w:hAnsi="Liberation Serif" w:eastAsia="Liberation Serif" w:cs="Liberation Serif"/>
            <w:color w:val="000000" w:themeColor="text1"/>
            <w:sz w:val="28"/>
            <w:highlight w:val="none"/>
            <w:u w:val="none"/>
          </w:rPr>
          <w:t xml:space="preserve">электронной подписью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  <w:u w:val="none"/>
        </w:rPr>
        <w:t xml:space="preserve"> индивидуального предпринимателя.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  <w:u w:val="none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 </w:t>
      </w:r>
      <w:hyperlink r:id="rId16" w:tooltip="https://internet.garant.ru/#/document/12184522/entry/21" w:history="1">
        <w:r>
          <w:rPr>
            <w:rStyle w:val="880"/>
            <w:rFonts w:ascii="Liberation Serif" w:hAnsi="Liberation Serif" w:eastAsia="Liberation Serif" w:cs="Liberation Serif"/>
            <w:color w:val="000000" w:themeColor="text1"/>
            <w:sz w:val="28"/>
            <w:highlight w:val="none"/>
            <w:u w:val="none"/>
          </w:rPr>
          <w:t xml:space="preserve">электронной подписью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  <w:u w:val="none"/>
        </w:rPr>
        <w:t xml:space="preserve"> нотариуса, в иных случаях - подписанный простой </w:t>
      </w:r>
      <w:hyperlink r:id="rId17" w:tooltip="https://internet.garant.ru/#/document/12184522/entry/21" w:history="1">
        <w:r>
          <w:rPr>
            <w:rStyle w:val="880"/>
            <w:rFonts w:ascii="Liberation Serif" w:hAnsi="Liberation Serif" w:eastAsia="Liberation Serif" w:cs="Liberation Serif"/>
            <w:color w:val="000000" w:themeColor="text1"/>
            <w:sz w:val="28"/>
            <w:highlight w:val="none"/>
            <w:u w:val="none"/>
          </w:rPr>
          <w:t xml:space="preserve">электронной подпи</w:t>
        </w:r>
        <w:r>
          <w:rPr>
            <w:rStyle w:val="880"/>
            <w:rFonts w:ascii="Liberation Serif" w:hAnsi="Liberation Serif" w:eastAsia="Liberation Serif" w:cs="Liberation Serif"/>
            <w:color w:val="000000" w:themeColor="text1"/>
            <w:sz w:val="28"/>
            <w:highlight w:val="none"/>
            <w:u w:val="none"/>
          </w:rPr>
          <w:t xml:space="preserve">сью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  <w:u w:val="none"/>
        </w:rPr>
        <w:t xml:space="preserve">.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1.6.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Д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ополнить пунктом 2.6.10 следующего содержания: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«2.6.10.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Заявителем, при оформлении заявления 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предоставлении муниципа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льной услуги, вне зависимости от способа подачи такого заявления, может быть выбран канал взаимодействия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с </w:t>
      </w: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white"/>
          <w:lang w:eastAsia="en-US"/>
        </w:rPr>
        <w:t xml:space="preserve">Отделом, </w:t>
      </w: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white"/>
          <w:lang w:eastAsia="en-US"/>
        </w:rPr>
        <w:t xml:space="preserve">структурным подразделением </w:t>
      </w: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white"/>
          <w:lang w:eastAsia="en-US"/>
        </w:rPr>
        <w:t xml:space="preserve">Уполномоченного органа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в процессе предоставления муниципальной услуги для получения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уведомлений и способ получения результата муниципальной услуги: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ind w:firstLine="709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Cs w:val="28"/>
          <w:highlight w:val="white"/>
        </w:rPr>
      </w:pP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szCs w:val="28"/>
          <w:highlight w:val="white"/>
        </w:rPr>
        <w:t xml:space="preserve"> МФЦ;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ind w:firstLine="709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szCs w:val="28"/>
          <w:highlight w:val="white"/>
        </w:rPr>
        <w:t xml:space="preserve"> личное получение в ведомстве;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ind w:firstLine="709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szCs w:val="28"/>
          <w:highlight w:val="white"/>
        </w:rPr>
        <w:t xml:space="preserve">- заказное письмо;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ind w:firstLine="709"/>
        <w:jc w:val="both"/>
        <w:spacing w:after="0" w:afterAutospacing="0" w:line="240" w:lineRule="auto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szCs w:val="28"/>
          <w:highlight w:val="white"/>
        </w:rPr>
        <w:t xml:space="preserve">- электронная почта.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9"/>
        <w:jc w:val="both"/>
        <w:spacing w:after="0" w:afterAutospacing="0" w:line="240" w:lineRule="auto"/>
        <w:shd w:val="clear" w:color="ffffff" w:themeColor="background1" w:fill="ffffff" w:themeFill="background1"/>
        <w:tabs>
          <w:tab w:val="left" w:pos="1560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Уведомления о ходе предоставления государственной (муниципальной) услуги по выбору заявителя направляются на электронную почту заявителя или посредством смс-информирования по номеру телефона заявителя.</w:t>
      </w: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white"/>
        </w:rPr>
        <w:t xml:space="preserve">».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8"/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highlight w:val="none"/>
        </w:rPr>
      </w:pP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1.7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white"/>
        </w:rPr>
        <w:t xml:space="preserve">. 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white"/>
        </w:rPr>
        <w:t xml:space="preserve">Пункт 2.7.1 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дополнить подпунктом 6 следующего содержания: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8"/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highlight w:val="none"/>
        </w:rPr>
      </w:pP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6. С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ведения, подтверждающие наличие действующего удостоверения многодетной семьи (при необходимости)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strike w:val="0"/>
          <w:color w:val="000000" w:themeColor="text1"/>
          <w:sz w:val="28"/>
          <w:highlight w:val="none"/>
        </w:rPr>
        <w:t xml:space="preserve">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8"/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1.8.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Д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ополнить пунктом 2.8.5 следующего содержания: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 w:val="off"/>
        <w:tabs>
          <w:tab w:val="left" w:pos="567" w:leader="none"/>
          <w:tab w:val="left" w:pos="1560" w:leader="none"/>
        </w:tabs>
        <w:rPr>
          <w:rFonts w:ascii="Liberation Serif" w:hAnsi="Liberation Serif" w:eastAsia="Liberation Serif" w:cs="Liberation Serif"/>
          <w:i w:val="0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none"/>
        </w:rPr>
        <w:t xml:space="preserve">«2.8.5. 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В случае отказа в приеме документо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в у заявителя или в предоставлении заявителю муниципальной услуги Отдел, структурное подразделение Уполномоченного органа обязаны уведомлять заявителя о причинах, послуживших основанием таких отказов, с разъяснениями в понятной и доступной для заявителя фо</w:t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рме.</w:t>
      </w: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</w:rPr>
        <w:t xml:space="preserve">».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 w:val="off"/>
        <w:tabs>
          <w:tab w:val="left" w:pos="567" w:leader="none"/>
          <w:tab w:val="left" w:pos="1560" w:leader="none"/>
        </w:tabs>
        <w:rPr>
          <w:rFonts w:ascii="Liberation Serif" w:hAnsi="Liberation Serif" w:eastAsia="Liberation Serif" w:cs="Liberation Serif"/>
          <w:color w:val="000000"/>
          <w:szCs w:val="28"/>
        </w:rPr>
      </w:pP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none"/>
        </w:rPr>
        <w:t xml:space="preserve">1.9.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Пункт 2.14.1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изложить в следующей редакции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: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widowControl w:val="off"/>
        <w:tabs>
          <w:tab w:val="left" w:pos="567" w:leader="none"/>
          <w:tab w:val="left" w:pos="1560" w:leader="none"/>
        </w:tabs>
        <w:rPr>
          <w:rFonts w:ascii="Liberation Serif" w:hAnsi="Liberation Serif" w:eastAsia="Liberation Serif" w:cs="Liberation Serif"/>
          <w:i w:val="0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«2.14.1.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Показателями доступности и качества муниципальной услуги являются: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67"/>
        <w:jc w:val="both"/>
        <w:spacing w:after="0" w:afterAutospacing="0" w:line="240" w:lineRule="auto"/>
        <w:widowControl w:val="off"/>
        <w:tabs>
          <w:tab w:val="left" w:pos="1134" w:leader="none"/>
        </w:tabs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/>
          <w:sz w:val="24"/>
        </w:rPr>
      </w:r>
      <w:r>
        <w:rPr>
          <w:rFonts w:ascii="Liberation Serif" w:hAnsi="Liberation Serif" w:eastAsia="Liberation Serif" w:cs="Liberation Serif"/>
          <w:color w:val="000000"/>
          <w:sz w:val="24"/>
        </w:rPr>
      </w:r>
      <w:r/>
    </w:p>
    <w:p>
      <w:pPr>
        <w:ind w:firstLine="567"/>
        <w:jc w:val="both"/>
        <w:spacing w:after="0" w:afterAutospacing="0" w:line="240" w:lineRule="auto"/>
        <w:widowControl w:val="off"/>
        <w:tabs>
          <w:tab w:val="left" w:pos="1134" w:leader="none"/>
        </w:tabs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ascii="Liberation Serif" w:hAnsi="Liberation Serif" w:eastAsia="Liberation Serif" w:cs="Liberation Serif"/>
          <w:color w:val="000000" w:themeColor="text1"/>
          <w:sz w:val="24"/>
          <w:szCs w:val="2"/>
          <w:lang w:eastAsia="en-US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407"/>
        <w:gridCol w:w="1204"/>
        <w:gridCol w:w="1346"/>
      </w:tblGrid>
      <w:tr>
        <w:trPr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t xml:space="preserve">№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br/>
              <w:t xml:space="preserve">п/п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t xml:space="preserve">Единица 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br/>
              <w:t xml:space="preserve">измерения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t xml:space="preserve">Нормативное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br/>
              <w:t xml:space="preserve">значение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b/>
                <w:bCs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000000" w:themeColor="text1"/>
                <w:sz w:val="24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1.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1.1.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2.1.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3.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3.1.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ед.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3.2.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3.3.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3.4.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3.5.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4.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4.1.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не менее 95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5.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5.1.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- при получении результата муниципальной услуги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раз/минут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раз/минут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1/15 мин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1/15 мин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6.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6.1.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6.2.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6.3.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6.4.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6.5.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Оплата государственной пошлины за предоставление 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муниципальной  услуг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6.6.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6.7.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Получение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6.8.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6.9.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  <w:highlight w:val="white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7.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ab/>
              <w:t xml:space="preserve">Возможность получения муниципальной усл</w:t>
            </w:r>
            <w:r>
              <w:rPr>
                <w:rFonts w:ascii="Liberation Serif" w:hAnsi="Liberation Serif" w:eastAsia="Liberation Serif" w:cs="Liberation Serif"/>
                <w:bCs/>
                <w:strike w:val="0"/>
                <w:color w:val="000000" w:themeColor="text1"/>
                <w:sz w:val="24"/>
                <w:highlight w:val="white"/>
              </w:rPr>
              <w:t xml:space="preserve">уги</w:t>
            </w:r>
            <w:r>
              <w:rPr>
                <w:rFonts w:ascii="Liberation Serif" w:hAnsi="Liberation Serif" w:eastAsia="Liberation Serif" w:cs="Liberation Serif"/>
                <w:bCs/>
                <w:strike w:val="0"/>
                <w:color w:val="000000" w:themeColor="text1"/>
                <w:sz w:val="24"/>
                <w:highlight w:val="white"/>
              </w:rPr>
              <w:t xml:space="preserve"> в МФЦ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7.1.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 Красноселькупского района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7.2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Возможность либо невозможность получения муниципальной услуги в любом 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МФЦ  на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9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8.</w:t>
            </w: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ab/>
              <w:t xml:space="preserve">Иные показатели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0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8.1.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%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100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trHeight w:val="11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0" w:leader="none"/>
              </w:tabs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8.2.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0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муниципальной</w:t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</w:rPr>
              <w:t xml:space="preserve"> услуги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да/нет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eastAsia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eastAsia="Liberation Serif" w:cs="Liberation Serif"/>
                <w:bCs/>
                <w:color w:val="000000" w:themeColor="text1"/>
                <w:sz w:val="24"/>
              </w:rPr>
              <w:t xml:space="preserve">да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contextualSpacing/>
        <w:ind w:firstLine="0"/>
        <w:jc w:val="both"/>
        <w:spacing w:after="0" w:afterAutospacing="0" w:line="240" w:lineRule="auto"/>
        <w:widowControl w:val="off"/>
        <w:tabs>
          <w:tab w:val="left" w:pos="567" w:leader="none"/>
          <w:tab w:val="left" w:pos="1560" w:leader="none"/>
        </w:tabs>
        <w:rPr>
          <w:rFonts w:ascii="Liberation Serif" w:hAnsi="Liberation Serif" w:eastAsia="Liberation Serif" w:cs="Liberation Serif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none"/>
        </w:rPr>
        <w:tab/>
        <w:tab/>
        <w:tab/>
        <w:tab/>
        <w:tab/>
        <w:tab/>
        <w:tab/>
        <w:tab/>
        <w:tab/>
        <w:tab/>
        <w:tab/>
        <w:tab/>
        <w:tab/>
        <w:t xml:space="preserve">»;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tabs>
          <w:tab w:val="left" w:pos="567" w:leader="none"/>
          <w:tab w:val="left" w:pos="1560" w:leader="none"/>
        </w:tabs>
        <w:rPr>
          <w:rFonts w:ascii="Liberation Serif" w:hAnsi="Liberation Serif" w:eastAsia="Liberation Serif" w:cs="Liberation Serif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none"/>
        </w:rPr>
        <w:t xml:space="preserve">1.10. 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Дополнить пунктами 2.15.6 - 2.15.7 следующего содержания: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erif" w:hAnsi="Liberation Serif" w:eastAsia="Liberation Serif" w:cs="Liberation Serif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  <w:t xml:space="preserve">«2.15.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6. 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erif" w:hAnsi="Liberation Serif" w:eastAsia="Liberation Serif" w:cs="Liberation Serif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- обращения по адресу электронной почты: </w:t>
      </w:r>
      <w:hyperlink r:id="rId18" w:tooltip="mailto:official@krasnoselkupsky.yanao.ru" w:history="1">
        <w:r>
          <w:rPr>
            <w:rStyle w:val="880"/>
            <w:rFonts w:ascii="Liberation Serif" w:hAnsi="Liberation Serif" w:eastAsia="Liberation Serif" w:cs="Liberation Serif"/>
            <w:color w:val="000000" w:themeColor="text1"/>
            <w:sz w:val="27"/>
            <w:highlight w:val="white"/>
          </w:rPr>
          <w:t xml:space="preserve">official@krasnoselkupsky.yanao.ru</w:t>
        </w:r>
      </w:hyperlink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;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erif" w:hAnsi="Liberation Serif" w:eastAsia="Liberation Serif" w:cs="Liberation Serif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- иные (</w:t>
      </w:r>
      <w:r>
        <w:rPr>
          <w:rFonts w:ascii="Liberation Serif" w:hAnsi="Liberation Serif" w:eastAsia="Liberation Serif" w:cs="Liberation Serif"/>
          <w:bCs/>
          <w:i w:val="0"/>
          <w:color w:val="000000" w:themeColor="text1"/>
          <w:sz w:val="28"/>
          <w:highlight w:val="white"/>
        </w:rPr>
        <w:t xml:space="preserve">заказное письмо, при личном обращении в Уполномоченный орган)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erif" w:hAnsi="Liberation Serif" w:eastAsia="Liberation Serif" w:cs="Liberation Serif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tabs>
          <w:tab w:val="left" w:pos="1701" w:leader="none"/>
        </w:tabs>
        <w:rPr>
          <w:rFonts w:ascii="Liberation Serif" w:hAnsi="Liberation Serif" w:eastAsia="Liberation Serif" w:cs="Liberation Serif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2.15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.7. Уполномоченным органом не реже одного раза в пять лет проводится оптимизация процесса предоставления государственной (муниципальной) услуги путем проведения анализа клиентского пути, актуализации клиентских сегментов и их типовых потребностей и примене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ния предложений заявителей, поступающих по каналам обратной связи. В случаях, если за указанный пятилетний период обращения за предоставлением государственной (муниципальной) услуги в Уполномоченный орган не поступали оптимизация процесса не проводится.</w:t>
      </w:r>
      <w:r>
        <w:rPr>
          <w:rFonts w:ascii="Liberation Serif" w:hAnsi="Liberation Serif" w:eastAsia="Liberation Serif" w:cs="Liberation Serif"/>
          <w:color w:val="000000" w:themeColor="text1"/>
          <w:sz w:val="28"/>
          <w:highlight w:val="white"/>
        </w:rPr>
        <w:t xml:space="preserve">».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04"/>
        <w:contextualSpacing/>
        <w:ind w:firstLine="708"/>
        <w:jc w:val="both"/>
        <w:spacing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alibri">
    <w:panose1 w:val="020F0502020204030204"/>
  </w:font>
  <w:font w:name="Consultant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docPartObj>
        <w:docPartGallery w:val="Page Numbers (Top of Page)"/>
        <w:docPartUnique w:val="true"/>
      </w:docPartObj>
      <w:rPr/>
    </w:sdtPr>
    <w:sdtContent>
      <w:p>
        <w:pPr>
          <w:pStyle w:val="874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/>
      </w:p>
    </w:sdtContent>
  </w:sdt>
  <w:p>
    <w:pPr>
      <w:pStyle w:val="8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suff w:val="tab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59"/>
    <w:next w:val="859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basedOn w:val="862"/>
    <w:link w:val="688"/>
    <w:uiPriority w:val="9"/>
    <w:rPr>
      <w:rFonts w:ascii="Arial" w:hAnsi="Arial" w:eastAsia="Arial" w:cs="Arial"/>
      <w:sz w:val="40"/>
      <w:szCs w:val="40"/>
    </w:rPr>
  </w:style>
  <w:style w:type="character" w:styleId="690">
    <w:name w:val="Heading 2 Char"/>
    <w:basedOn w:val="862"/>
    <w:link w:val="860"/>
    <w:uiPriority w:val="9"/>
    <w:rPr>
      <w:rFonts w:ascii="Arial" w:hAnsi="Arial" w:eastAsia="Arial" w:cs="Arial"/>
      <w:sz w:val="34"/>
    </w:rPr>
  </w:style>
  <w:style w:type="character" w:styleId="691">
    <w:name w:val="Heading 3 Char"/>
    <w:basedOn w:val="862"/>
    <w:link w:val="861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59"/>
    <w:next w:val="859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62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59"/>
    <w:next w:val="859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2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59"/>
    <w:next w:val="859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2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59"/>
    <w:next w:val="859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2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59"/>
    <w:next w:val="859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59"/>
    <w:next w:val="859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2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No Spacing"/>
    <w:uiPriority w:val="1"/>
    <w:qFormat/>
    <w:pPr>
      <w:spacing w:before="0" w:after="0" w:line="240" w:lineRule="auto"/>
    </w:pPr>
  </w:style>
  <w:style w:type="paragraph" w:styleId="705">
    <w:name w:val="Title"/>
    <w:basedOn w:val="859"/>
    <w:next w:val="859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basedOn w:val="862"/>
    <w:link w:val="705"/>
    <w:uiPriority w:val="10"/>
    <w:rPr>
      <w:sz w:val="48"/>
      <w:szCs w:val="48"/>
    </w:rPr>
  </w:style>
  <w:style w:type="paragraph" w:styleId="707">
    <w:name w:val="Subtitle"/>
    <w:basedOn w:val="859"/>
    <w:next w:val="859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basedOn w:val="862"/>
    <w:link w:val="707"/>
    <w:uiPriority w:val="11"/>
    <w:rPr>
      <w:sz w:val="24"/>
      <w:szCs w:val="24"/>
    </w:rPr>
  </w:style>
  <w:style w:type="paragraph" w:styleId="709">
    <w:name w:val="Quote"/>
    <w:basedOn w:val="859"/>
    <w:next w:val="859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59"/>
    <w:next w:val="859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character" w:styleId="713">
    <w:name w:val="Header Char"/>
    <w:basedOn w:val="862"/>
    <w:link w:val="874"/>
    <w:uiPriority w:val="99"/>
  </w:style>
  <w:style w:type="character" w:styleId="714">
    <w:name w:val="Footer Char"/>
    <w:basedOn w:val="862"/>
    <w:link w:val="876"/>
    <w:uiPriority w:val="99"/>
  </w:style>
  <w:style w:type="paragraph" w:styleId="715">
    <w:name w:val="Caption"/>
    <w:basedOn w:val="859"/>
    <w:next w:val="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>
    <w:name w:val="Caption Char"/>
    <w:basedOn w:val="715"/>
    <w:link w:val="876"/>
    <w:uiPriority w:val="99"/>
  </w:style>
  <w:style w:type="table" w:styleId="717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2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2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</w:style>
  <w:style w:type="paragraph" w:styleId="860">
    <w:name w:val="Heading 2"/>
    <w:basedOn w:val="859"/>
    <w:next w:val="859"/>
    <w:link w:val="868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61">
    <w:name w:val="Heading 3"/>
    <w:basedOn w:val="860"/>
    <w:next w:val="859"/>
    <w:link w:val="865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character" w:styleId="865" w:customStyle="1">
    <w:name w:val="Заголовок 3 Знак"/>
    <w:basedOn w:val="862"/>
    <w:link w:val="861"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styleId="866">
    <w:name w:val="Body Text"/>
    <w:basedOn w:val="859"/>
    <w:link w:val="867"/>
    <w:uiPriority w:val="99"/>
    <w:semiHidden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867" w:customStyle="1">
    <w:name w:val="Основной текст Знак"/>
    <w:basedOn w:val="862"/>
    <w:link w:val="866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868" w:customStyle="1">
    <w:name w:val="Заголовок 2 Знак"/>
    <w:basedOn w:val="862"/>
    <w:link w:val="860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69">
    <w:name w:val="List Paragraph"/>
    <w:basedOn w:val="859"/>
    <w:uiPriority w:val="34"/>
    <w:qFormat/>
    <w:pPr>
      <w:contextualSpacing/>
      <w:ind w:left="720"/>
    </w:pPr>
  </w:style>
  <w:style w:type="paragraph" w:styleId="870">
    <w:name w:val="Balloon Text"/>
    <w:basedOn w:val="859"/>
    <w:link w:val="87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1" w:customStyle="1">
    <w:name w:val="Текст выноски Знак"/>
    <w:basedOn w:val="862"/>
    <w:link w:val="870"/>
    <w:uiPriority w:val="99"/>
    <w:semiHidden/>
    <w:rPr>
      <w:rFonts w:ascii="Tahoma" w:hAnsi="Tahoma" w:cs="Tahoma"/>
      <w:sz w:val="16"/>
      <w:szCs w:val="16"/>
    </w:rPr>
  </w:style>
  <w:style w:type="paragraph" w:styleId="872">
    <w:name w:val="Normal (Web)"/>
    <w:basedOn w:val="85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73" w:customStyle="1">
    <w:name w:val="ConsNormal"/>
    <w:pPr>
      <w:ind w:firstLine="720"/>
      <w:spacing w:after="0" w:line="240" w:lineRule="auto"/>
    </w:pPr>
    <w:rPr>
      <w:rFonts w:ascii="Consultant" w:hAnsi="Consultant" w:eastAsia="Times New Roman" w:cs="Consultant"/>
      <w:sz w:val="24"/>
      <w:szCs w:val="24"/>
    </w:rPr>
  </w:style>
  <w:style w:type="paragraph" w:styleId="874">
    <w:name w:val="Header"/>
    <w:basedOn w:val="859"/>
    <w:link w:val="8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5" w:customStyle="1">
    <w:name w:val="Верхний колонтитул Знак"/>
    <w:basedOn w:val="862"/>
    <w:link w:val="874"/>
    <w:uiPriority w:val="99"/>
  </w:style>
  <w:style w:type="paragraph" w:styleId="876">
    <w:name w:val="Footer"/>
    <w:basedOn w:val="859"/>
    <w:link w:val="8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7" w:customStyle="1">
    <w:name w:val="Нижний колонтитул Знак"/>
    <w:basedOn w:val="862"/>
    <w:link w:val="876"/>
    <w:uiPriority w:val="99"/>
  </w:style>
  <w:style w:type="character" w:styleId="878">
    <w:name w:val="Emphasis"/>
    <w:basedOn w:val="862"/>
    <w:uiPriority w:val="20"/>
    <w:qFormat/>
    <w:rPr>
      <w:i/>
      <w:iCs/>
    </w:rPr>
  </w:style>
  <w:style w:type="paragraph" w:styleId="879" w:customStyle="1">
    <w:name w:val="s_1"/>
    <w:basedOn w:val="8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80">
    <w:name w:val="Hyperlink"/>
    <w:basedOn w:val="862"/>
    <w:uiPriority w:val="99"/>
    <w:unhideWhenUsed/>
    <w:rPr>
      <w:color w:val="0000ff" w:themeColor="hyperlink"/>
      <w:u w:val="single"/>
    </w:rPr>
  </w:style>
  <w:style w:type="character" w:styleId="881" w:customStyle="1">
    <w:name w:val="Добавленный текст"/>
    <w:uiPriority w:val="99"/>
    <w:rPr>
      <w:color w:val="000000"/>
    </w:rPr>
  </w:style>
  <w:style w:type="character" w:styleId="882" w:customStyle="1">
    <w:name w:val="Гипертекстовая ссылка"/>
    <w:uiPriority w:val="99"/>
    <w:rPr>
      <w:b/>
      <w:bCs/>
      <w:color w:val="106bbe"/>
    </w:rPr>
  </w:style>
  <w:style w:type="table" w:styleId="883">
    <w:name w:val="Table Grid"/>
    <w:basedOn w:val="863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4" w:customStyle="1">
    <w:name w:val="List Paragraph1"/>
    <w:basedOn w:val="875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Relationship Id="rId12" Type="http://schemas.openxmlformats.org/officeDocument/2006/relationships/hyperlink" Target="https://internet.garant.ru/#/document/12148567/entry/0" TargetMode="External"/><Relationship Id="rId13" Type="http://schemas.openxmlformats.org/officeDocument/2006/relationships/hyperlink" Target="http://www.gosuslugi.ru/" TargetMode="External"/><Relationship Id="rId14" Type="http://schemas.openxmlformats.org/officeDocument/2006/relationships/hyperlink" Target="https://internet.garant.ru/#/document/12184522/entry/21" TargetMode="External"/><Relationship Id="rId15" Type="http://schemas.openxmlformats.org/officeDocument/2006/relationships/hyperlink" Target="https://internet.garant.ru/#/document/12184522/entry/21" TargetMode="External"/><Relationship Id="rId16" Type="http://schemas.openxmlformats.org/officeDocument/2006/relationships/hyperlink" Target="https://internet.garant.ru/#/document/12184522/entry/21" TargetMode="External"/><Relationship Id="rId17" Type="http://schemas.openxmlformats.org/officeDocument/2006/relationships/hyperlink" Target="https://internet.garant.ru/#/document/12184522/entry/21" TargetMode="External"/><Relationship Id="rId18" Type="http://schemas.openxmlformats.org/officeDocument/2006/relationships/hyperlink" Target="mailto:official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revision>323</cp:revision>
  <dcterms:created xsi:type="dcterms:W3CDTF">2021-12-20T05:29:00Z</dcterms:created>
  <dcterms:modified xsi:type="dcterms:W3CDTF">2023-10-19T04:36:40Z</dcterms:modified>
</cp:coreProperties>
</file>