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jc w:val="center"/>
        <w:outlineLvl w:val="0"/>
      </w:pPr>
      <w:r>
        <w:rPr>
          <w:rFonts w:ascii="Liberation Serif" w:hAnsi="Liberation Serif" w:cs="Liberation Seri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132561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3724" cy="735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8"/>
          <w:szCs w:val="28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eastAsia="Arial Unicode MS" w:cs="Liberation Serif"/>
          <w:b/>
          <w:sz w:val="28"/>
          <w:szCs w:val="28"/>
        </w:rPr>
      </w:r>
      <w:r/>
    </w:p>
    <w:p>
      <w:pPr>
        <w:pStyle w:val="867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67"/>
        <w:jc w:val="center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67"/>
        <w:jc w:val="left"/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13» сентября </w:t>
      </w:r>
      <w:r>
        <w:rPr>
          <w:rFonts w:ascii="Liberation Serif" w:hAnsi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/>
          <w:sz w:val="28"/>
          <w:szCs w:val="28"/>
        </w:rPr>
        <w:t xml:space="preserve">3 г.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№ </w:t>
      </w:r>
      <w:r>
        <w:rPr>
          <w:rFonts w:ascii="Liberation Serif" w:hAnsi="Liberation Serif" w:cs="Liberation Serif"/>
          <w:sz w:val="28"/>
          <w:szCs w:val="28"/>
        </w:rPr>
        <w:t xml:space="preserve">313-П</w:t>
      </w:r>
      <w:r/>
    </w:p>
    <w:p>
      <w:pPr>
        <w:pStyle w:val="867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установления причин нарушения законодательства о градостроительной деятельности на территории муниципального округа Красноселькупский район Ямало-Ненецкого автономного округа</w:t>
      </w:r>
      <w:r>
        <w:rPr>
          <w:sz w:val="24"/>
          <w:szCs w:val="24"/>
        </w:rPr>
      </w:r>
      <w:r/>
    </w:p>
    <w:p>
      <w:pPr>
        <w:pStyle w:val="867"/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/>
    </w:p>
    <w:p>
      <w:pPr>
        <w:pStyle w:val="867"/>
        <w:jc w:val="left"/>
        <w:rPr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sz w:val="24"/>
          <w:szCs w:val="24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В соответствии со статьей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  <w:t xml:space="preserve">постановляет:</w:t>
      </w:r>
      <w:r>
        <w:rPr>
          <w:sz w:val="24"/>
          <w:szCs w:val="24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 Утвердить прилагаемый Порядок установления причин нарушения законодательства о градостроительной деятельности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sz w:val="24"/>
          <w:szCs w:val="24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 Признать утратившим силу постановление Ад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министрации муниципального образования Красноселькупский район от  18.07.2016 № П-214 «Об утверждении Порядка установления причин нарушения законодательства о градостроительной деятельности на территории муниципального образования Красноселькупский район».</w:t>
      </w:r>
      <w:r>
        <w:rPr>
          <w:sz w:val="24"/>
          <w:szCs w:val="24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/>
          <w:sz w:val="28"/>
          <w:szCs w:val="28"/>
        </w:rPr>
        <w:t xml:space="preserve"> Опубликовать настоящее постановление в газете «Северный край» и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4"/>
          <w:szCs w:val="24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4"/>
          <w:szCs w:val="24"/>
        </w:rPr>
      </w:r>
      <w:r/>
    </w:p>
    <w:p>
      <w:pPr>
        <w:pStyle w:val="867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4"/>
          <w:szCs w:val="24"/>
        </w:rPr>
      </w:r>
      <w:r/>
    </w:p>
    <w:p>
      <w:pPr>
        <w:pStyle w:val="867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4"/>
          <w:szCs w:val="24"/>
        </w:rPr>
      </w:r>
      <w:r/>
    </w:p>
    <w:p>
      <w:pPr>
        <w:pStyle w:val="867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4"/>
          <w:szCs w:val="24"/>
        </w:rPr>
      </w:r>
      <w:r/>
    </w:p>
    <w:p>
      <w:pPr>
        <w:pStyle w:val="867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 района</w:t>
        <w:tab/>
        <w:tab/>
        <w:tab/>
        <w:tab/>
        <w:t xml:space="preserve"> </w:t>
        <w:tab/>
        <w:tab/>
        <w:t xml:space="preserve">       Ю.В. Фишер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67"/>
        <w:jc w:val="both"/>
        <w:rPr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67"/>
        <w:jc w:val="both"/>
        <w:rPr>
          <w:sz w:val="24"/>
          <w:szCs w:val="24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67"/>
        <w:ind w:left="5386" w:right="0" w:firstLine="0"/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Приложение </w:t>
      </w:r>
      <w:r/>
    </w:p>
    <w:p>
      <w:pPr>
        <w:pStyle w:val="867"/>
        <w:ind w:left="5386" w:right="0" w:firstLine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</w:r>
      <w:r/>
    </w:p>
    <w:p>
      <w:pPr>
        <w:pStyle w:val="867"/>
        <w:ind w:left="5386" w:right="0" w:firstLine="0"/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left="5386" w:right="0" w:firstLine="0"/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постановлением Администрации    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left="5386" w:right="0" w:firstLine="0"/>
        <w:jc w:val="both"/>
        <w:rPr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13»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сентября 2023 г. №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sz w:val="28"/>
          <w:szCs w:val="28"/>
          <w:highlight w:val="none"/>
        </w:rPr>
        <w:t xml:space="preserve">313-П</w:t>
      </w:r>
      <w:r>
        <w:rPr>
          <w:sz w:val="28"/>
          <w:szCs w:val="28"/>
        </w:rPr>
      </w:r>
    </w:p>
    <w:p>
      <w:pPr>
        <w:pStyle w:val="867"/>
        <w:ind w:left="4956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67"/>
        <w:ind w:left="4956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867"/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</w:rPr>
      </w:r>
      <w:r>
        <w:rPr>
          <w:b/>
          <w:bCs/>
          <w:sz w:val="28"/>
        </w:rPr>
        <w:t xml:space="preserve">ПОРЯДОК</w:t>
      </w:r>
      <w:r>
        <w:rPr>
          <w:b/>
          <w:bCs/>
        </w:rPr>
      </w:r>
      <w:r/>
    </w:p>
    <w:p>
      <w:pPr>
        <w:pStyle w:val="867"/>
        <w:jc w:val="center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highlight w:val="none"/>
        </w:rPr>
        <w:t xml:space="preserve">установления причин нарушения законодательства о градостроительной деятельности на территории муниципального округа Красноселькупский район Ямало-Ненецкого автономного округа</w:t>
      </w:r>
      <w:r>
        <w:rPr>
          <w:b w:val="0"/>
          <w:bCs w:val="0"/>
          <w:sz w:val="28"/>
          <w:highlight w:val="none"/>
        </w:rPr>
      </w:r>
      <w:r/>
    </w:p>
    <w:p>
      <w:pPr>
        <w:pStyle w:val="86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86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867"/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I. Общие положения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7"/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1.1. </w:t>
      </w:r>
      <w:r>
        <w:rPr>
          <w:rFonts w:ascii="Liberation Serif" w:hAnsi="Liberation Serif"/>
          <w:sz w:val="28"/>
          <w:szCs w:val="28"/>
        </w:rPr>
        <w:t xml:space="preserve">Настоящий Порядок установления причин нарушения законодательства о градостроительной деятельности на территории муниципального округа Красноселькупский район </w:t>
      </w:r>
      <w:r>
        <w:rPr>
          <w:rFonts w:ascii="Liberation Serif" w:hAnsi="Liberation Serif"/>
          <w:sz w:val="28"/>
          <w:szCs w:val="28"/>
        </w:rPr>
        <w:t xml:space="preserve">Ямало-Ненецкого автономного округа (далее – Порядок) разработан в соответствии с Градостроительным кодексом Российской Федерации и определяет Порядок установления причин нарушения законодательства о градостроительной деятельности на территории муниципально</w:t>
      </w:r>
      <w:r>
        <w:rPr>
          <w:rFonts w:ascii="Liberation Serif" w:hAnsi="Liberation Serif"/>
          <w:sz w:val="28"/>
          <w:szCs w:val="28"/>
        </w:rPr>
        <w:t xml:space="preserve">го округа Красноселькупский район Ямало-Ненецкого автономного округа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(далее-муниципальный округ),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орядок образования и деятельности технической комиссией по установлению причин нарушений законодательства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 о градостроительной деятельности (далее – техническая ко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миссия).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Настоящий Порядок распространяется на случаи, когда: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 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</w:t>
      </w:r>
      <w:r>
        <w:rPr>
          <w:rFonts w:ascii="Liberation Serif" w:hAnsi="Liberation Serif"/>
          <w:sz w:val="28"/>
          <w:szCs w:val="28"/>
        </w:rPr>
        <w:t xml:space="preserve">чиняется;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 в результате нарушения законодательства о градостроительной деятельности причинен вред жизни или здоровью физических лиц, имуществу физических или юридических лиц в процессе строительства (реконструкции, капитального ремонта) и эксплуатаци</w:t>
      </w:r>
      <w:r>
        <w:rPr>
          <w:rFonts w:ascii="Liberation Serif" w:hAnsi="Liberation Serif"/>
          <w:sz w:val="28"/>
          <w:szCs w:val="28"/>
        </w:rPr>
        <w:t xml:space="preserve">и объектов, не указанных в частях 2 и 3 статьи 62 Градостроительного кодекса Российской Федерации.</w:t>
      </w:r>
      <w:r>
        <w:rPr>
          <w:sz w:val="28"/>
          <w:szCs w:val="28"/>
        </w:rPr>
      </w:r>
      <w:r/>
    </w:p>
    <w:p>
      <w:pPr>
        <w:pStyle w:val="867"/>
        <w:ind w:left="0" w:right="0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 Причины нарушения законодательства о градостроительной деятельности устанавливаются в целях: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</w:t>
      </w:r>
      <w:r>
        <w:rPr>
          <w:rFonts w:ascii="Liberation Serif" w:hAnsi="Liberation Serif"/>
          <w:sz w:val="28"/>
          <w:szCs w:val="28"/>
        </w:rPr>
        <w:t xml:space="preserve"> определения </w:t>
      </w:r>
      <w:r>
        <w:rPr>
          <w:rFonts w:ascii="Liberation Serif" w:hAnsi="Liberation Serif"/>
          <w:sz w:val="28"/>
          <w:szCs w:val="28"/>
        </w:rPr>
        <w:t xml:space="preserve">лиц, которым причинен вред, а также размеров причиненного вреда;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</w:t>
      </w:r>
      <w:r>
        <w:rPr>
          <w:rFonts w:ascii="Liberation Serif" w:hAnsi="Liberation Serif"/>
          <w:sz w:val="28"/>
          <w:szCs w:val="28"/>
        </w:rPr>
        <w:t xml:space="preserve"> определения лиц, допустивших нарушения законодательства о градостроительной деятельности, и обстоятельств, указывающих на их виновность;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определения мероприятий по восстановлению благоприятных условий жизнедеятельности граждан. 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 Установление прич</w:t>
      </w:r>
      <w:r>
        <w:rPr>
          <w:rFonts w:ascii="Liberation Serif" w:hAnsi="Liberation Serif"/>
          <w:sz w:val="28"/>
          <w:szCs w:val="28"/>
        </w:rPr>
        <w:t xml:space="preserve">ин нарушения законодательства о градостроительной деятельности в случаях, указанных в </w:t>
      </w:r>
      <w:r>
        <w:rPr>
          <w:rFonts w:ascii="Liberation Serif" w:hAnsi="Liberation Serif"/>
          <w:sz w:val="28"/>
          <w:szCs w:val="28"/>
        </w:rPr>
        <w:t xml:space="preserve">подпункте 2 пункта 1.2 </w:t>
      </w:r>
      <w:r>
        <w:rPr>
          <w:rFonts w:ascii="Liberation Serif" w:hAnsi="Liberation Serif"/>
          <w:sz w:val="28"/>
          <w:szCs w:val="28"/>
        </w:rPr>
        <w:t xml:space="preserve">настоящего Порядка, обнаруженного при строительстве, реконструкции, капитально</w:t>
      </w:r>
      <w:r>
        <w:rPr>
          <w:rFonts w:ascii="Liberation Serif" w:hAnsi="Liberation Serif"/>
          <w:sz w:val="28"/>
          <w:szCs w:val="28"/>
        </w:rPr>
        <w:t xml:space="preserve">м ремонте объектов строительства, эксплуатации зданий, сооружений, проводится независимо от источников финансирования строительства, форм собственности и ведомственной принадлежности объектов и участников строительства.</w:t>
      </w:r>
      <w:r>
        <w:rPr>
          <w:sz w:val="28"/>
          <w:szCs w:val="28"/>
        </w:rPr>
      </w:r>
      <w:r/>
    </w:p>
    <w:p>
      <w:pPr>
        <w:pStyle w:val="8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7"/>
        <w:jc w:val="center"/>
        <w:rPr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II. Порядок</w:t>
      </w:r>
      <w:r>
        <w:rPr>
          <w:rFonts w:ascii="Liberation Serif" w:hAnsi="Liberation Serif"/>
          <w:b/>
          <w:sz w:val="28"/>
          <w:szCs w:val="28"/>
        </w:rPr>
        <w:t xml:space="preserve"> установления причин нарушения </w:t>
      </w:r>
      <w:r>
        <w:rPr>
          <w:rFonts w:ascii="Liberation Serif" w:hAnsi="Liberation Serif"/>
          <w:b/>
          <w:sz w:val="28"/>
          <w:szCs w:val="28"/>
        </w:rPr>
        <w:t xml:space="preserve">законодательства о градостроительной деятельности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7"/>
        <w:jc w:val="both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 Причины нарушений законодательства о градостроительной деятельности устанавливаются технической комиссией, создаваемой правовым актом Администрации Красноселькупского района.</w:t>
      </w:r>
      <w:r>
        <w:rPr>
          <w:rFonts w:ascii="Liberation Serif" w:hAnsi="Liberation Serif"/>
          <w:sz w:val="28"/>
          <w:szCs w:val="28"/>
        </w:rPr>
        <w:t xml:space="preserve"> Проект правового акта подготавливается отделом архитектуры и градостроительства Администрации Красноселькупского района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(далее - Отдел)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Техническая комиссия не является постоянно </w:t>
      </w:r>
      <w:r>
        <w:rPr>
          <w:rFonts w:ascii="Liberation Serif" w:hAnsi="Liberation Serif"/>
          <w:sz w:val="28"/>
          <w:szCs w:val="28"/>
        </w:rPr>
        <w:t xml:space="preserve">действующим органом и создается в каждом отдельном случае не позднее десяти суток со дня получения соответствующего основания либо выявления факта нарушения законодательства о градостроительной деятельности: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 сообщение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физического и (или) юридическог</w:t>
      </w:r>
      <w:r>
        <w:rPr>
          <w:rFonts w:ascii="Liberation Serif" w:hAnsi="Liberation Serif"/>
          <w:sz w:val="28"/>
          <w:szCs w:val="28"/>
        </w:rPr>
        <w:t xml:space="preserve">о лица либо их представителей о причинении вреда;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 сообщение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повлекшего за собой причине</w:t>
      </w:r>
      <w:r>
        <w:rPr>
          <w:rFonts w:ascii="Liberation Serif" w:hAnsi="Liberation Serif"/>
          <w:sz w:val="28"/>
          <w:szCs w:val="28"/>
        </w:rPr>
        <w:t xml:space="preserve">ние вреда;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 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 сведения о нарушении законодательств</w:t>
      </w:r>
      <w:r>
        <w:rPr>
          <w:rFonts w:ascii="Liberation Serif" w:hAnsi="Liberation Serif"/>
          <w:sz w:val="28"/>
          <w:szCs w:val="28"/>
        </w:rPr>
        <w:t xml:space="preserve">а о градостроительной деятельности, повлекшем за собой причинение вреда, полученные из других источников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(средств массовой информации (газеты, журналы, телеканалы), сеть Интернет).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2.3. </w:t>
      </w:r>
      <w:r>
        <w:rPr>
          <w:color w:val="000000" w:themeColor="text1"/>
          <w:sz w:val="28"/>
          <w:szCs w:val="28"/>
        </w:rPr>
        <w:t xml:space="preserve">Информация о случаях причинения вреда жизни или здоровью физических л</w:t>
      </w:r>
      <w:r>
        <w:rPr>
          <w:color w:val="000000" w:themeColor="text1"/>
          <w:sz w:val="28"/>
          <w:szCs w:val="28"/>
        </w:rPr>
        <w:t xml:space="preserve">иц, имуществу физических лиц и (или) юридических лиц в результате нарушения законодательства о градостроительной деятельности, содержащаяся в документах, предусмотренных</w:t>
      </w:r>
      <w:r>
        <w:rPr>
          <w:rFonts w:ascii="Liberation Serif" w:hAnsi="Liberation Serif"/>
          <w:sz w:val="28"/>
          <w:szCs w:val="28"/>
        </w:rPr>
        <w:t xml:space="preserve"> подпунктами 1– 4 пункта 2.2 настоящего Порядка</w:t>
      </w:r>
      <w:r>
        <w:rPr>
          <w:color w:val="000000" w:themeColor="text1"/>
          <w:sz w:val="28"/>
          <w:szCs w:val="28"/>
        </w:rPr>
        <w:t xml:space="preserve">, может содержать:</w:t>
      </w:r>
      <w:bookmarkStart w:id="0" w:name="undefined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1)</w:t>
      </w:r>
      <w:r>
        <w:rPr>
          <w:color w:val="000000" w:themeColor="text1"/>
          <w:sz w:val="28"/>
          <w:szCs w:val="28"/>
        </w:rPr>
        <w:t xml:space="preserve">наименование застройщика, заказчика, лица, осуществляющего строительство (реконструкцию, капитальный ремонт) объекта (в случае если работы осуществлялись по договору), лица, осу</w:t>
      </w:r>
      <w:r>
        <w:rPr>
          <w:color w:val="000000" w:themeColor="text1"/>
          <w:sz w:val="28"/>
          <w:szCs w:val="28"/>
        </w:rPr>
        <w:t xml:space="preserve">ществившего подготовку проектной документации, лица, осуществившего инженерные изыскания;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место расположения объекта </w:t>
      </w:r>
      <w:r>
        <w:rPr>
          <w:rFonts w:ascii="Liberation Serif" w:hAnsi="Liberation Serif"/>
          <w:sz w:val="28"/>
          <w:szCs w:val="28"/>
        </w:rPr>
        <w:t xml:space="preserve">(почтовый или строительный адрес);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время </w:t>
      </w:r>
      <w:r>
        <w:rPr>
          <w:rFonts w:ascii="Liberation Serif" w:hAnsi="Liberation Serif"/>
          <w:sz w:val="28"/>
          <w:szCs w:val="28"/>
        </w:rPr>
        <w:t xml:space="preserve">причинени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/>
          <w:sz w:val="28"/>
          <w:szCs w:val="28"/>
        </w:rPr>
        <w:t xml:space="preserve"> вреда;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 обстоятельства, послужившие нарушению законодательства о градостроительной деятел</w:t>
      </w:r>
      <w:r>
        <w:rPr>
          <w:rFonts w:ascii="Liberation Serif" w:hAnsi="Liberation Serif"/>
          <w:sz w:val="28"/>
          <w:szCs w:val="28"/>
        </w:rPr>
        <w:t xml:space="preserve">ьности, повлекшее за собой причинение вреда;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характер (имущественный, физический) причиненного вреда и размер его причинения;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сведения о вероятной причине</w:t>
      </w:r>
      <w:r>
        <w:rPr>
          <w:rFonts w:ascii="Liberation Serif" w:hAnsi="Liberation Serif"/>
          <w:sz w:val="28"/>
          <w:szCs w:val="28"/>
        </w:rPr>
        <w:t xml:space="preserve"> вреда;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сведения о пострадавших (в случае, если таковые имеются).</w:t>
      </w:r>
      <w:r>
        <w:rPr>
          <w:sz w:val="28"/>
          <w:szCs w:val="28"/>
        </w:rPr>
      </w:r>
      <w:r/>
    </w:p>
    <w:p>
      <w:pPr>
        <w:pStyle w:val="867"/>
        <w:ind w:left="0" w:firstLine="708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Отдел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проводит проверку информации, предусмотренной </w:t>
      </w:r>
      <w:r>
        <w:rPr>
          <w:rFonts w:ascii="Liberation Serif" w:hAnsi="Liberation Serif"/>
          <w:color w:val="000000" w:themeColor="text1"/>
          <w:sz w:val="28"/>
          <w:szCs w:val="28"/>
        </w:rPr>
        <w:fldChar w:fldCharType="begin"/>
      </w:r>
      <w:r>
        <w:rPr>
          <w:rFonts w:ascii="Liberation Serif" w:hAnsi="Liberation Serif"/>
          <w:color w:val="000000" w:themeColor="text1"/>
          <w:sz w:val="28"/>
          <w:szCs w:val="28"/>
        </w:rPr>
        <w:instrText xml:space="preserve">HYPERLINK "https://mobileonline.garant.ru/#/document/400737321/entry/22"</w:instrText>
      </w:r>
      <w:r>
        <w:rPr>
          <w:rFonts w:ascii="Liberation Serif" w:hAnsi="Liberation Serif"/>
          <w:color w:val="000000" w:themeColor="text1"/>
          <w:sz w:val="28"/>
          <w:szCs w:val="28"/>
        </w:rPr>
        <w:fldChar w:fldCharType="separate"/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пунктом 2.</w:t>
      </w:r>
      <w:r>
        <w:rPr>
          <w:rFonts w:ascii="Liberation Serif" w:hAnsi="Liberation Serif"/>
          <w:color w:val="000000" w:themeColor="text1"/>
          <w:sz w:val="28"/>
          <w:szCs w:val="28"/>
        </w:rPr>
        <w:fldChar w:fldCharType="end"/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3. настоящего Порядка, и не позднее 10 календарных дней с момента е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е получения готовит проект правового акта Администрации Красноселькупского района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образовании.</w:t>
      </w:r>
      <w:r>
        <w:rPr>
          <w:sz w:val="28"/>
          <w:szCs w:val="28"/>
        </w:rPr>
      </w:r>
      <w:r/>
    </w:p>
    <w:p>
      <w:pPr>
        <w:pStyle w:val="867"/>
        <w:ind w:left="0" w:firstLine="708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Правовой акт Администрации Красноселькупского района об образовании технической комиссии включает в себя: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867"/>
        <w:numPr>
          <w:ilvl w:val="0"/>
          <w:numId w:val="7"/>
        </w:numPr>
        <w:ind w:left="0" w:firstLine="708"/>
        <w:jc w:val="both"/>
        <w:tabs>
          <w:tab w:val="left" w:pos="992" w:leader="none"/>
        </w:tabs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основание и цель создания технической комиссии с кратким описанием нарушения законодательства о градостроительной деятельности и обстоятельств, повлекших необходимость создания технической комиссии;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867"/>
        <w:numPr>
          <w:ilvl w:val="0"/>
          <w:numId w:val="7"/>
        </w:numPr>
        <w:ind w:left="0" w:firstLine="708"/>
        <w:jc w:val="both"/>
        <w:tabs>
          <w:tab w:val="left" w:pos="992" w:leader="none"/>
        </w:tabs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состав технической комиссии;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867"/>
        <w:numPr>
          <w:ilvl w:val="0"/>
          <w:numId w:val="7"/>
        </w:numPr>
        <w:ind w:left="0" w:firstLine="708"/>
        <w:jc w:val="both"/>
        <w:tabs>
          <w:tab w:val="left" w:pos="992" w:leader="none"/>
        </w:tabs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срок работы технической комиссии для установления причин нарушения законодательства, который не должен превышать два месяца.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Отказ в образовании те</w:t>
      </w:r>
      <w:r>
        <w:rPr>
          <w:rFonts w:ascii="Liberation Serif" w:hAnsi="Liberation Serif"/>
          <w:sz w:val="28"/>
          <w:szCs w:val="28"/>
        </w:rPr>
        <w:t xml:space="preserve">хнической комиссии допускается в следующих случаях: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не подтверждение</w:t>
      </w:r>
      <w:r>
        <w:rPr>
          <w:color w:val="000000" w:themeColor="text1"/>
          <w:sz w:val="28"/>
          <w:szCs w:val="28"/>
        </w:rPr>
        <w:t xml:space="preserve"> указанных в заявлении работ, в результате которых причинен вред жизни или здоровью физическим лицам, имуществу физических или юридических лиц;</w:t>
      </w:r>
      <w:r>
        <w:rPr>
          <w:sz w:val="28"/>
          <w:szCs w:val="28"/>
        </w:rPr>
      </w:r>
      <w:r/>
    </w:p>
    <w:p>
      <w:pPr>
        <w:pStyle w:val="867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 отсутствие вреда, причиненного физическому и (или) юридическому лицу;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причинение вреда жизни или здоровью физических лиц, имуществу физических или юридических лиц</w:t>
      </w:r>
      <w:r>
        <w:rPr>
          <w:color w:val="000000" w:themeColor="text1"/>
          <w:sz w:val="28"/>
          <w:szCs w:val="28"/>
        </w:rPr>
        <w:t xml:space="preserve"> в результате нарушения законодательства о градостроительной деятельности в отношении объектов, указанных в частях 2 и 3 статьи 62 Градостроительного кодекса Российской Федерации.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правового акта Администрации Красноселькупского района</w:t>
      </w:r>
      <w:r>
        <w:rPr>
          <w:color w:val="fb290d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 отказе в образовании технической комиссии в течение 10 рабочих дней после его принятия направляется </w:t>
      </w:r>
      <w:r>
        <w:rPr>
          <w:rFonts w:ascii="Liberation Serif" w:hAnsi="Liberation Serif"/>
          <w:sz w:val="28"/>
          <w:szCs w:val="28"/>
        </w:rPr>
        <w:t xml:space="preserve">лицу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(органу)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сообщившему</w:t>
      </w:r>
      <w:r>
        <w:rPr>
          <w:rFonts w:ascii="Liberation Serif" w:hAnsi="Liberation Serif"/>
          <w:sz w:val="28"/>
          <w:szCs w:val="28"/>
        </w:rPr>
        <w:t xml:space="preserve"> о </w:t>
      </w:r>
      <w:r>
        <w:rPr>
          <w:rFonts w:ascii="Liberation Serif" w:hAnsi="Liberation Serif"/>
          <w:sz w:val="28"/>
          <w:szCs w:val="28"/>
        </w:rPr>
        <w:t xml:space="preserve">выявлени</w:t>
      </w:r>
      <w:r>
        <w:rPr>
          <w:rFonts w:ascii="Liberation Serif" w:hAnsi="Liberation Serif"/>
          <w:sz w:val="28"/>
          <w:szCs w:val="28"/>
        </w:rPr>
        <w:t xml:space="preserve">и</w:t>
      </w:r>
      <w:r>
        <w:rPr>
          <w:rFonts w:ascii="Liberation Serif" w:hAnsi="Liberation Serif"/>
          <w:sz w:val="28"/>
          <w:szCs w:val="28"/>
        </w:rPr>
        <w:t xml:space="preserve"> факта нарушения законодательства о градостроительной деятельности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Состав комиссии формируется из числа высококвалифицированных специалистов в области градостроительства, архитектуры, капитального строительства, жилищно-коммунального хозяйства, гражданской обороны и чрезвычайным ситуациям.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Техническую комиссию возгла</w:t>
      </w:r>
      <w:r>
        <w:rPr>
          <w:rFonts w:ascii="Liberation Serif" w:hAnsi="Liberation Serif"/>
          <w:sz w:val="28"/>
          <w:szCs w:val="28"/>
        </w:rPr>
        <w:t xml:space="preserve">вляет первый заместитель Главы Администрации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2.6. </w:t>
      </w:r>
      <w:r>
        <w:rPr>
          <w:rFonts w:ascii="Liberation Serif" w:hAnsi="Liberation Serif"/>
          <w:sz w:val="28"/>
          <w:szCs w:val="28"/>
        </w:rPr>
        <w:t xml:space="preserve">В качестве наблюдателей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работе технической комиссии</w:t>
      </w:r>
      <w:r>
        <w:rPr>
          <w:rFonts w:ascii="Liberation Serif" w:hAnsi="Liberation Serif"/>
          <w:color w:val="fb290d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при установлении причин нарушения законодательства, в результате которого причинен вред, могут принимать участие заинтересованные лица (застройщик, технический заказчик, лицо, выполняющее инженерные изыскания, лицо, осуществляющее подготовку проектной доку</w:t>
      </w:r>
      <w:r>
        <w:rPr>
          <w:rFonts w:ascii="Liberation Serif" w:hAnsi="Liberation Serif"/>
          <w:sz w:val="28"/>
          <w:szCs w:val="28"/>
        </w:rPr>
        <w:t xml:space="preserve">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Заинтересованные лиц</w:t>
      </w:r>
      <w:r>
        <w:rPr>
          <w:rFonts w:ascii="Liberation Serif" w:hAnsi="Liberation Serif"/>
          <w:sz w:val="28"/>
          <w:szCs w:val="28"/>
        </w:rPr>
        <w:t xml:space="preserve">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</w:t>
      </w:r>
      <w:r>
        <w:rPr>
          <w:rFonts w:ascii="Liberation Serif" w:hAnsi="Liberation Serif"/>
          <w:sz w:val="28"/>
          <w:szCs w:val="28"/>
        </w:rPr>
        <w:t xml:space="preserve">каний, выполнением работ по проектированию, строительству, реконструкции, капитальному ремонту, осуществлением эксплуатации здания, сооружения, а также образцы (пробы) применяемых строительных материалов (конструкций).</w:t>
      </w:r>
      <w:r>
        <w:rPr>
          <w:sz w:val="28"/>
          <w:szCs w:val="28"/>
        </w:rPr>
      </w:r>
      <w:r/>
    </w:p>
    <w:p>
      <w:pPr>
        <w:pStyle w:val="867"/>
        <w:jc w:val="center"/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/>
          <w:b/>
          <w:sz w:val="28"/>
          <w:szCs w:val="28"/>
          <w:highlight w:val="none"/>
        </w:rPr>
      </w:r>
      <w:r>
        <w:rPr>
          <w:rFonts w:ascii="Liberation Serif" w:hAnsi="Liberation Serif"/>
          <w:b/>
          <w:sz w:val="28"/>
          <w:szCs w:val="28"/>
          <w:highlight w:val="none"/>
        </w:rPr>
      </w:r>
      <w:r/>
    </w:p>
    <w:p>
      <w:pPr>
        <w:pStyle w:val="867"/>
        <w:jc w:val="center"/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/>
          <w:b/>
          <w:sz w:val="28"/>
          <w:szCs w:val="28"/>
        </w:rPr>
        <w:t xml:space="preserve">III. Порядок работы технической комисс</w:t>
      </w:r>
      <w:r>
        <w:rPr>
          <w:rFonts w:ascii="Liberation Serif" w:hAnsi="Liberation Serif"/>
          <w:b/>
          <w:sz w:val="28"/>
          <w:szCs w:val="28"/>
        </w:rPr>
        <w:t xml:space="preserve">ии</w:t>
      </w:r>
      <w:r>
        <w:rPr>
          <w:sz w:val="28"/>
          <w:szCs w:val="28"/>
        </w:rPr>
      </w:r>
      <w:r/>
    </w:p>
    <w:p>
      <w:pPr>
        <w:pStyle w:val="867"/>
        <w:jc w:val="both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 Для установления причин нарушения законодательства о градостроительной деятельности техническая комиссия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осуществляет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3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осмотр объекта капитального строительства, а также имущ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3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истребование</w:t>
      </w:r>
      <w:r>
        <w:rPr>
          <w:rFonts w:ascii="Liberation Serif" w:hAnsi="Liberation Serif"/>
          <w:color w:val="fb290d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 физических и юридических лиц </w:t>
      </w:r>
      <w:r>
        <w:rPr>
          <w:rFonts w:ascii="Liberation Serif" w:hAnsi="Liberation Serif"/>
          <w:sz w:val="28"/>
          <w:szCs w:val="28"/>
        </w:rPr>
        <w:t xml:space="preserve">необходимые для установления причин нарушения законодательства о градостроительной деятельности документы, изучает и анализирует их</w:t>
      </w:r>
      <w:r>
        <w:rPr>
          <w:rFonts w:ascii="Liberation Serif" w:hAnsi="Liberation Serif"/>
          <w:color w:val="fb290d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 дает оценку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3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получение документов, справок, сведений, а также разъяснений от физических и (или) юридических лиц, которым</w:t>
      </w:r>
      <w:r>
        <w:rPr>
          <w:rFonts w:ascii="Liberation Serif" w:hAnsi="Liberation Serif"/>
          <w:sz w:val="28"/>
          <w:szCs w:val="28"/>
        </w:rPr>
        <w:t xml:space="preserve"> причинен вред, иных представителей граждан и их объединений;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3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выполняет другие работы, необходимые для установления причин нарушения законодательства о градостроительной деятельности.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Деятельностью технической комиссии руководит председатель, который при</w:t>
      </w:r>
      <w:r>
        <w:rPr>
          <w:rFonts w:ascii="Liberation Serif" w:hAnsi="Liberation Serif"/>
          <w:sz w:val="28"/>
          <w:szCs w:val="28"/>
        </w:rPr>
        <w:t xml:space="preserve">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отсутствие председателя его обязанности выполняет заместитель председателя - начальник отдела архитектуры и градостроительства</w:t>
      </w:r>
      <w:r>
        <w:rPr>
          <w:rFonts w:ascii="Liberation Serif" w:hAnsi="Liberation Serif"/>
          <w:sz w:val="28"/>
          <w:szCs w:val="28"/>
        </w:rPr>
        <w:t xml:space="preserve"> Администрации Красноселькупского района.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</w:t>
      </w:r>
      <w:r>
        <w:rPr>
          <w:rFonts w:ascii="Liberation Serif" w:hAnsi="Liberation Serif"/>
          <w:sz w:val="28"/>
          <w:szCs w:val="28"/>
        </w:rPr>
        <w:t xml:space="preserve">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Периодичность проведения заседаний технической комиссии определяется председателем исходя из необхо</w:t>
      </w:r>
      <w:r>
        <w:rPr>
          <w:rFonts w:ascii="Liberation Serif" w:hAnsi="Liberation Serif"/>
          <w:sz w:val="28"/>
          <w:szCs w:val="28"/>
        </w:rPr>
        <w:t xml:space="preserve">димости. </w:t>
      </w:r>
      <w:r>
        <w:rPr>
          <w:rFonts w:ascii="Liberation Serif" w:hAnsi="Liberation Serif"/>
          <w:sz w:val="28"/>
          <w:szCs w:val="28"/>
        </w:rPr>
        <w:t xml:space="preserve"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</w:t>
      </w:r>
      <w:r>
        <w:rPr>
          <w:rFonts w:ascii="Liberation Serif" w:hAnsi="Liberation Serif"/>
          <w:sz w:val="28"/>
          <w:szCs w:val="28"/>
        </w:rPr>
        <w:t xml:space="preserve">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</w:t>
      </w:r>
      <w:r>
        <w:rPr>
          <w:rFonts w:ascii="Liberation Serif" w:hAnsi="Liberation Serif"/>
          <w:sz w:val="28"/>
          <w:szCs w:val="28"/>
        </w:rPr>
        <w:t xml:space="preserve">шения, выполнения иных</w:t>
      </w:r>
      <w:r>
        <w:rPr>
          <w:rFonts w:ascii="Liberation Serif" w:hAnsi="Liberation Serif"/>
          <w:sz w:val="28"/>
          <w:szCs w:val="28"/>
        </w:rPr>
        <w:t xml:space="preserve"> действий, </w:t>
      </w:r>
      <w:r>
        <w:rPr>
          <w:rFonts w:ascii="Liberation Serif" w:hAnsi="Liberation Serif"/>
          <w:sz w:val="28"/>
          <w:szCs w:val="28"/>
        </w:rPr>
        <w:t xml:space="preserve">необходимых для реализации функций, указанных в </w:t>
      </w:r>
      <w:r>
        <w:rPr>
          <w:rFonts w:ascii="Liberation Serif" w:hAnsi="Liberation Serif"/>
          <w:sz w:val="28"/>
          <w:szCs w:val="28"/>
        </w:rPr>
        <w:t xml:space="preserve">пункте 3.1</w:t>
      </w:r>
      <w:r>
        <w:rPr>
          <w:rFonts w:ascii="Liberation Serif" w:hAnsi="Liberation Serif"/>
          <w:sz w:val="28"/>
          <w:szCs w:val="28"/>
        </w:rPr>
        <w:t xml:space="preserve"> настоящего Порядка.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 Технической комиссии принимается путем проведения открытого голосов</w:t>
      </w:r>
      <w:r>
        <w:rPr>
          <w:rFonts w:ascii="Liberation Serif" w:hAnsi="Liberation Serif"/>
          <w:sz w:val="28"/>
          <w:szCs w:val="28"/>
        </w:rPr>
        <w:t xml:space="preserve">ания большинством голосов от общего числа членов Технической комиссии, присутствующих на заседании, проводимого в очной (заочной) форме, и оформляется протоколом, который подписывает председатель Технической комиссии, а в его отсутствие - заместитель, пред</w:t>
      </w:r>
      <w:r>
        <w:rPr>
          <w:rFonts w:ascii="Liberation Serif" w:hAnsi="Liberation Serif"/>
          <w:sz w:val="28"/>
          <w:szCs w:val="28"/>
        </w:rPr>
        <w:t xml:space="preserve">седательствующий на заседании. В случае равенства голосов голос председательствующего является решающим.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Заседание технической комиссии считается правомочным, если в нем принимают участие более половины ее членов.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Обеспечение деятельности технической комис</w:t>
      </w:r>
      <w:r>
        <w:rPr>
          <w:rFonts w:ascii="Liberation Serif" w:hAnsi="Liberation Serif"/>
          <w:sz w:val="28"/>
          <w:szCs w:val="28"/>
        </w:rPr>
        <w:t xml:space="preserve">сии возлагается на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Отдел</w:t>
      </w:r>
      <w:r>
        <w:rPr>
          <w:rFonts w:ascii="Liberation Serif" w:hAnsi="Liberation Serif"/>
          <w:sz w:val="28"/>
          <w:szCs w:val="28"/>
        </w:rPr>
        <w:t xml:space="preserve">, который осуществляет: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4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своевременную подготовку проектов правовых актов Администрации Красноселькупского района о создании технической комиссии и об утверждении</w:t>
      </w:r>
      <w:r>
        <w:rPr>
          <w:rFonts w:ascii="Liberation Serif" w:hAnsi="Liberation Serif"/>
          <w:sz w:val="28"/>
          <w:szCs w:val="28"/>
        </w:rPr>
        <w:t xml:space="preserve"> ее заключения;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4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материально-техническое обеспечение ее деятельности;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4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опубликование заключения технической комиссии.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 По результатам работы </w:t>
      </w:r>
      <w:r>
        <w:rPr>
          <w:sz w:val="28"/>
          <w:szCs w:val="28"/>
        </w:rPr>
        <w:t xml:space="preserve">в</w:t>
      </w:r>
      <w:r>
        <w:rPr>
          <w:color w:val="fb290d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установленный правовым актом Администрации Красноселькупского район</w:t>
      </w:r>
      <w:r>
        <w:rPr>
          <w:color w:val="000000" w:themeColor="text1"/>
          <w:sz w:val="28"/>
          <w:szCs w:val="28"/>
        </w:rPr>
        <w:t xml:space="preserve">а о ее</w:t>
      </w:r>
      <w:r>
        <w:rPr>
          <w:color w:val="000000" w:themeColor="text1"/>
          <w:sz w:val="28"/>
          <w:szCs w:val="28"/>
        </w:rPr>
        <w:t xml:space="preserve"> создании срок</w:t>
      </w:r>
      <w:r>
        <w:rPr>
          <w:color w:val="000000" w:themeColor="text1"/>
          <w:sz w:val="28"/>
          <w:szCs w:val="28"/>
        </w:rPr>
        <w:t xml:space="preserve">,</w:t>
      </w:r>
      <w:r>
        <w:rPr>
          <w:sz w:val="28"/>
          <w:szCs w:val="28"/>
        </w:rPr>
        <w:t xml:space="preserve"> технической комиссией </w:t>
      </w:r>
      <w:r>
        <w:rPr>
          <w:rFonts w:ascii="Liberation Serif" w:hAnsi="Liberation Serif"/>
          <w:sz w:val="28"/>
          <w:szCs w:val="28"/>
        </w:rPr>
        <w:t xml:space="preserve"> составляется заключение, содержащее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следующие</w:t>
      </w:r>
      <w:r>
        <w:rPr>
          <w:rFonts w:ascii="Liberation Serif" w:hAnsi="Liberation Serif"/>
          <w:color w:val="fb290d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выводы: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5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причинах нарушения законодательства, размере причиненного вреда жизни или здоровью физических лиц, имуществу физических или юридических лиц (в случае, когда такой вред был </w:t>
      </w:r>
      <w:r>
        <w:rPr>
          <w:rFonts w:ascii="Liberation Serif" w:hAnsi="Liberation Serif"/>
          <w:sz w:val="28"/>
          <w:szCs w:val="28"/>
        </w:rPr>
        <w:t xml:space="preserve">причинен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) и его размерах;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5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обстоятельствах, указывающих на виновность лиц;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5"/>
        </w:num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необходимых мерах по восстановлению благоприятных условий жизнедеятельности человека.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 Заключение технической комиссии, подписанное всеми членами технической комиссии, у</w:t>
      </w:r>
      <w:r>
        <w:rPr>
          <w:rFonts w:ascii="Liberation Serif" w:hAnsi="Liberation Serif"/>
          <w:sz w:val="28"/>
          <w:szCs w:val="28"/>
        </w:rPr>
        <w:t xml:space="preserve">тверждается ее председателем и в течение пяти дней после утверждения: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6"/>
        </w:numPr>
        <w:ind w:firstLine="708"/>
        <w:jc w:val="both"/>
        <w:tabs>
          <w:tab w:val="left" w:pos="992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направляется лицу, допустившему нарушение законодательства о градостроительной деятельности, для устранения выявленных нарушений; 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6"/>
        </w:numPr>
        <w:ind w:firstLine="708"/>
        <w:jc w:val="both"/>
        <w:tabs>
          <w:tab w:val="left" w:pos="992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лицу, пострадавшему в результате таких нарушений;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6"/>
        </w:numPr>
        <w:ind w:firstLine="708"/>
        <w:jc w:val="both"/>
        <w:tabs>
          <w:tab w:val="left" w:pos="992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если нарушения законодательства о градостроительной деятельности допущены в процессе строительства (реконструкции, капитального ремонта) и эксплуатации объектов, в отношении которых осуществляется государственный строительный надзор, экземпляр за</w:t>
      </w:r>
      <w:r>
        <w:rPr>
          <w:rFonts w:ascii="Liberation Serif" w:hAnsi="Liberation Serif"/>
          <w:sz w:val="28"/>
          <w:szCs w:val="28"/>
        </w:rPr>
        <w:t xml:space="preserve">ключения направляется в органы государственного строительного надзора;</w:t>
      </w:r>
      <w:r>
        <w:rPr>
          <w:sz w:val="28"/>
          <w:szCs w:val="28"/>
        </w:rPr>
      </w:r>
      <w:r/>
    </w:p>
    <w:p>
      <w:pPr>
        <w:pStyle w:val="867"/>
        <w:numPr>
          <w:ilvl w:val="0"/>
          <w:numId w:val="6"/>
        </w:numPr>
        <w:ind w:firstLine="708"/>
        <w:jc w:val="both"/>
        <w:tabs>
          <w:tab w:val="left" w:pos="992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подлежит обязательному опубликованию в газете «</w:t>
      </w:r>
      <w:r>
        <w:rPr>
          <w:rFonts w:ascii="Liberation Serif" w:hAnsi="Liberation Serif"/>
          <w:sz w:val="28"/>
          <w:szCs w:val="28"/>
        </w:rPr>
        <w:t xml:space="preserve">Северный край</w:t>
      </w:r>
      <w:r>
        <w:rPr>
          <w:rFonts w:ascii="Liberation Serif" w:hAnsi="Liberation Serif"/>
          <w:sz w:val="28"/>
          <w:szCs w:val="28"/>
        </w:rPr>
        <w:t xml:space="preserve">» и размещению на официальном сайте муниципального округа Красноселькупский айон Ямало-Ненецкого автономного округа.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Один экземпляр заключения хранится в деле о </w:t>
      </w:r>
      <w:r>
        <w:rPr>
          <w:rFonts w:ascii="Liberation Serif" w:hAnsi="Liberation Serif"/>
          <w:sz w:val="28"/>
          <w:szCs w:val="28"/>
        </w:rPr>
        <w:t xml:space="preserve">рассмотрении нарушений законодательства о градостроительной деятельности 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Отделе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 Лица, указанные в пунктах 2.5-2.6</w:t>
      </w:r>
      <w:r>
        <w:rPr>
          <w:rFonts w:ascii="Liberation Serif" w:hAnsi="Liberation Serif"/>
          <w:sz w:val="28"/>
          <w:szCs w:val="28"/>
        </w:rPr>
        <w:t xml:space="preserve"> настоящего Порядка, в случае несогласия с заключением технической комиссии могут оспорить его в судебном порядке.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3.5. В случае установления технической комиссией фактов административных правонарушений комиссия направляет информацию </w:t>
      </w:r>
      <w:r>
        <w:rPr>
          <w:rFonts w:ascii="Liberation Serif" w:hAnsi="Liberation Serif"/>
          <w:sz w:val="28"/>
          <w:szCs w:val="28"/>
        </w:rPr>
        <w:t xml:space="preserve">в соответствующие госу</w:t>
      </w:r>
      <w:r>
        <w:rPr>
          <w:rFonts w:ascii="Liberation Serif" w:hAnsi="Liberation Serif"/>
          <w:sz w:val="28"/>
          <w:szCs w:val="28"/>
        </w:rPr>
        <w:t xml:space="preserve">дарственные надзорные органы для решения вопроса о привлечении виновных лиц к административной ответственности в порядке</w:t>
      </w:r>
      <w:r>
        <w:rPr>
          <w:rFonts w:ascii="Liberation Serif" w:hAnsi="Liberation Serif"/>
          <w:sz w:val="28"/>
          <w:szCs w:val="28"/>
        </w:rPr>
        <w:t xml:space="preserve">, установленном законом.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3.6. На основании заключения технической комиссии и с учетом ее рекомендаций лицо, допустившее нарушения законо</w:t>
      </w:r>
      <w:r>
        <w:rPr>
          <w:rFonts w:ascii="Liberation Serif" w:hAnsi="Liberation Serif"/>
          <w:sz w:val="28"/>
          <w:szCs w:val="28"/>
        </w:rPr>
        <w:t xml:space="preserve">дательства о градостроительной деятельности, в месячный срок разрабатывает конкретные мероприятия по устранению допущенных нарушений и предотвращению подобных нарушений в дальнейшем и предоставляет их председателю технической комиссии.</w:t>
      </w:r>
      <w:r>
        <w:rPr>
          <w:sz w:val="28"/>
          <w:szCs w:val="28"/>
        </w:rPr>
      </w:r>
      <w:r/>
    </w:p>
    <w:p>
      <w:pPr>
        <w:pStyle w:val="867"/>
        <w:ind w:firstLine="708"/>
        <w:jc w:val="both"/>
        <w:rPr>
          <w:rFonts w:ascii="Liberation Serif" w:hAnsi="Liberation Serif"/>
          <w:b/>
          <w:bCs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</w:rPr>
        <w:t xml:space="preserve">3.7. Лицо, осуществл</w:t>
      </w:r>
      <w:r>
        <w:rPr>
          <w:rFonts w:ascii="Liberation Serif" w:hAnsi="Liberation Serif"/>
          <w:sz w:val="28"/>
          <w:szCs w:val="28"/>
        </w:rPr>
        <w:t xml:space="preserve">яющее строительство (реконструкцию, капитальный ремонт)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  <w:rPr>
        <w:sz w:val="24"/>
        <w:szCs w:val="24"/>
      </w:rPr>
    </w:pPr>
    <w:fldSimple w:instr="PAGE \* MERGEFORMAT">
      <w:r>
        <w:rPr>
          <w:sz w:val="24"/>
          <w:szCs w:val="24"/>
        </w:rPr>
        <w:t xml:space="preserve">1</w:t>
      </w:r>
    </w:fldSimple>
    <w:r>
      <w:rPr>
        <w:sz w:val="24"/>
        <w:szCs w:val="24"/>
      </w:rPr>
    </w:r>
    <w:r>
      <w:rPr>
        <w:sz w:val="24"/>
        <w:szCs w:val="24"/>
      </w:rPr>
    </w:r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upperRoman"/>
      <w:isLgl w:val="false"/>
      <w:suff w:val="tab"/>
      <w:lvlText w:val="%4."/>
      <w:lvlJc w:val="righ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upperRoman"/>
      <w:isLgl w:val="false"/>
      <w:suff w:val="tab"/>
      <w:lvlText w:val="%7."/>
      <w:lvlJc w:val="righ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4"/>
    <w:next w:val="864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4"/>
    <w:next w:val="864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4"/>
    <w:next w:val="864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864"/>
    <w:next w:val="864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link w:val="706"/>
    <w:uiPriority w:val="10"/>
    <w:rPr>
      <w:sz w:val="48"/>
      <w:szCs w:val="48"/>
    </w:rPr>
  </w:style>
  <w:style w:type="paragraph" w:styleId="708">
    <w:name w:val="Subtitle"/>
    <w:basedOn w:val="864"/>
    <w:next w:val="864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link w:val="708"/>
    <w:uiPriority w:val="11"/>
    <w:rPr>
      <w:sz w:val="24"/>
      <w:szCs w:val="24"/>
    </w:rPr>
  </w:style>
  <w:style w:type="paragraph" w:styleId="710">
    <w:name w:val="Quote"/>
    <w:basedOn w:val="864"/>
    <w:next w:val="864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4"/>
    <w:next w:val="864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4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Header Char"/>
    <w:link w:val="714"/>
    <w:uiPriority w:val="99"/>
  </w:style>
  <w:style w:type="paragraph" w:styleId="716">
    <w:name w:val="Footer"/>
    <w:basedOn w:val="864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Footer Char"/>
    <w:link w:val="716"/>
    <w:uiPriority w:val="99"/>
  </w:style>
  <w:style w:type="paragraph" w:styleId="718">
    <w:name w:val="Caption"/>
    <w:basedOn w:val="864"/>
    <w:next w:val="8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>
    <w:name w:val="Caption Char"/>
    <w:basedOn w:val="718"/>
    <w:link w:val="716"/>
    <w:uiPriority w:val="99"/>
  </w:style>
  <w:style w:type="table" w:styleId="720">
    <w:name w:val="Table Grid"/>
    <w:basedOn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0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2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4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5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2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3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4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5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6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7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8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0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1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2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3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4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5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7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8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9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0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1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2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4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5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6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7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8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9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0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1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2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3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4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5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>
    <w:name w:val="No Spacing"/>
    <w:basedOn w:val="864"/>
    <w:uiPriority w:val="1"/>
    <w:qFormat/>
    <w:pPr>
      <w:spacing w:after="0" w:line="240" w:lineRule="auto"/>
    </w:pPr>
  </w:style>
  <w:style w:type="paragraph" w:styleId="868">
    <w:name w:val="List Paragraph"/>
    <w:basedOn w:val="864"/>
    <w:uiPriority w:val="34"/>
    <w:qFormat/>
    <w:pPr>
      <w:contextualSpacing/>
      <w:ind w:left="720"/>
    </w:pPr>
  </w:style>
  <w:style w:type="character" w:styleId="86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2023-09-13T12:42:54Z</dcterms:modified>
</cp:coreProperties>
</file>