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object w:dxaOrig="705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3.2pt;height:65.2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«18» августа 2023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г.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             №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290-П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с. Красноселькуп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4840" w:leader="none"/>
        </w:tabs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4840" w:leader="none"/>
        </w:tabs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О внесении изменени</w:t>
      </w:r>
      <w:r>
        <w:rPr>
          <w:rFonts w:ascii="Liberation Serif" w:hAnsi="Liberation Serif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й в раздел </w:t>
      </w:r>
      <w:r>
        <w:rPr>
          <w:rFonts w:ascii="Liberation Serif" w:hAnsi="Liberation Serif" w:eastAsia="Times New Roman" w:cs="Times New Roman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erif" w:hAnsi="Liberation Serif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ративн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ого регламента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предоставления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без проведения торгов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outlineLvl w:val="0"/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outlineLvl w:val="0"/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  <w:widowControl w:val="off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В связи с приведением муниципальных нормативных правовых актов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муниципального округа Краснос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елькупский район Ямало-Ненецкого автономного округа в соответствие, на основании </w:t>
      </w:r>
      <w:r>
        <w:rPr>
          <w:rFonts w:ascii="Liberation Serif" w:hAnsi="Liberation Serif" w:cs="Liberation Serif"/>
          <w:sz w:val="28"/>
          <w:szCs w:val="28"/>
        </w:rPr>
        <w:t xml:space="preserve">части девятой статьи 15 Федерального закона от 24 ноября 1995 года № 181-ФЗ «О социальной защит</w:t>
      </w:r>
      <w:r>
        <w:rPr>
          <w:rFonts w:ascii="Liberation Serif" w:hAnsi="Liberation Serif" w:cs="Liberation Serif"/>
          <w:sz w:val="28"/>
          <w:szCs w:val="28"/>
        </w:rPr>
        <w:t xml:space="preserve">е инвалидов в Российской Федерации»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распоряжением Администрации Красноселькупского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руководствуясь Уставом муниципального округа Красноселькупск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ий район Ямало-Ненецкого автономного округа, Администрация Красноселькупского района  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постановляет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раздел </w:t>
      </w:r>
      <w:r>
        <w:rPr>
          <w:rFonts w:ascii="Liberation Serif" w:hAnsi="Liberation Serif" w:eastAsia="Times New Roman" w:cs="Times New Roman"/>
          <w:sz w:val="28"/>
          <w:szCs w:val="28"/>
          <w:lang w:val="en-US"/>
        </w:rPr>
        <w:t xml:space="preserve">II</w:t>
      </w:r>
      <w:r>
        <w:rPr>
          <w:rFonts w:ascii="Liberation Serif" w:hAnsi="Liberation Serif" w:eastAsia="Times New Roman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предоставления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Предоставление земельного участка без проведения торгов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», утвержденного постановлением Администрации Красноселькупского района от 24 мая 2022 года № 190-П.</w:t>
      </w: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«Северный Край» и разместить на официальном сайте </w:t>
      </w:r>
      <w:r>
        <w:rPr>
          <w:rFonts w:ascii="Liberation Serif" w:hAnsi="Liberation Serif" w:eastAsia="Times New Roman" w:cs="Times New Roman"/>
          <w:sz w:val="28"/>
          <w:szCs w:val="28"/>
          <w:shd w:val="clear" w:color="auto" w:fill="fbfbfb"/>
          <w:lang w:eastAsia="ru-RU"/>
        </w:rPr>
        <w:t xml:space="preserve">муниципального округа </w:t>
      </w:r>
      <w:r>
        <w:rPr>
          <w:rFonts w:ascii="Liberation Serif" w:hAnsi="Liberation Serif" w:eastAsia="Times New Roman" w:cs="Times New Roman"/>
          <w:bCs/>
          <w:sz w:val="28"/>
          <w:szCs w:val="28"/>
          <w:shd w:val="clear" w:color="auto" w:fill="fbfbfb"/>
          <w:lang w:eastAsia="ru-RU"/>
        </w:rPr>
        <w:t xml:space="preserve">Красноселькупский</w:t>
      </w:r>
      <w:r>
        <w:rPr>
          <w:rFonts w:ascii="Liberation Serif" w:hAnsi="Liberation Serif" w:eastAsia="Times New Roman" w:cs="Times New Roman"/>
          <w:bCs/>
          <w:sz w:val="28"/>
          <w:szCs w:val="28"/>
          <w:shd w:val="clear" w:color="auto" w:fill="fbfbfb"/>
          <w:lang w:eastAsia="ru-RU"/>
        </w:rPr>
        <w:t xml:space="preserve"> район</w:t>
      </w:r>
      <w:r>
        <w:rPr>
          <w:rFonts w:ascii="Liberation Serif" w:hAnsi="Liberation Serif" w:eastAsia="Times New Roman" w:cs="Times New Roman"/>
          <w:sz w:val="28"/>
          <w:szCs w:val="28"/>
          <w:shd w:val="clear" w:color="auto" w:fill="fbfbfb"/>
          <w:lang w:eastAsia="ru-RU"/>
        </w:rPr>
        <w:t xml:space="preserve"> Ямало-Ненецкого автономного округа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  <w:widowControl w:val="off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3. Настоящее постановление вступает в силу с даты его официального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опубликования.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Ю.В. Фишер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851"/>
        <w:spacing w:after="0" w:line="240" w:lineRule="auto"/>
        <w:sectPr>
          <w:footnotePr/>
          <w:endnotePr/>
          <w:type w:val="nextPage"/>
          <w:pgSz w:w="12240" w:h="15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4961" w:right="0" w:firstLine="0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4961" w:right="0" w:firstLine="0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4961" w:right="0" w:firstLine="0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4961" w:right="0" w:firstLine="0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4961" w:right="0" w:firstLine="0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от «18» августа 2023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г. №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290-П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Calibri Light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ИЗМЕНЕНИЯ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,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которые вносятся в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раздел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val="en-US"/>
        </w:rPr>
        <w:t xml:space="preserve">II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предоставления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Предоставление земельного участка </w:t>
      </w:r>
      <w:r>
        <w:rPr>
          <w:b w:val="0"/>
          <w:bCs w:val="0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без проведения торгов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»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,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 утвержденного постановлением Администрации Красноселькупского района от 24 мая 2022 № 190-П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  <w14:ligatures w14:val="none"/>
        </w:rPr>
      </w:r>
      <w:r/>
    </w:p>
    <w:p>
      <w:pPr>
        <w:pStyle w:val="826"/>
        <w:numPr>
          <w:ilvl w:val="0"/>
          <w:numId w:val="5"/>
        </w:numPr>
        <w:contextualSpacing/>
        <w:ind w:left="0" w:right="0" w:firstLine="709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  <w:t xml:space="preserve">В разделе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val="en-US"/>
        </w:rPr>
        <w:t xml:space="preserve">II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предоставления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Предоставление земельного участка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без проведения торгов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»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  <w:t xml:space="preserve">: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  <w:t xml:space="preserve">1.1. п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одпункт 14 пункта 2.8.3 изложить в следующей редакции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«2.8.3.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в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отношении земельного участка, указанного в заявлении о его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1.2. абзац второй пункта 2.13.10 изложить в следующей редакции 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«2.13.10. </w:t>
      </w:r>
      <w:r>
        <w:rPr>
          <w:rFonts w:ascii="Liberation Serif" w:hAnsi="Liberation Serif" w:cs="Liberation Serif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</w:t>
      </w:r>
      <w:r>
        <w:rPr>
          <w:rFonts w:ascii="Liberation Serif" w:hAnsi="Liberation Serif" w:cs="Liberation Serif"/>
          <w:sz w:val="28"/>
          <w:szCs w:val="28"/>
        </w:rPr>
        <w:t xml:space="preserve">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</w:t>
      </w:r>
      <w:r>
        <w:rPr>
          <w:rFonts w:ascii="Liberation Serif" w:hAnsi="Liberation Serif" w:cs="Liberation Serif"/>
          <w:sz w:val="28"/>
          <w:szCs w:val="28"/>
        </w:rPr>
        <w:t xml:space="preserve">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данной части в порядке, определяемом Правительством Российской Федерации.</w:t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».</w:t>
      </w:r>
      <w:r/>
    </w:p>
    <w:p>
      <w:pPr>
        <w:contextualSpacing/>
        <w:ind w:left="0" w:right="0" w:firstLine="0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/>
    </w:p>
    <w:p>
      <w:pPr>
        <w:contextualSpacing/>
        <w:ind w:left="709" w:right="0" w:firstLine="0"/>
        <w:jc w:val="both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uiPriority w:val="1"/>
    <w:qFormat/>
    <w:pPr>
      <w:spacing w:after="0" w:line="240" w:lineRule="auto"/>
    </w:pPr>
  </w:style>
  <w:style w:type="paragraph" w:styleId="826">
    <w:name w:val="List Paragraph"/>
    <w:basedOn w:val="822"/>
    <w:uiPriority w:val="34"/>
    <w:qFormat/>
    <w:pPr>
      <w:contextualSpacing/>
      <w:ind w:left="720"/>
    </w:pPr>
  </w:style>
  <w:style w:type="character" w:styleId="827" w:default="1">
    <w:name w:val="Default Paragraph Font"/>
    <w:uiPriority w:val="1"/>
    <w:semiHidden/>
    <w:unhideWhenUsed/>
  </w:style>
  <w:style w:type="paragraph" w:styleId="828" w:customStyle="1">
    <w:name w:val="Bespoke Basic"/>
    <w:basedOn w:val="670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2023-08-21T04:06:10Z</dcterms:modified>
</cp:coreProperties>
</file>