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contextualSpacing/>
        <w:ind w:right="-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</w:r>
      <w:r>
        <w:rPr>
          <w:rFonts w:ascii="Liberation Serif" w:hAnsi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2.8pt;height:65.4pt;mso-wrap-distance-left:0.0pt;mso-wrap-distance-top:0.0pt;mso-wrap-distance-right:0.0pt;mso-wrap-distance-bottom:0.0pt;rotation:0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jc w:val="center"/>
        <w:keepNext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/>
        <w:jc w:val="both"/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«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27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» 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июля 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202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3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 г.</w:t>
        <w:tab/>
      </w:r>
      <w:r>
        <w:rPr>
          <w:rFonts w:ascii="Liberation Serif" w:hAnsi="Liberation Serif" w:eastAsia="Calibri" w:cs="Liberation Serif"/>
          <w:sz w:val="28"/>
          <w:szCs w:val="28"/>
        </w:rPr>
        <w:t xml:space="preserve">№ 262-П</w:t>
      </w:r>
      <w:r/>
    </w:p>
    <w:p>
      <w:pPr>
        <w:pStyle w:val="888"/>
        <w:contextualSpacing/>
        <w:ind w:right="-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-2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ind w:left="0" w:right="-2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/>
        <w:jc w:val="center"/>
        <w:spacing w:after="0" w:afterAutospacing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услуг в социальной сфере в соответствии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 социальным сертификатом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2"/>
        <w:jc w:val="left"/>
        <w:spacing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/>
        <w:jc w:val="left"/>
        <w:spacing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частью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статьи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Федерального закона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от 13 июля 2020 года № 189-ФЗ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br/>
        <w:t xml:space="preserve">частью 2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стать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и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 78.4 Бюджетного кодекса Российской Федерации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Администрация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eastAsia="Liberation Serif" w:cs="Liberation Serif"/>
          <w:sz w:val="28"/>
          <w:szCs w:val="28"/>
          <w:lang w:eastAsia="en-US"/>
        </w:rPr>
        <w:t xml:space="preserve">Утвердить прилагаемый Порядок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публиковать настоящее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по социальным вопросам.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88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88"/>
        <w:contextualSpacing/>
        <w:ind w:right="-2"/>
        <w:jc w:val="both"/>
        <w:spacing w:after="0" w:afterAutospacing="0" w:line="240" w:lineRule="auto"/>
        <w:tabs>
          <w:tab w:val="left" w:pos="7937" w:leader="none"/>
          <w:tab w:val="left" w:pos="807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Кра</w:t>
      </w:r>
      <w:r>
        <w:rPr>
          <w:rFonts w:ascii="Liberation Serif" w:hAnsi="Liberation Serif" w:cs="Liberation Serif"/>
          <w:sz w:val="28"/>
          <w:szCs w:val="28"/>
        </w:rPr>
        <w:t xml:space="preserve">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8"/>
        <w:contextualSpacing/>
        <w:ind w:right="-144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en-US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67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от «27» июля 2023 года № 262-П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245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88"/>
        <w:contextualSpacing/>
        <w:ind w:left="5245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8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aps/>
          <w:sz w:val="28"/>
          <w:szCs w:val="28"/>
        </w:rPr>
        <w:t xml:space="preserve">Порядок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8"/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предоставления субсиди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 юридическим лицам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 на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оплату соглашения о возмещени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 затрат, связанных с оказанием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 услуг в социальной сфере в соответствии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br/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с социальным сертификатом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p>
      <w:pPr>
        <w:pStyle w:val="908"/>
        <w:contextualSpacing/>
        <w:ind w:firstLine="851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1. 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Настоящий Порядок предоставления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субсидии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юридическим лицам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н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а оплату соглашения о возмещении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затрат, связанных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 оказанием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услуг в социальной сфере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(далее именуется – Порядок)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разработан в соответствии со статьей 78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Бюджетного кодекса Российской Федерации,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часть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ю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2 статьи 22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Федеральн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закон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от 13 июля 2020 года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(далее – Федеральный закон № 189-ФЗ)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и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определяет цели и условия предоставления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субсидии юридическим лицам, индивидуальным предпринимателям, физическим лицам – производителям товаров, работ, услуг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Целью предоставления субсидии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юридическим лицам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(далее – получатели субсидии)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является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исполнени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социального заказа на оказание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bookmarkStart w:id="0" w:name="_Hlk134803688"/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 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«Реализация дополнительных общеразвивающих программ»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далее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услуга)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bookmarkEnd w:id="0"/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социальным сертификатом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3. 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Предоставление субсидии осуществляется в пределах бюджетных ассигнований, предусмотренных Решением Думы Красноселькуского района</w:t>
      </w:r>
      <w:r>
        <w:rPr>
          <w:rFonts w:ascii="Liberation Serif" w:hAnsi="Liberation Serif" w:eastAsia="Liberation Serif" w:cs="Liberation Serif"/>
          <w:i/>
          <w:iCs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</w:rPr>
        <w:t xml:space="preserve"> бюджете муниципального округа Красноселькупский район на текущий финансовый год и плановый период</w:t>
      </w:r>
      <w:r>
        <w:rPr>
          <w:rFonts w:ascii="Liberation Serif" w:hAnsi="Liberation Serif" w:eastAsia="Liberation Serif" w:cs="Liberation Serif"/>
          <w:i w:val="0"/>
          <w:sz w:val="28"/>
          <w:szCs w:val="28"/>
          <w:highlight w:val="white"/>
        </w:rPr>
        <w:t xml:space="preserve"> и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доведенных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на цели, указанные в пункте 2 настоящего Порядка,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Управлению образования Администрации Красноселькупского района</w:t>
      </w:r>
      <w:r>
        <w:rPr>
          <w:rFonts w:ascii="Liberation Serif" w:hAnsi="Liberation Serif" w:eastAsia="Liberation Serif" w:cs="Liberation Serif"/>
          <w:i/>
          <w:color w:val="000000" w:themeColor="text1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i w:val="0"/>
          <w:color w:val="000000" w:themeColor="text1"/>
          <w:sz w:val="28"/>
          <w:szCs w:val="28"/>
          <w:highlight w:val="white"/>
        </w:rPr>
        <w:t xml:space="preserve"> являющемуся уполномоченным органом</w:t>
      </w:r>
      <w:r>
        <w:rPr>
          <w:rFonts w:ascii="Liberation Serif" w:hAnsi="Liberation Serif" w:eastAsia="Liberation Serif" w:cs="Liberation Serif"/>
          <w:i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(далее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– уполномоченный орган) лимитов бюджетных обязательств.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 Результатом предоставления субсидии является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Требованиями к условиям и порядку оказания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услуги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«Реализация дополнительных общеразвивающих программ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», утвержденными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приказом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Уполномоченного органа (далее – Требования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к условиям и порядку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потребител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предъявивши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получателю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социальны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сертификат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Размер Субсидии, предоставляемый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-му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получателю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i/>
          <w:sz w:val="28"/>
          <w:szCs w:val="28"/>
          <w:lang w:val="en-US"/>
        </w:rPr>
        <w:t xml:space="preserve">Vi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) </w:t>
      </w:r>
      <w:bookmarkStart w:id="2" w:name="_Hlk112233153"/>
      <w:r>
        <w:rPr>
          <w:rFonts w:ascii="Liberation Serif" w:hAnsi="Liberation Serif" w:eastAsia="Liberation Serif" w:cs="Liberation Serif"/>
          <w:sz w:val="28"/>
          <w:szCs w:val="28"/>
        </w:rPr>
        <w:t xml:space="preserve">определяется в формируемом Уполномоченным органом расчете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е, устанавливаемой Соглашением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и рассчитывается по следующей формуле</w:t>
      </w:r>
      <w:bookmarkEnd w:id="2"/>
      <w:r>
        <w:rPr>
          <w:rFonts w:ascii="Liberation Serif" w:hAnsi="Liberation Serif" w:eastAsia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m:oMath>
        <m:sSub>
          <m:sSubPr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V</m:t>
            </m:r>
          </m:e>
          <m: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i</m:t>
            </m:r>
          </m:sub>
        </m:sSub>
        <m:r>
          <w:rPr>
            <w:rFonts w:hint="default" w:ascii="Cambria Math" w:hAnsi="Cambria Math" w:eastAsia="Cambria Math" w:cs="Cambria Math"/>
            <w:sz w:val="28"/>
            <w:szCs w:val="28"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j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=1</m:t>
            </m:r>
          </m:sub>
          <m:sup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Q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*</m:t>
            </m:r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P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 ,</m:t>
            </m:r>
          </m:e>
        </m:nary>
        <m:r>
          <w:rPr>
            <w:rFonts w:hint="default" w:ascii="Cambria Math" w:hAnsi="Cambria Math" w:eastAsia="Cambria Math" w:cs="Cambria Math"/>
            <w:sz w:val="28"/>
            <w:szCs w:val="28"/>
          </w:rPr>
          <m:rPr/>
          <m:t> </m:t>
        </m:r>
      </m:oMath>
      <w:r>
        <w:rPr>
          <w:rFonts w:ascii="Liberation Serif" w:hAnsi="Liberation Serif" w:eastAsia="Liberation Serif" w:cs="Liberation Serif"/>
          <w:sz w:val="28"/>
          <w:szCs w:val="28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Q</w:t>
      </w:r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– объем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оказанной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социальным сертификатом</w:t>
      </w:r>
      <w:r>
        <w:rPr>
          <w:rFonts w:ascii="Liberation Serif" w:hAnsi="Liberation Serif" w:eastAsia="Liberation Serif" w:cs="Liberation Serif"/>
          <w:i/>
          <w:iCs/>
          <w:sz w:val="28"/>
          <w:szCs w:val="28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-му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потребителю 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P</w:t>
      </w:r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 – нормативные затраты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на единицу показателя объема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услуги</w:t>
      </w:r>
      <w:bookmarkStart w:id="3" w:name="_Hlk112233251"/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соответствии с социальным сертификатом</w:t>
      </w:r>
      <w:bookmarkEnd w:id="3"/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утвержденного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Уполномоченным органом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en-US"/>
        </w:rPr>
        <w:t xml:space="preserve">n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муниципальная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услуга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социальн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ым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сертификат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ом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оказана </w:t>
      </w:r>
      <w:r>
        <w:rPr>
          <w:rFonts w:ascii="Liberation Serif" w:hAnsi="Liberation Serif" w:eastAsia="Liberation Serif" w:cs="Liberation Serif"/>
          <w:i/>
          <w:iCs/>
          <w:color w:val="000000" w:themeColor="text1"/>
          <w:sz w:val="28"/>
          <w:szCs w:val="28"/>
        </w:rPr>
        <w:t xml:space="preserve">i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-м получателем субсидии.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муниципального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Субсидия перечисляется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с учетом положений, установленных бюджетным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Перечисление субсидии в теч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ение IV квартала осуществляется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rFonts w:ascii="Liberation Serif" w:hAnsi="Liberation Serif" w:eastAsia="Liberation Serif" w:cs="Liberation Serif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 11 месяцев (предварительного за год)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 предъявленным сертификатам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учатель субсидии ежемесячно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не позднее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br/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0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рабоч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их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дн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ей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сле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дующ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за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периодом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котором осуществлялось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(частичное оказание)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представляет в 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полномоче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нный орган отчет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 исполнении 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оглашения по форм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е, определенной приложением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 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оглашению (далее - отчет), в порядке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установленном для заключения 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8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Уполномоченный орган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течение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рабочих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дней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после представления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получателем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отчета осуществляет проверку отчета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наличи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требуемых документов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полномоченный орган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течение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рабочего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направляет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получателю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требование об устранении факта(ов) выявленных нарушений.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Получатель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течение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рабочих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дней со дня получения требования устран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факт(ы) выявленных нарушений 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повторно предостав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ляет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отчет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указанны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пункте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настоящего Порядка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9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Уполномоченный орган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осуществляет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контроль за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соблюдени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получателями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условий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в том числе в части достижения результата предоставления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убсидии.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Органы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финансового контроля осуществляют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контроль в соответствии со статьей 26 Федерального закона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189-ФЗ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установления факта недостижения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получателем субсидии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результата предоставлении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убсидии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(или) нарушения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Требований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к условиям и порядку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выявленного по результатам проверок, проведенных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полномоченным органом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(или) органами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муниципального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финансового контроля,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получатель субсидии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обязан возвратить субсидию в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</w:rPr>
        <w:t xml:space="preserve">местный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бюджет </w:t>
      </w:r>
      <w:r>
        <w:rPr>
          <w:rFonts w:ascii="Liberation Serif" w:hAnsi="Liberation Serif" w:eastAsia="Liberation Serif" w:cs="Liberation Serif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течение 10 календарных дней со дня завершения проверки в размере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(</w:t>
      </w:r>
      <w:r>
        <w:rPr>
          <w:rFonts w:ascii="Liberation Serif" w:hAnsi="Liberation Serif" w:eastAsia="Liberation Serif" w:cs="Liberation Serif"/>
          <w:i/>
          <w:sz w:val="28"/>
          <w:szCs w:val="28"/>
          <w:lang w:val="en-US"/>
        </w:rPr>
        <w:t xml:space="preserve">R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рассчитанным по следующей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m:oMath>
        <m:r>
          <w:rPr>
            <w:rFonts w:hint="default" w:ascii="Cambria Math" w:hAnsi="Cambria Math" w:eastAsia="Cambria Math" w:cs="Cambria Math"/>
            <w:sz w:val="28"/>
            <w:szCs w:val="28"/>
            <w:lang w:val="en-US"/>
          </w:rPr>
          <m:rPr/>
          <m:t>R</m:t>
        </m:r>
        <m:r>
          <w:rPr>
            <w:rFonts w:hint="default" w:ascii="Cambria Math" w:hAnsi="Cambria Math" w:eastAsia="Cambria Math" w:cs="Cambria Math"/>
            <w:sz w:val="28"/>
            <w:szCs w:val="28"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 w:hAnsi="Cambria Math" w:eastAsia="Cambria Math" w:cs="Cambria Math"/>
                <w:i/>
                <w:sz w:val="28"/>
                <w:szCs w:val="28"/>
              </w:rPr>
            </m:ctrlPr>
          </m:naryPr>
          <m: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j</m:t>
            </m:r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=1</m:t>
            </m:r>
          </m:sub>
          <m:sup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Cambria Math" w:eastAsiaTheme="minorEastAsia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hint="default" w:ascii="Cambria Math" w:hAnsi="Cambria Math" w:eastAsia="Cambria Math" w:cs="Cambria Math"/>
                        <w:sz w:val="28"/>
                        <w:szCs w:val="28"/>
                      </w:rPr>
                      <m:rPr/>
                      <m:t>Q</m:t>
                    </m:r>
                  </m:e>
                </m:acc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*</m:t>
            </m:r>
            <m:sSub>
              <m:sSubPr>
                <m:ctrlPr>
                  <w:rPr>
                    <w:rFonts w:ascii="Cambria Math" w:hAnsi="Cambria Math" w:eastAsia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P</m:t>
                </m:r>
              </m:e>
              <m:sub>
                <m:r>
                  <w:rPr>
                    <w:rFonts w:hint="default" w:ascii="Cambria Math" w:hAnsi="Cambria Math" w:eastAsia="Cambria Math" w:cs="Cambria Math"/>
                    <w:sz w:val="28"/>
                    <w:szCs w:val="28"/>
                  </w:rPr>
                  <m:rPr/>
                  <m:t>j</m:t>
                </m:r>
              </m:sub>
            </m:sSub>
            <m:r>
              <w:rPr>
                <w:rFonts w:hint="default" w:ascii="Cambria Math" w:hAnsi="Cambria Math" w:eastAsia="Cambria Math" w:cs="Cambria Math"/>
                <w:sz w:val="28"/>
                <w:szCs w:val="28"/>
              </w:rPr>
              <m:rPr/>
              <m:t> ,</m:t>
            </m:r>
          </m:e>
        </m:nary>
      </m:oMath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7"/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m:oMath>
        <m:acc>
          <m:accPr>
            <m:chr m:val="̅"/>
            <m:ctrlPr>
              <w:rPr>
                <w:rFonts w:ascii="Cambria Math" w:hAnsi="Cambria Math" w:eastAsia="Cambria Math" w:cs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hint="default" w:ascii="Cambria Math" w:hAnsi="Cambria Math" w:eastAsia="Cambria Math" w:cs="Cambria Math"/>
                <w:sz w:val="28"/>
                <w:szCs w:val="28"/>
                <w:vertAlign w:val="subscript"/>
                <w:lang w:val="en-US"/>
              </w:rPr>
              <m:rPr/>
              <m:t>Q</m:t>
            </m:r>
          </m:e>
        </m:acc>
      </m:oMath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– объем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Требований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к условиям и порядку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iCs/>
          <w:sz w:val="28"/>
          <w:szCs w:val="28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-му потребителю услуги;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P</w:t>
      </w:r>
      <w:r>
        <w:rPr>
          <w:rFonts w:ascii="Liberation Serif" w:hAnsi="Liberation Serif" w:eastAsia="Liberation Serif" w:cs="Liberation Serif"/>
          <w:sz w:val="28"/>
          <w:szCs w:val="28"/>
          <w:vertAlign w:val="subscript"/>
          <w:lang w:val="en-US"/>
        </w:rPr>
        <w:t xml:space="preserve">j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 – нормативные затраты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на единицу показателя объема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ствии с социальным сертификатом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утвержденного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Уполномоченным органом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val="en-US"/>
        </w:rPr>
        <w:t xml:space="preserve">n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социальным сертификатом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не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white"/>
        </w:rPr>
        <w:t xml:space="preserve">оказана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iCs/>
          <w:color w:val="000000" w:themeColor="text1"/>
          <w:sz w:val="28"/>
          <w:szCs w:val="28"/>
        </w:rPr>
        <w:t xml:space="preserve">i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-м получателем субсидии.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При расторжении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получатель субсидии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возвращает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сумму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убсидии, предоставленн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ую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ранее в целях оплаты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оглашения, за исключением суммы, соответствующей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объему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оказанн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надлежащем порядке до момента расторжения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оглашения,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i w:val="0"/>
          <w:iCs/>
          <w:sz w:val="28"/>
          <w:szCs w:val="28"/>
        </w:rPr>
        <w:t xml:space="preserve">местный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бюджет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, в том числе сумму возмещенного потребител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вреда, причиненного его жизни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 (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или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здоровью, на основании решения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полномоченного органа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в сроки, определенные условиями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оглашения.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644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36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352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568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6404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8"/>
        <w:ind w:left="1184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8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8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8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8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8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8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8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8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8"/>
    <w:next w:val="888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8"/>
    <w:next w:val="888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8"/>
    <w:next w:val="888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8"/>
    <w:next w:val="888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8"/>
    <w:next w:val="888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8"/>
    <w:next w:val="888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8"/>
    <w:next w:val="888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8"/>
    <w:next w:val="888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8"/>
    <w:next w:val="888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List Paragraph"/>
    <w:basedOn w:val="888"/>
    <w:uiPriority w:val="34"/>
    <w:qFormat/>
    <w:pPr>
      <w:contextualSpacing/>
      <w:ind w:left="720"/>
    </w:pPr>
  </w:style>
  <w:style w:type="paragraph" w:styleId="729">
    <w:name w:val="No Spacing"/>
    <w:uiPriority w:val="1"/>
    <w:qFormat/>
    <w:pPr>
      <w:spacing w:before="0" w:after="0" w:line="240" w:lineRule="auto"/>
    </w:pPr>
  </w:style>
  <w:style w:type="paragraph" w:styleId="730">
    <w:name w:val="Title"/>
    <w:basedOn w:val="888"/>
    <w:next w:val="888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link w:val="730"/>
    <w:uiPriority w:val="10"/>
    <w:rPr>
      <w:sz w:val="48"/>
      <w:szCs w:val="48"/>
    </w:rPr>
  </w:style>
  <w:style w:type="paragraph" w:styleId="732">
    <w:name w:val="Subtitle"/>
    <w:basedOn w:val="888"/>
    <w:next w:val="888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link w:val="732"/>
    <w:uiPriority w:val="11"/>
    <w:rPr>
      <w:sz w:val="24"/>
      <w:szCs w:val="24"/>
    </w:rPr>
  </w:style>
  <w:style w:type="paragraph" w:styleId="734">
    <w:name w:val="Quote"/>
    <w:basedOn w:val="888"/>
    <w:next w:val="888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8"/>
    <w:next w:val="888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paragraph" w:styleId="738">
    <w:name w:val="Header"/>
    <w:basedOn w:val="888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Header Char"/>
    <w:link w:val="738"/>
    <w:uiPriority w:val="99"/>
  </w:style>
  <w:style w:type="paragraph" w:styleId="740">
    <w:name w:val="Footer"/>
    <w:basedOn w:val="888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1">
    <w:name w:val="Footer Char"/>
    <w:link w:val="740"/>
    <w:uiPriority w:val="99"/>
  </w:style>
  <w:style w:type="paragraph" w:styleId="742">
    <w:name w:val="Caption"/>
    <w:basedOn w:val="888"/>
    <w:next w:val="8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>
    <w:name w:val="Caption Char"/>
    <w:basedOn w:val="742"/>
    <w:link w:val="740"/>
    <w:uiPriority w:val="99"/>
  </w:style>
  <w:style w:type="table" w:styleId="74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pPr>
      <w:spacing w:after="40" w:line="240" w:lineRule="auto"/>
    </w:pPr>
    <w:rPr>
      <w:sz w:val="18"/>
    </w:r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pPr>
      <w:spacing w:after="0" w:line="240" w:lineRule="auto"/>
    </w:pPr>
    <w:rPr>
      <w:sz w:val="20"/>
    </w:r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next w:val="888"/>
    <w:link w:val="888"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889">
    <w:name w:val="Основной шрифт абзаца"/>
    <w:next w:val="889"/>
    <w:link w:val="888"/>
    <w:semiHidden/>
  </w:style>
  <w:style w:type="table" w:styleId="890">
    <w:name w:val="Обычная таблица"/>
    <w:next w:val="890"/>
    <w:link w:val="888"/>
    <w:semiHidden/>
    <w:tblPr/>
  </w:style>
  <w:style w:type="numbering" w:styleId="891">
    <w:name w:val="Нет списка"/>
    <w:next w:val="891"/>
    <w:link w:val="888"/>
    <w:semiHidden/>
  </w:style>
  <w:style w:type="paragraph" w:styleId="892">
    <w:name w:val="Style1"/>
    <w:basedOn w:val="888"/>
    <w:next w:val="892"/>
    <w:link w:val="888"/>
    <w:pPr>
      <w:spacing w:after="0" w:line="387" w:lineRule="exact"/>
      <w:widowControl w:val="off"/>
    </w:pPr>
    <w:rPr>
      <w:rFonts w:ascii="Tahoma" w:hAnsi="Tahoma" w:eastAsia="Calibri"/>
      <w:sz w:val="24"/>
      <w:szCs w:val="24"/>
      <w:lang w:eastAsia="ru-RU"/>
    </w:rPr>
  </w:style>
  <w:style w:type="character" w:styleId="893">
    <w:name w:val="Font Style40"/>
    <w:next w:val="893"/>
    <w:link w:val="888"/>
    <w:rPr>
      <w:rFonts w:ascii="Tahoma" w:hAnsi="Tahoma"/>
      <w:b/>
      <w:sz w:val="30"/>
    </w:rPr>
  </w:style>
  <w:style w:type="character" w:styleId="894">
    <w:name w:val="Гиперссылка"/>
    <w:next w:val="894"/>
    <w:link w:val="888"/>
    <w:rPr>
      <w:color w:val="0000ff"/>
      <w:u w:val="single"/>
    </w:rPr>
  </w:style>
  <w:style w:type="paragraph" w:styleId="895">
    <w:name w:val="Обычный (веб)"/>
    <w:basedOn w:val="888"/>
    <w:next w:val="895"/>
    <w:link w:val="888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table" w:styleId="896">
    <w:name w:val="Сетка таблицы"/>
    <w:basedOn w:val="890"/>
    <w:next w:val="896"/>
    <w:link w:val="888"/>
    <w:rPr>
      <w:rFonts w:ascii="Times New Roman" w:hAnsi="Times New Roman" w:eastAsia="Times New Roman"/>
      <w:sz w:val="20"/>
      <w:szCs w:val="20"/>
      <w:lang w:eastAsia="ru-RU"/>
    </w:rPr>
    <w:tblPr/>
  </w:style>
  <w:style w:type="paragraph" w:styleId="897">
    <w:name w:val="ConsPlusNormal"/>
    <w:next w:val="897"/>
    <w:link w:val="888"/>
    <w:pPr>
      <w:widowControl w:val="off"/>
    </w:pPr>
    <w:rPr>
      <w:rFonts w:ascii="Arial" w:hAnsi="Arial"/>
      <w:lang w:val="ru-RU" w:eastAsia="ru-RU" w:bidi="ar-SA"/>
    </w:rPr>
  </w:style>
  <w:style w:type="paragraph" w:styleId="898">
    <w:name w:val="Текст выноски"/>
    <w:basedOn w:val="888"/>
    <w:next w:val="898"/>
    <w:link w:val="899"/>
    <w:pPr>
      <w:spacing w:after="0" w:line="240" w:lineRule="auto"/>
    </w:pPr>
    <w:rPr>
      <w:rFonts w:ascii="Tahoma" w:hAnsi="Tahoma"/>
      <w:sz w:val="16"/>
      <w:szCs w:val="16"/>
    </w:rPr>
  </w:style>
  <w:style w:type="character" w:styleId="899">
    <w:name w:val="Текст выноски Знак"/>
    <w:next w:val="899"/>
    <w:link w:val="898"/>
    <w:rPr>
      <w:rFonts w:ascii="Tahoma" w:hAnsi="Tahoma" w:eastAsia="Times New Roman"/>
      <w:sz w:val="16"/>
      <w:szCs w:val="16"/>
    </w:rPr>
  </w:style>
  <w:style w:type="paragraph" w:styleId="900">
    <w:name w:val="Абзац списка"/>
    <w:basedOn w:val="888"/>
    <w:next w:val="900"/>
    <w:link w:val="888"/>
    <w:pPr>
      <w:ind w:left="72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901">
    <w:name w:val="Верхний колонтитул"/>
    <w:basedOn w:val="888"/>
    <w:next w:val="901"/>
    <w:link w:val="90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>
    <w:name w:val="Верхний колонтитул Знак"/>
    <w:next w:val="902"/>
    <w:link w:val="901"/>
    <w:rPr>
      <w:rFonts w:ascii="Calibri" w:hAnsi="Calibri" w:eastAsia="Times New Roman"/>
    </w:rPr>
  </w:style>
  <w:style w:type="paragraph" w:styleId="903">
    <w:name w:val="Нижний колонтитул"/>
    <w:basedOn w:val="888"/>
    <w:next w:val="903"/>
    <w:link w:val="90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>
    <w:name w:val="Нижний колонтитул Знак"/>
    <w:next w:val="904"/>
    <w:link w:val="903"/>
    <w:rPr>
      <w:rFonts w:ascii="Calibri" w:hAnsi="Calibri" w:eastAsia="Times New Roman"/>
    </w:rPr>
  </w:style>
  <w:style w:type="character" w:styleId="905" w:default="1">
    <w:name w:val="Default Paragraph Font"/>
    <w:uiPriority w:val="1"/>
    <w:semiHidden/>
    <w:unhideWhenUsed/>
  </w:style>
  <w:style w:type="numbering" w:styleId="906" w:default="1">
    <w:name w:val="No List"/>
    <w:uiPriority w:val="99"/>
    <w:semiHidden/>
    <w:unhideWhenUsed/>
  </w:style>
  <w:style w:type="table" w:styleId="907" w:default="1">
    <w:name w:val="Normal Table"/>
    <w:uiPriority w:val="99"/>
    <w:semiHidden/>
    <w:unhideWhenUsed/>
    <w:tblPr/>
  </w:style>
  <w:style w:type="paragraph" w:styleId="908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21</cp:revision>
  <dcterms:modified xsi:type="dcterms:W3CDTF">2023-07-27T11:40:59Z</dcterms:modified>
</cp:coreProperties>
</file>