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2"/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>
        <w:rPr>
          <w:sz w:val="28"/>
        </w:rPr>
      </w:r>
      <w:r/>
    </w:p>
    <w:p>
      <w:pPr>
        <w:pStyle w:val="1008"/>
        <w:ind w:left="0" w:right="0" w:firstLine="709"/>
        <w:jc w:val="center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sz w:val="28"/>
        </w:rPr>
      </w:r>
      <w:r/>
    </w:p>
    <w:p>
      <w:pPr>
        <w:pStyle w:val="1009"/>
        <w:ind w:left="0" w:right="0" w:firstLine="709"/>
        <w:jc w:val="center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sz w:val="28"/>
        </w:rPr>
      </w:r>
      <w:r/>
    </w:p>
    <w:p>
      <w:pPr>
        <w:pStyle w:val="972"/>
        <w:ind w:left="0" w:right="0" w:firstLine="709"/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1008"/>
        <w:ind w:left="0" w:right="0" w:firstLine="0"/>
        <w:tabs>
          <w:tab w:val="left" w:pos="8505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января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9-П</w:t>
      </w:r>
      <w:r>
        <w:rPr>
          <w:sz w:val="28"/>
        </w:rPr>
      </w:r>
      <w:r/>
    </w:p>
    <w:p>
      <w:pPr>
        <w:pStyle w:val="972"/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sz w:val="28"/>
        </w:rPr>
      </w:r>
      <w:r/>
    </w:p>
    <w:p>
      <w:pPr>
        <w:pStyle w:val="972"/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72"/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</w:pP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Об обеспечении устойчивости функционирования организаций, необходимых для выживания насел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ения при военных конфликтах или 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вследствие этих конфликтов, а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также при чрезвычайных ситуациях природного и техногенного характера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 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на территории 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</w:pP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Федеральным законом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 12 февраля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1998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года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28-ФЗ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гражданской обороне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Правительств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Российской Федерации от 26 ноября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2007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804 «Об утверждении Положения о гражданской обороне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Российской Федерации»,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Правительства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15 октября 2020 года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 1211-П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 обеспечен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, Администрация Красноселькупского района </w:t>
      </w:r>
      <w:r>
        <w:rPr>
          <w:rStyle w:val="989"/>
          <w:rFonts w:ascii="Liberation Serif" w:hAnsi="Liberation Serif" w:cs="Liberation Serif" w:eastAsia="Liberation Serif" w:hint="default"/>
          <w:b/>
          <w:sz w:val="28"/>
          <w:szCs w:val="28"/>
        </w:rPr>
        <w:t xml:space="preserve">постановляет: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Создать комиссию по вопросам повышения устойчивости функционирования объектов экономики на территории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военное время</w:t>
      </w:r>
      <w:r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hyperlink r:id="rId18" w:tooltip="Current Document" w:anchor="bookmark0" w:history="1">
        <w:r>
          <w:rPr>
            <w:rStyle w:val="989"/>
            <w:rFonts w:ascii="Liberation Serif" w:hAnsi="Liberation Serif" w:cs="Liberation Serif" w:eastAsia="Liberation Serif" w:hint="default"/>
            <w:sz w:val="28"/>
            <w:szCs w:val="28"/>
          </w:rPr>
          <w:t xml:space="preserve">П</w:t>
        </w:r>
        <w:r>
          <w:rPr>
            <w:rStyle w:val="989"/>
            <w:rFonts w:ascii="Liberation Serif" w:hAnsi="Liberation Serif" w:cs="Liberation Serif" w:eastAsia="Liberation Serif" w:hint="default"/>
            <w:sz w:val="28"/>
            <w:szCs w:val="28"/>
          </w:rPr>
          <w:t xml:space="preserve">оложение</w:t>
        </w:r>
        <w:r>
          <w:rPr>
            <w:rStyle w:val="989"/>
            <w:rFonts w:ascii="Liberation Serif" w:hAnsi="Liberation Serif" w:cs="Liberation Serif" w:eastAsia="Liberation Serif" w:hint="default"/>
            <w:sz w:val="28"/>
            <w:szCs w:val="28"/>
          </w:rPr>
          <w:t xml:space="preserve"> </w:t>
        </w:r>
      </w:hyperlink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об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спечении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устойчивости функционирования организаций, необходимых для выживания населения при военных конфликтах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или вследствие этих конфликтов, а также при чрезвычайных ситуациях природного и техногенного характера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на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территории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Красноселькупского района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 согласно приложению № 1;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2.2.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оложение о комиссии по вопросам повышения устойчивости функционирования объектов экономики на территории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военное время согласно приложению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 комиссии по вопросам повышения устойчивости функционирования объектов экономики на территории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военное время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согласно приложению № 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Признать утратившим силу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остановление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20 ноября 2020 года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№ П-376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«</w:t>
      </w:r>
      <w:r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  <w:lang w:bidi="ar-SA"/>
        </w:rPr>
        <w:t xml:space="preserve">Об обеспечении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  <w:lang w:bidi="ar-SA"/>
        </w:rPr>
        <w:t xml:space="preserve">муниципального образования Красноселькупский район</w:t>
      </w:r>
      <w:r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  <w:lang w:bidi="ar-SA"/>
        </w:rPr>
        <w:t xml:space="preserve">»</w:t>
      </w:r>
      <w:r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  <w:lang w:bidi="ar-SA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4.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5. Настоящее постановление вступает в силу с момента его опубликования.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6.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</w:t>
      </w:r>
      <w:r>
        <w:rPr>
          <w:sz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Style w:val="989"/>
          <w:rFonts w:ascii="Liberation Serif" w:hAnsi="Liberation Serif" w:cs="Liberation Serif" w:eastAsia="Liberation Serif" w:hint="default"/>
          <w:color w:val="auto"/>
          <w:sz w:val="28"/>
          <w:szCs w:val="28"/>
        </w:rPr>
      </w:pPr>
      <w:r>
        <w:rPr>
          <w:rFonts w:ascii="Liberation Serif" w:hAnsi="Liberation Serif" w:cs="Liberation Serif" w:eastAsia="Liberation Serif" w:hint="default"/>
          <w:color w:val="auto"/>
          <w:sz w:val="28"/>
          <w:szCs w:val="28"/>
          <w:lang w:bidi="ar-SA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both"/>
        <w:spacing w:after="0" w:line="240" w:lineRule="auto"/>
        <w:shd w:val="clear" w:color="auto" w:fill="ffffff"/>
        <w:rPr>
          <w:rFonts w:ascii="Liberation Serif" w:hAnsi="Liberation Serif" w:cs="Liberation Serif" w:eastAsia="Liberation Serif"/>
          <w:sz w:val="28"/>
          <w:szCs w:val="28"/>
          <w:highlight w:val="none"/>
          <w:lang w:val="ru-RU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 xml:space="preserve">Глава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 w:eastAsia="Liberation Serif"/>
          <w:sz w:val="28"/>
          <w:szCs w:val="28"/>
          <w:lang w:val="ru-RU"/>
        </w:rPr>
        <w:tab/>
        <w:t xml:space="preserve">                                           Ю. В. Фишер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«20» января 2023 г. № 9-П</w:t>
      </w:r>
      <w:r>
        <w:rPr>
          <w:sz w:val="28"/>
        </w:rPr>
      </w:r>
      <w:r/>
    </w:p>
    <w:p>
      <w:pPr>
        <w:ind w:left="0" w:right="0" w:firstLine="709"/>
        <w:jc w:val="right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7"/>
        <w:ind w:left="0" w:right="0" w:firstLine="709"/>
        <w:jc w:val="right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ПОЛОЖЕНИЕ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об обеспечении устойчивости функционирования организаций, необходимых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 для выживания населения при военных конфликтах или вследствие этих конфликтов, 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также при чрезвычайных ситуациях природного и техногенного характера</w:t>
      </w:r>
      <w:r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Fonts w:ascii="Liberation Serif" w:hAnsi="Liberation Serif" w:cs="Liberation Serif" w:eastAsia="Liberation Serif" w:hint="default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Style w:val="989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Fonts w:ascii="Liberation Serif" w:hAnsi="Liberation Serif" w:cs="Liberation Serif" w:eastAsia="Liberation Serif" w:hint="default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bookmarkStart w:id="0" w:name="bookmark3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I. Общие положения, основные понятия и определения</w:t>
      </w:r>
      <w:bookmarkEnd w:id="0"/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Настоящее Положение определяет основные направления деятельности, задачи и поряд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ок организации работы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чрезвычайная ситуация,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устойчивость функционирования организаций).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 устойчивостью функционирования организ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аций в целях снижения возможных потерь и разрушений при военных конфликтах или вследствие этих конфликтов, а также при чрезвычайных ситуациях, создания оптимальных условий для восстановления производства, обеспечения жизнедеятельности населения понимается: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для промышленных организаций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способность выпускать установленн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ые виды продукции в заданных объемах и номенклатуре, предусмотренных соответствующими планами, при военных конфликтах или вследствие этих конфликтов, при чрезвычайных ситуациях, а также приспособленность этих организаций к восстановлению после повреждения;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для организаций, деятельность которых направлена на оказание услуг (транспорт, связь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электро-, тепло-, газо-, водоснабжение и водоотведение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наука, образование),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способность выполнять свои функции и восстанавливать их в указанный период.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устойчивости функционирования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 и на снижение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возможных потерь основных производственных фондов, запасов материальных средств и иных ценностей.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1.4.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Организацию работы по обеспечению устойчивости функционирования организаций обеспечивают руководители организаций.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1.5. 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Зона возможных опасностей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это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добегания волны прорыва.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Зона возможных сильных разрушений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Зона возможных разрушений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онной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пригодности.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1528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1" w:name="bookmark4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I.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Исследование устойчивости функционирования организаций</w:t>
      </w:r>
      <w:bookmarkEnd w:id="1"/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1528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 w:hint="default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Исследование уст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ойчивости функционирования организаций заключается во всестороннем изучении условий, которые могут сложиться при военных конфликтах или вследствие этих конфликтов, а также при чрезвычайных ситуациях, определении их влияния на производственную деятельность.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научно-исследовательских и проектных организаций.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1590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2" w:name="bookmark5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.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Подготовка организаций к устойчивому функционированию</w:t>
      </w:r>
      <w:bookmarkEnd w:id="2"/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1590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 w:hint="default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Подготовка организаций к устойчиво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функционировани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заключается в проведении комплекса мероприятий организационно-технического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устойчивости функционирования организаций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это комплекс меропри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ятий по предотвращению или снижению угрозы жизни и здоровью производственного персонала и населения, снижению материального ущерба, а также подготовке к проведению аварийно-спасательных и других неотложных работ для восстановления нарушенного производства.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Непосредственное руководство разработкой и выполнением мероприятий, обеспечивающих устойчивость функционирования организаций на территории 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осуществляют руководители организаций.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999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3" w:name="bookmark6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  <w:lang w:val="en-US"/>
        </w:rPr>
        <w:t xml:space="preserve">IV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.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Факторы, влияющие на устойчивость функционирования организаций</w:t>
      </w:r>
      <w:bookmarkEnd w:id="3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при военных конфликтах или вследствие этих конфликтов</w:t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999" w:leader="none"/>
        </w:tabs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01" w:leader="none"/>
          <w:tab w:val="left" w:pos="127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устойчивую работу организаций влияют следующие факторы: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надежность защиты рабочих и служащих от воздействия обычных средств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поражения;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1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способность инженерно-технического комплекса организаций противостоять ударной волне, световому излучению и радиации;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защищенность организаций от вторичных поражающих факторов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(пожаров, взрывов, затоплений, заражения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аварийно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химически опасными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веществами (далее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АХОВ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надежность системы снабжения организаций всем необходимым для производства продукции (сырьем, топливом, электроэнергией, водой);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4.1.5.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устойчивое и непрерывное управление производством и гражданской обороной;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4.1.6.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подготовленность организаций к ведению аварийно-спасательных и других неотложных работ.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691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4" w:name="bookmark7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  <w:lang w:val="en-US"/>
        </w:rPr>
        <w:t xml:space="preserve">V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.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Основные мероприятия по обеспечению устойчивости функционирования</w:t>
      </w:r>
      <w:bookmarkStart w:id="5" w:name="bookmark8"/>
      <w:r>
        <w:rPr>
          <w:rFonts w:ascii="Liberation Serif" w:hAnsi="Liberation Serif" w:cs="Liberation Serif" w:eastAsia="Liberation Serif"/>
          <w:sz w:val="28"/>
        </w:rPr>
      </w:r>
      <w:bookmarkEnd w:id="4"/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организаций</w:t>
      </w:r>
      <w:bookmarkEnd w:id="5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при военных конфликтах </w:t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691" w:leader="none"/>
        </w:tabs>
        <w:rPr>
          <w:rStyle w:val="990"/>
          <w:rFonts w:ascii="Liberation Serif" w:hAnsi="Liberation Serif" w:cs="Liberation Serif" w:eastAsia="Liberation Serif" w:hint="default"/>
          <w:b w:val="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или вследствие этих конфликтов</w:t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691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126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5.1.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Защита рабочих и служащих от поражающих факторов оружия массового поражения достигается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посредством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5.1.1.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укрыти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людей в защитных сооружениях гражданской обороны (убежищах, противорадиационных укрытиях)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 простейших укрытиях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(далее –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ЗС ГО)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5.1.2.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рассредоточени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рабочих и служащих и эвакуаци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их семей;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5.1.3.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использовани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средств индивидуальной защиты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(далее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СИЗ)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эффективности защиты производственных фондов при воздействии на них современных средств поражения достигается: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 проектировании и строительстве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путем применения для несущих конструкций высокопрочных и легких материалов (сталей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повышенной прочности, алюминиевых сплавов), для каркасных зданий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путем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применения облегченных конструкций стенового заполнения и увеличения световых проемов за счет использования стекла, легких панелей из пластиков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других легко разрушающихся материалов;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 угрозе нападения противника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путем ввода в производственных помещениях дополнительных опор для уменьшения пролетов, усиления наиболее слабых узлов и отдельных элементов несущих конструкций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тдельные элементы, например, высокие сооружения (трубы,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мачты, колонны, этажерки), закрепляются оттяжками, рассчитанными 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нагрузки, создаваемые воздействием скоростного напора воздуха ударной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волны взрыва. Устанавливаются бетонные или металлические пояса, повышающие жесткость конструкции.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функционирования средств производства достигается: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размещением тяжелого оборудования на нижних этажах;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прочным закреплением станков на фундаментах, устройством контрфорсов, обеспечивающих устойчивость станочного оборудования к действию скоростного напора ударной волны;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размещением наиболее ценного и нестойкого к ударам оборудования в зданиях с повышенными прочностными характеристиками или в специальных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ЗС 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а более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прочного ценного оборудования 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отдельно стоящих зданиях павильонного типа, имеющих облегченные и трудновозгораемые ограждающие конструкции, разрушение которых не повлияет на сохранность оборудования;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козырьки) для защиты оборудования от повреждений при обрушении конструкций зданий;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размещением производства отдельных видов продукции в филиалах путем замены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вышедших из строя образцов оборудования другими, а также сокращения числа используемых типов станков и приборов.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функционирования систем и источников энергоснабжения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стойчивость систем энергоснабжения организации повышается путем подключения ее к нескольким источникам питания, удаленным один от другого 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расстояние, исключающее возможно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сть их одновременного поражения;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организа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циях, имеющих тепловые электростанции, оборудуются приспособления для работы тепловых электростанций на различных видах топлива, принимаются меры по созданию запасов твердого и жидкого топлива, его укрытию и усилению конструкций хранилищ горючих материалов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сетях энергоснабжения проводятся мероприятия по переводу воздушных линий энергопередачи на подземные, а линий, проложенных по стенам и перекрытиям зданий и сооружений, на линии, проложенные под полом первых этажей (в специальных каналах)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надежности функционирования систем и источников водоснабжения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одоснабжение организации более устойчиво и надежно, если организация питается от нескольких систем или от двух-трех независимых водоисточников, удаленных друг от друга на безопасное расстояние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арантированное снабжение водой может быть обеспечено только от защищенного источника с автономным и также защищенным источником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энергии. К таким источникам относятся артезианские и безнапорные скважины, которые присоединяются к общей системе водоснабжения организации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пожарные гидранты и отключающие устройства размещаются на территории, которая не будет завалена в случае разрушения зданий и сооружений,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также резервные подпиточные емкости и резервуары чистой воды на водоочистных сооружениях;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недряются автоматические и полуавтоматические устройства, которые отключают поврежденные участки без нарушений работы остальной части сети.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функционирования систем и источников газоснабжения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ля обеспечения устойчивости 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надежности снабжения организации газом предусматривается его подача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случай выхода из строя газорегуляторных пунктов и газораздаточных станций устанавливаются обводные линии (байпасы). Все узлы и линии устанавливаются, как правило, под землей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ля уменьшения пожарной опасности проводятся мероприятия,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снижающие возможность 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5.7.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функционирования систем и источников теплоснабжения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5.7.1.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инженерно-технические мероприятия по обеспечению устойчивости систем теплоснабжения проводят путем защиты источников тепла и заглубления коммуникаций в грунт,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также за счет формирования нормативного запаса резервного топлива, обеспечения готовности к работе резервного топливного хозяйства и аварийных источников электроснабжения;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5.7.2.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епловая сеть строится, как правило, по кольцевой системе, трубы отопительной системы прокладываются в специальных каналах. Запор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ные и регулирующие приспособления размещаются в смотровых колодцах по возможности на территории зданий и сооружений. На тепловых сетях устанавливается запорно-регулирующая аппаратура (задвижки, вентили), предназначенная для отключения поврежденных участков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5.8.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функционирования систем канализации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5.8.1.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ероприятия по обеспечению устойчивости функционирования системы канализации разрабатываются раздельно для ливневых, промышленных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хозяйственных (фекальных) стоков;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5.8.2.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организации оборудуется не менее двух выводов с подключением к городским канализационным коллекторам, а также устанавливаются выводы для аварийных сбросов неочищенных вод в прилегающие к организации овраги и другие естественные и искусственные углубления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5.8.3.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ля сброса строятся колодцы с аварийными задвижками и устанавливаются на объектовых коллекторах с интервалом 50 м по возможности на незахламленной территории.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устойчивости функционирования организаций к воздействию светового излучения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защита от светового излучения открытых технологических установок, станков, ванн для промывки деталей и других аппаратов с горючими жидкостями и газами;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уменьшение в цехах до технологически обоснованного минимума запасов смазочных масел, керосина, бензина, красок и других горючих веществ;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изменение технологии, исключающее применение в производстве каких-либо огнеопасных или взрывоопасных веществ;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1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удаление горючих материалов от оконных проемов;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применение автоматических линий и средств тушения пожаров;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устройство аварийных заглубленных емкостей для быстрого спуска из оборудования и технологических систем горючих жидкостей.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1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Надежность снабжения организаций материально-техническими ресурсами обеспечивается: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установлением устойчивых связей с предприятиями-поставщиками, для чего подготавливаются запасные варианты производственных связей с предприятиями;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дублированием железнодорожного транспорта автомобильным и речным (или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наоборот) для доставки технологического сырья и вывоза готовой продукции;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заблаговременной подготовкой складов для хранения готовой продукции, которую нельзя вывезти потребителям, изысканием возможности перехода на местные источники сырья и топлива;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строительством филиалов за пределами крупных городов;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5.10.5.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созданием в организации запасов сырья, топлива, оборудования, материалов и комплектующих изделий (гарантийный запас всех материалов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должен храниться по возможности рассредоточено в местах, где меньше всего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он может подвергнуться уничтожению при возможных ударах противника).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Подготовка к восстановлению нарушенного производства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5.11.1.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отовность организации в короткие сро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ки возобновить выпуск продукции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важный показатель устойчивости ее функционирования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5.11.2.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результате возможного удара противника организация может оказаться в зоне возможных опасностей и получить разрушения различного характера. При получении средних или слабых разрушений восстановление производства возможно в период военного конфликта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5.11.3.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расчетах по восстановлению зданий и сооружений указываются характер разрушений (повреждения)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потребность в материалах, машинах и механизмах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5.11.4.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расчетах по ремонту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Обеспечение надежности и оперативности управления производством и гражданской обороной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наличие пунктов управления, обеспечивающих руководство мероприятиями гражданской обороны и производственной деятельностью организации;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5.12.2. размещение  диспетчерских пунктов, автоматической  телефонной  станции (далее – АТС) и радиоузла  организации в наиболее прочных сооружениях;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5.12.3. наличие резервных электростанций для зарядки аккумуляторов АТС и питания радиоузла при отключении источника электроэнергии;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5.12.4. дублирование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питающих фидеров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АТС и радиоузла;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5.12.5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наличие устойчивой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связи с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руководителями территориальны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орган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ов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(структурн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ых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подразделени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й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Главным упр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авлением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округу, а также с нештатными аварийно-спасательными формированиями на объекте и в безопасных районах.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156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-1134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6" w:name="bookmark9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  <w:lang w:val="en-US"/>
        </w:rPr>
        <w:t xml:space="preserve">VI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.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Факторы, влияющие на устойчивость функционирования </w:t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-1134" w:leader="none"/>
        </w:tabs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outlineLvl w:val="0"/>
      </w:pP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организаций при</w:t>
      </w:r>
      <w:bookmarkStart w:id="7" w:name="bookmark10"/>
      <w:r>
        <w:rPr>
          <w:rFonts w:ascii="Liberation Serif" w:hAnsi="Liberation Serif" w:cs="Liberation Serif" w:eastAsia="Liberation Serif"/>
          <w:sz w:val="28"/>
        </w:rPr>
      </w:r>
      <w:bookmarkEnd w:id="6"/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чрезвычайных ситуациях</w:t>
      </w:r>
      <w:bookmarkEnd w:id="7"/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-1134" w:leader="none"/>
        </w:tabs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keepLines/>
        <w:keepNext/>
        <w:spacing w:after="0" w:line="240" w:lineRule="auto"/>
        <w:tabs>
          <w:tab w:val="left" w:pos="-1134" w:leader="none"/>
        </w:tabs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устойчивость функционирован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ия организаций при чрезвычайных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ситуациях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влияют следующие факторы: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снижение риска аварий и катастроф;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рациональное размещение отдельных производств на территории организации;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надежности инженерно-технического комплекса и подготовка организации к работе в условиях чрезвычайной ситуации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надежной защиты персонала;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повышение безопасности технологических процессов и эксплуатации технологического (технического) оборудования;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6.1.6.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подготовка к восстановлению нарушенного производства.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801" w:leader="none"/>
        </w:tabs>
        <w:rPr>
          <w:rStyle w:val="991"/>
          <w:rFonts w:ascii="Liberation Serif" w:hAnsi="Liberation Serif" w:cs="Liberation Serif" w:eastAsia="Liberation Serif" w:hint="default"/>
          <w:bCs w:val="0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</w:rPr>
      </w:r>
      <w:bookmarkStart w:id="8" w:name="bookmark11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  <w:lang w:val="en-US"/>
        </w:rPr>
        <w:t xml:space="preserve">VII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.</w:t>
      </w:r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Основные мероприятия по обеспечению устойчивости функционирования</w:t>
      </w:r>
      <w:bookmarkEnd w:id="8"/>
      <w:r>
        <w:rPr>
          <w:rStyle w:val="990"/>
          <w:rFonts w:ascii="Liberation Serif" w:hAnsi="Liberation Serif" w:cs="Liberation Serif" w:eastAsia="Liberation Serif" w:hint="default"/>
          <w:sz w:val="28"/>
          <w:szCs w:val="28"/>
        </w:rPr>
        <w:t xml:space="preserve"> </w:t>
      </w:r>
      <w:r>
        <w:rPr>
          <w:rStyle w:val="991"/>
          <w:rFonts w:ascii="Liberation Serif" w:hAnsi="Liberation Serif" w:cs="Liberation Serif" w:eastAsia="Liberation Serif" w:hint="default"/>
          <w:bCs w:val="0"/>
          <w:sz w:val="28"/>
          <w:szCs w:val="28"/>
        </w:rPr>
        <w:t xml:space="preserve">организаций при чрезвычайных ситуациях</w:t>
      </w:r>
      <w:r>
        <w:rPr>
          <w:sz w:val="28"/>
        </w:rPr>
      </w:r>
      <w:r/>
    </w:p>
    <w:p>
      <w:pPr>
        <w:ind w:left="0" w:right="0" w:firstLine="709"/>
        <w:jc w:val="center"/>
        <w:keepLines/>
        <w:keepNext/>
        <w:spacing w:after="0" w:line="240" w:lineRule="auto"/>
        <w:tabs>
          <w:tab w:val="left" w:pos="801" w:leader="none"/>
        </w:tabs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5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ходе подготовки организаций к функционированию при чрезвычайных ситуациях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проводятся следующие мероприятия: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создаются и постоянно эксплуатируются локальные системы оповещения на потенциально опасных объектах;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организуется взаимодействие между организациями по осуществлению возможного (при необходимости) маневрирования ресурсами между ними;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создается страховой фонд конструкторской, технологической, эксплуатационной документации;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накапливаются и поддерживаются в готовности к использованию резервные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источники питания;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создаются запасы энергоносителей, сырья, строительных материалов, других материальных средств, необходимых для обеспечения функционирования организаций в условиях прерванного материально-технического снабжения;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производится подготовка к возможной эвакуации особо ценного оборудования и персонала;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7.1.7.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осуществляется подготовка к проведению инженерной, радиационной, химической, противопожарной, медицинской защиты персонала;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7.1.8.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ведется подготовка к проведению мероприятий, необходимых для жизнеобеспечения населения, аварийно-спасательных и других неотложных работ.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 угрозе возникновения чрезвычайной ситуации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организациях проводятся мероприятия, обеспечивающие устойчивость их функционирования, в том числе осуществляется: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7.2.1.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снижение количества АХОВ, пожаро- и взрывоопасных материалов на производстве;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7.2.2.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подготовка ЗС ГО для защиты персонала от поражающих факторов;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усиление технологической дисциплины и охраны организаций.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Организационными мероприятиями по заблаговременной разработке и планированию действий органов управления, сил и средств организаций при возникновении чрезвычайных ситуаций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являются: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прогнозирование последствий возможных чрезвычайных ситуаций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определение размеров опасных зон вокруг организаций;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подготовка руководящего состава к работе в особом режиме; 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создание комиссий по вопросам обеспечения устойчивости функционирования организаций и организация их работы в условиях возникновения чрезвычайных ситуаций;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восстановлении нарушенного производства;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7.3.5.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проверка готовности локальных систем оповещения о чрезвычайных ситуациях.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Инженерно-технические мероприятия, обеспечивающие повышение физической устойчивости зданий, сооружений, технологического оборудования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в целом производства, включают: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создание в организациях систем автоматизированного контроля за ходом технологических процессов, уровнем загрязнения помещений и воздушной среды цехов опасными веществами и пылевыми частицами;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накопление фонда ЗС ГО и повышение защитных свойств убежищ и противорадиационных укрытий в зонах возможных разрушений и радиационного, химического заражения (загрязнения);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дублирование источников энергоснабжения;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защиту водных источников и контроль за качеством воды;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7.4.6.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герметизацию складов и холодильников в опасных зонах.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Специальные мероприятия по созданию благоприятных условий для проведения успешных работ по защите и спасению людей, попавших в опасные зоны, и быстрейшей ликвидации аварий и их последствий включают: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накопление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СИЗ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создание на химически опасных объектах организаций запасов материалов для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нейтрализации разливши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хся АХОВ и дегазации местности,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зараженных строений, средств транспорта, одежды и обуви;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7.5.3.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обеспечение герметизации помещений в жилых и общественных зданиях, расположенных в опасных зонах;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7.5.5.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накопление средств медицинской защиты и профилактики радиоактивных поражений людей и животных;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11"/>
          <w:headerReference w:type="first" r:id="rId12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7.5.6.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регулярное проведение учений и тренировок по действиям в чрезвычайных ситуациях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 органами управления, аварийно-спасательными формированиями и производственным персоналом организаций.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/>
    </w:p>
    <w:p>
      <w:pPr>
        <w:ind w:left="0" w:right="0" w:firstLine="5386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«20» января 2023 г. № 9-П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97"/>
        <w:ind w:left="0" w:right="0" w:firstLine="709"/>
        <w:spacing w:before="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ПОЛОЖЕНИЕ</w:t>
      </w:r>
      <w:r>
        <w:rPr>
          <w:sz w:val="28"/>
        </w:rPr>
      </w:r>
      <w:r/>
    </w:p>
    <w:p>
      <w:pPr>
        <w:pStyle w:val="998"/>
        <w:ind w:left="0" w:right="0" w:firstLine="709"/>
        <w:spacing w:after="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b w:val="0"/>
          <w:sz w:val="28"/>
        </w:rPr>
      </w:pPr>
      <w:r>
        <w:rPr>
          <w:rFonts w:ascii="Liberation Serif" w:hAnsi="Liberation Serif" w:cs="Liberation Serif" w:eastAsia="Liberation Serif"/>
          <w:b w:val="0"/>
          <w:sz w:val="28"/>
        </w:rPr>
        <w:t xml:space="preserve">о комиссии по вопросам повышения устойчивости функционирования</w:t>
      </w:r>
      <w:r>
        <w:rPr>
          <w:rFonts w:ascii="Liberation Serif" w:hAnsi="Liberation Serif" w:cs="Liberation Serif" w:eastAsia="Liberation Serif"/>
          <w:b w:val="0"/>
          <w:sz w:val="28"/>
        </w:rPr>
        <w:br/>
        <w:t xml:space="preserve">объектов экономики на территории 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pStyle w:val="998"/>
        <w:ind w:left="0" w:right="0" w:firstLine="709"/>
        <w:spacing w:after="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pStyle w:val="998"/>
        <w:ind w:left="0" w:right="0" w:firstLine="709"/>
        <w:spacing w:after="0" w:line="240" w:lineRule="auto"/>
        <w:shd w:val="clear" w:color="auto" w:fill="auto"/>
        <w:widowControl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pStyle w:val="999"/>
        <w:ind w:left="0" w:right="0" w:firstLine="709"/>
        <w:jc w:val="center"/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I. Общие положения</w:t>
      </w:r>
      <w:r>
        <w:rPr>
          <w:sz w:val="28"/>
        </w:rPr>
      </w:r>
      <w:r/>
    </w:p>
    <w:p>
      <w:pPr>
        <w:ind w:left="0" w:right="0" w:firstLine="709"/>
        <w:jc w:val="center"/>
        <w:spacing w:after="0"/>
        <w:tabs>
          <w:tab w:val="left" w:pos="4012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pStyle w:val="985"/>
        <w:numPr>
          <w:ilvl w:val="0"/>
          <w:numId w:val="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Положение 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о комиссии по вопросам повышения устойчивости функционирования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 объектов экономики на территории 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далее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Положение) определяет статус и порядок деятельности комиссии по вопросам повышения устойчивости функционирования объектов экономики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военное время (далее –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омиссия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).</w:t>
      </w:r>
      <w:r>
        <w:rPr>
          <w:sz w:val="28"/>
        </w:rPr>
      </w:r>
      <w:r/>
    </w:p>
    <w:p>
      <w:pPr>
        <w:pStyle w:val="985"/>
        <w:numPr>
          <w:ilvl w:val="0"/>
          <w:numId w:val="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Комиссия создаётся в целях решения задач, связанных с поддержанием устойчивого функционирования организаций, находящихся на территории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характера, возникших в период военных конфликтов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или вследствие этих конфликтов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(далее – организации,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условия военного времени).</w:t>
      </w:r>
      <w:r>
        <w:rPr>
          <w:sz w:val="28"/>
        </w:rPr>
      </w:r>
      <w:r/>
    </w:p>
    <w:p>
      <w:pPr>
        <w:pStyle w:val="985"/>
        <w:numPr>
          <w:ilvl w:val="0"/>
          <w:numId w:val="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Комиссия непосредственно осуществляет свою деятельность в военное время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Коми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ссия является координационным органом, образованным для обеспечения согласованности действий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территориальных органов федеральных органов исполнительной власти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района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территориальны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х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орган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ов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(структурн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ых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подразделени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й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и организаций (за исключением общественных объединений),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 необходимых для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устойчивого функционирования экономики и жизнеобеспечения населения в условиях военног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 времени.</w:t>
      </w:r>
      <w:r>
        <w:rPr>
          <w:sz w:val="28"/>
        </w:rPr>
      </w:r>
      <w:r/>
    </w:p>
    <w:p>
      <w:pPr>
        <w:pStyle w:val="985"/>
        <w:numPr>
          <w:ilvl w:val="0"/>
          <w:numId w:val="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своей деятельности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омиссия руководствуется Конституцией Российской Федерации, законодательством Российской Федерации,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нормативно-правовыми актами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 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а также настоящим Положением.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1286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99"/>
        <w:ind w:left="0" w:right="0" w:firstLine="709"/>
        <w:jc w:val="center"/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II. Основные задачи 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омиссии</w:t>
      </w:r>
      <w:r>
        <w:rPr>
          <w:sz w:val="28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>
        <w:rPr>
          <w:sz w:val="28"/>
        </w:rPr>
      </w:r>
      <w:r/>
    </w:p>
    <w:p>
      <w:pPr>
        <w:pStyle w:val="985"/>
        <w:numPr>
          <w:ilvl w:val="0"/>
          <w:numId w:val="6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Основной задачей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омиссии является организация планирования и координация выполнения мероприятий по поддержанию устойчивого функционирования организаций, направленных на:</w:t>
      </w:r>
      <w:r>
        <w:rPr>
          <w:sz w:val="28"/>
        </w:rPr>
      </w:r>
      <w:r/>
    </w:p>
    <w:p>
      <w:pPr>
        <w:pStyle w:val="985"/>
        <w:numPr>
          <w:ilvl w:val="0"/>
          <w:numId w:val="7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рациональное размещение производительных сил на территории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обеспечивающих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бесперебойное и устойчивое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функционирование объектов экономики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разработку и внедрение мероприятий по повышению устойчивости функционирования хозяйственного комплекса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контроль за готовностью территорий, отраслей и объектов хозяйственного комплекса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  <w:lang w:bidi="ru-RU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 работе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предотвращение и минимизацию рисков возникновения крупных производственных аварий 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катастроф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7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снижение объёма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pStyle w:val="999"/>
        <w:ind w:left="0" w:right="0" w:firstLine="709"/>
        <w:jc w:val="center"/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III. Функции 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омиссии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3862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Комиссия в соответствии с возложенными на неё задачами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планирование и координацию разработки и проведения мероприятий по поддержанию устойчивого функционирования организаций в условиях военного времени;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организацию деятельности по осуществлению мероприятий по поддержанию устойчивого функционирования организаций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уязвимости организаций и оценку устойчивости их функционирования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участие в разработке и осуществлении целевых и научно-технических программ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 обеспечению надёжности эксплуатации потенциально опасных объектов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разработку и представление в Правительство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Ямало-Ненецкого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автономного округа предложений, направленных на поддержание устойчивого функционирования организаций, защиту работников организаций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взаимодействие с комиссиями по предупреждению и ликвидаци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и чрезвычайных ситуаций и обеспечению пожарной безопасности различного уровня, комиссиями по поддержанию устойчивого функционирования организаций в военное время различного уровня, военным командованием по вопросам устойчивого функционирования организаций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участие в сборах, учениях и тренировках и других плановых мероприятиях по вопросам защиты населения и территорий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9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организацию сбора информации и обмена информацией в области защиты населения и территорий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от чрезвычайных ситуаций 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 поддержания устойчивого функционирования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топливно-энергетического комплекса, промышленного производства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определение степени устойчивости сис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тем и элементов систем электро-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тепло-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, водо- и топливоснабжения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возможности функционирования объектов организаций с использованием автономных источников энергоснабжения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оценку эффективности выполнения мероприятий по поддержанию устойчивого функционирования организаций промышленности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оценку степени возможного разрушения основных производственных фондов и потерь производственных мощностей организаций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0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подготовку предложений по поддержанию устойчивого функционирования топливно-энергетического комплекса, промышленного производства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в условиях военного времени.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 поддержания устойчивого функционирования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объектов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энергетики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и систем коммунальной инфраструктуры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осуществляет: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sz w:val="28"/>
        </w:rPr>
      </w:r>
      <w:r/>
    </w:p>
    <w:p>
      <w:pPr>
        <w:pStyle w:val="985"/>
        <w:numPr>
          <w:ilvl w:val="0"/>
          <w:numId w:val="11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эффективности выполнения мероприятий по поддержанию устойчивого функционирования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объектов энергетики и систем коммунальной инфраструктуры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1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подготовку предложений по поддержанию устойчивого функционирования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объектов энергетики и систем коммунальной инфраструктуры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поддержания устойчивого функционирования транспортной системы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12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эффективности выполнения мероприятий по поддержанию устойчивого функционирования организаций транспортной системы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2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определение объёма возможных потерь транспортных средств и разрушений транспортных коммуникаций и сооружений на них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2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подготовку предложений по поддержанию устойчивого функционирования организаций транспортной системы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 поддержания устойчивого функционирования агропромышленного комплекса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13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эффективности выполнения мероприятий по снижению ущерба в животноводстве, растениеводстве и производстве продуктов питания и пищевого сырья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3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определение объёма потерь мощностей агропромышленного комплекса, снижения объёма производства продукции и предоставления услуг населению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3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подготовку предложений по поддержанию устойчивого функционирования агропромышленного комплекса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 поддержания устойчивого функционирования социальной сферы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14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эффективности выполнения мероприятий по поддержанию устойчивого функционирования организаций социальной сферы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4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подготовку предложений по поддержанию устойчивого функционирования организаций социальной сферы на территории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М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pStyle w:val="985"/>
        <w:numPr>
          <w:ilvl w:val="0"/>
          <w:numId w:val="8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области поддержания устойчивости систем управления, связи и оповещения осуществляет:</w:t>
      </w:r>
      <w:r>
        <w:rPr>
          <w:sz w:val="28"/>
        </w:rPr>
      </w:r>
      <w:r/>
    </w:p>
    <w:p>
      <w:pPr>
        <w:pStyle w:val="985"/>
        <w:numPr>
          <w:ilvl w:val="0"/>
          <w:numId w:val="1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эф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анализ готовности системы оповещения руководящего состава органов управления всех уровней и населения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;</w:t>
      </w:r>
      <w:r>
        <w:rPr>
          <w:sz w:val="28"/>
        </w:rPr>
      </w:r>
      <w:r/>
    </w:p>
    <w:p>
      <w:pPr>
        <w:pStyle w:val="985"/>
        <w:numPr>
          <w:ilvl w:val="0"/>
          <w:numId w:val="15"/>
        </w:numPr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подготовку предложений по поддержанию устойчивости систем управления, оповещения и связи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в условиях военного времени</w:t>
      </w:r>
      <w:r>
        <w:rPr>
          <w:rFonts w:ascii="Liberation Serif" w:hAnsi="Liberation Serif" w:cs="Liberation Serif" w:eastAsia="Liberation Serif"/>
          <w:sz w:val="28"/>
          <w:szCs w:val="28"/>
          <w:lang w:bidi="ru-RU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pStyle w:val="999"/>
        <w:ind w:left="0" w:right="0" w:firstLine="709"/>
        <w:jc w:val="center"/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IV. Права 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омиссии, права и обязанности членов 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омиссии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1778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numPr>
          <w:ilvl w:val="0"/>
          <w:numId w:val="16"/>
        </w:num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Комиссия для реализации возложенных на неё задач в пределах своей компетенции имеет право:</w:t>
      </w:r>
      <w:r>
        <w:rPr>
          <w:sz w:val="28"/>
        </w:rPr>
      </w:r>
      <w:r/>
    </w:p>
    <w:p>
      <w:pPr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запрашивать в установленном порядке 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органов федеральных органов исполнительной власти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территориальны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х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орган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ов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(структурн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ых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 подразделени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й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организаций необходимые материалы и информацию;</w:t>
      </w:r>
      <w:r>
        <w:rPr>
          <w:sz w:val="28"/>
        </w:rPr>
      </w:r>
      <w:r/>
    </w:p>
    <w:p>
      <w:pPr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приглашать на свои заседания представителей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органов федеральных органов исполнительной власти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органов (структурных подразделений)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организаций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не входящих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состав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создавать рабочие группы, в том числе постоянно действующие, из числа членов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учёных, специалистов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органов федеральных органов исполнительной власти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представителей заинтересованных организаций по направлениям деятельности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определять полномочия и порядок деятельности этих групп, утверждать их состав;</w:t>
      </w:r>
      <w:r>
        <w:rPr>
          <w:sz w:val="28"/>
        </w:rPr>
      </w:r>
      <w:r/>
    </w:p>
    <w:p>
      <w:pPr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0" w:leader="none"/>
          <w:tab w:val="left" w:pos="142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вносить в установленном порядке предложения по вопросам, требующим решения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Главы </w:t>
      </w:r>
      <w:r>
        <w:rPr>
          <w:rFonts w:ascii="Liberation Serif" w:hAnsi="Liberation Serif" w:cs="Liberation Serif" w:eastAsia="Liberation Serif"/>
          <w:bCs/>
          <w:sz w:val="28"/>
          <w:szCs w:val="27"/>
          <w:highlight w:val="none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6"/>
        </w:num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Член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имеет право: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4.2.1. инициировать заседания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путем устного или письме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нного уведомления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(пе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рвого заместителя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омиссии);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4.2.2. выступать на заседаниях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вносить предложения по вопросам, входящим в компетенцию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и требовать в случае необходимости проведения голосования по данным вопросам;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4.2.3. знакомиться с документами и материалами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непосредственно касающимися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её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деятельности;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4.2.4.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привлекать по согласованию с председателем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 установленном порядке сотрудников и специалистов других организаций к экспертной, аналитической и иной работе, связанной с деятельностью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4.2.5.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излагать в случае несогласия с решением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 письменной форме особое мнение не позднее 1 дня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дня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заседания, которое подлежит отражению в протоколе заседания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и прилагается к его решению.</w:t>
      </w:r>
      <w:r>
        <w:rPr>
          <w:sz w:val="28"/>
        </w:rPr>
      </w:r>
      <w:r/>
    </w:p>
    <w:p>
      <w:pPr>
        <w:numPr>
          <w:ilvl w:val="0"/>
          <w:numId w:val="16"/>
        </w:num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Член комиссии обязан: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4.3.1.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организовывать в рамках своей компетенции подготовку вопро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сов, выносимых на рассмотрение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4.3.2.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организовать в рамках своей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компетенции выполнение решений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4.3.3.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выполнять требования нормативных правовых актов, устанавливаю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щих правила организации работы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ссии.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4.4.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редседатель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4.4.1.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осуществ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ляет руководство деятельностью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4.4.2.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утверждает повестку заседания, регламент заседания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протокол заседания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4.4.3.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определяет порядок проведения и проводит заседания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принимает решения о проведении заседаний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при возникновении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необходимости срочного (безотлагательного) рассмотрения вопросов;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представляет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омиссию по вопросам, относящимся к ее компетенции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4.5.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ервый заместитель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испо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лняет обязанности председателя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 период его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временного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отсутствия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(отпуск, командирование, временная нетрудоспособность и т.п.)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4.6.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председателя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.1. осуществляет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одготовку проведения заседаний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4.6.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2. испо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лняет обязанности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 период отсутствия председателя и пе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рвого заместителя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4.7.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Секретарь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4.7.1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осуществляет созыв заседаний комиссии, оповещает членов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ии и приглашенных на заседания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обеспечивает проведение ее заседаний в установленный срок;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осуществляет подготовку необходимых документов и аналит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ических материалов к заседанию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оформляет прот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окол заседания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осуществляет контроль за выполнением решен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ий, зафиксированных в протоколе;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выполняет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отдельные поручения председателя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его заместител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142" w:leader="none"/>
          <w:tab w:val="left" w:pos="284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pStyle w:val="999"/>
        <w:ind w:left="0" w:right="0" w:firstLine="709"/>
        <w:jc w:val="center"/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V. Организация деятельности 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к</w:t>
      </w:r>
      <w:r>
        <w:rPr>
          <w:rFonts w:ascii="Liberation Serif" w:hAnsi="Liberation Serif" w:cs="Liberation Serif" w:eastAsia="Liberation Serif"/>
          <w:b/>
          <w:i w:val="0"/>
          <w:iCs w:val="0"/>
          <w:color w:val="auto"/>
          <w:spacing w:val="0"/>
          <w:sz w:val="28"/>
          <w:szCs w:val="28"/>
          <w:lang w:bidi="ru-RU"/>
        </w:rPr>
        <w:t xml:space="preserve">омиссии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2807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5.1. Комиссия осуществляет свою деятельность по мере необходимости или в соответствии с решением председателя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первого заместителя председателя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5.2. Инициатор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заседания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бращается в адрес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пе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рвого заместителя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для внесения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рассмотрение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вопроса (перечня вопросов) для обсуждения.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5.3.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редседатель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в сл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учае его временного отсутствия 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ервый заместитель председателя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определяет порядок работы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назначает дату и время проведения заседания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5.4. Заседание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проводит председатель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случае его временного отсутствия 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первый заместитель председателя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В случае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временного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отсутствия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председателя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первого заместителя председателя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заседание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проводит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один из заместителей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председателя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 их поручению.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5.5. По вопросам, требующим срочного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безотлагательного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 рассмотрения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решения могут приниматься ограниченным составом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омиссии:</w:t>
      </w:r>
      <w:r>
        <w:rPr>
          <w:sz w:val="28"/>
        </w:rPr>
      </w:r>
      <w:r/>
    </w:p>
    <w:p>
      <w:pPr>
        <w:pStyle w:val="1005"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председатель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или лицо, его замещающее;</w:t>
      </w:r>
      <w:r>
        <w:rPr>
          <w:sz w:val="28"/>
        </w:rPr>
      </w:r>
      <w:r/>
    </w:p>
    <w:p>
      <w:pPr>
        <w:pStyle w:val="1005"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член (члены)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в сфере деятельности которого (которых) находится решение данного вопроса;</w:t>
      </w:r>
      <w:r>
        <w:rPr>
          <w:sz w:val="28"/>
        </w:rPr>
      </w:r>
      <w:r/>
    </w:p>
    <w:p>
      <w:pPr>
        <w:pStyle w:val="1005"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секретарь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sz w:val="28"/>
        </w:rPr>
      </w:r>
      <w:r/>
    </w:p>
    <w:p>
      <w:pPr>
        <w:pStyle w:val="1005"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5.6. Заседание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считается правомочным, если на нём присутствует не менее половины её членов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 обязат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ельном участии членов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–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представителей территориальных органов федеральных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органов исполнительной власти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р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уководителей территориальны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орган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ов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(структурн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ых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подразделени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й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руководителей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объектов экономики,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ведению которых относятся вопросы повестки заседания.</w:t>
      </w:r>
      <w:r>
        <w:rPr>
          <w:sz w:val="28"/>
        </w:rPr>
      </w:r>
      <w:r/>
    </w:p>
    <w:p>
      <w:pPr>
        <w:pStyle w:val="1005"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5.7. Решения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  <w:tab w:val="left" w:pos="1418" w:leader="none"/>
        </w:tabs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5.8. Решения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оформляются протоколом не позднее чем в</w:t>
      </w:r>
      <w:r>
        <w:rPr>
          <w:rFonts w:ascii="Liberation Serif" w:hAnsi="Liberation Serif" w:cs="Liberation Serif" w:eastAsia="Liberation Serif"/>
          <w:sz w:val="28"/>
          <w:szCs w:val="28"/>
        </w:rPr>
        <w:br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-дневный срок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дня</w:t>
      </w:r>
      <w:r>
        <w:rPr>
          <w:rFonts w:ascii="Liberation Serif" w:hAnsi="Liberation Serif" w:cs="Liberation Serif" w:eastAsia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проведения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заседания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ротокол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подписыва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тся председателем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или его заместителем, председательств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овавшим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на заседании, и секретарём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0" w:leader="none"/>
          <w:tab w:val="left" w:pos="141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5.9. Копия протокола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-дневный срок после его подписания направляется в соответствующие территориальные органы федеральных органов исполнительной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власти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уководителям территориальны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орган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ов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(структурн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ых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подразделени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й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)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руководителям объектов экономики, к ведению которых относятся вопро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сы, рассмотренные на заседании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5.10. Решения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 носят рекомендательный 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арактер, за исключением членов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омиссии, для которых указанные решения носят обязательный характер.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5.11. Организационное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 материально-техническое обеспечение деятельности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омиссии возлагается на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отдел по делам гражданской обороны и чрезвычайным ситуациям Администрации Красноселькупского района.</w:t>
      </w:r>
      <w:r>
        <w:rPr>
          <w:sz w:val="28"/>
        </w:rPr>
      </w:r>
      <w:r/>
    </w:p>
    <w:p>
      <w:pPr>
        <w:ind w:left="0" w:right="0" w:firstLine="5386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3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sz w:val="28"/>
        </w:rPr>
      </w:r>
      <w:r/>
    </w:p>
    <w:p>
      <w:pPr>
        <w:ind w:left="0" w:right="0" w:firstLine="5386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«20» января 2023 г. № 9-П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СОСТАВ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комиссии по вопросам повышения устойчивости функционирования объектов экономики на территории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военное время</w:t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(председатель комиссии)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Главы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(первый заместитель председателя комиссии)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Главы Администрации Красноселькупского района по экономике и финансам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(заместитель председателя комиссии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заместитель начальника отдела по гражданской обороне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 чрезвычайных ситуаций Администрации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(секретарь комиссии)</w:t>
      </w:r>
      <w:r>
        <w:rPr>
          <w:sz w:val="28"/>
        </w:rPr>
      </w:r>
      <w:r/>
    </w:p>
    <w:p>
      <w:pPr>
        <w:pStyle w:val="985"/>
        <w:ind w:left="0" w:right="0" w:firstLine="709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Члены комиссии:</w:t>
      </w:r>
      <w:r>
        <w:rPr>
          <w:sz w:val="28"/>
        </w:rPr>
      </w:r>
      <w:r/>
    </w:p>
    <w:p>
      <w:pPr>
        <w:pStyle w:val="985"/>
        <w:ind w:left="0" w:right="0" w:firstLine="709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главный врач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ГБУЗ ЯНАО «Красноселькупская ЦРБ» (по 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управления жилищно-коммунального хозяйства‚ транспорта и связи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экономики и ценообразования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директор МКУ «КУКС»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– лесничий отдела Красноселькупского лесничества Управления лесных отношений Департамента природно-ресурсного регулирования, лесных отношений и развития нефтегазового комплекса ЯНАО (по 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службы системных администраторов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по развитию агропромышленного комплекса и делам коренных малочисленных народов Севера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отдела специальных мероприятий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заведующий ветеринарным участком Красноселькупского района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ГБУ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«Новоуренгойский центр ветеринарии»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(по 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начальник управления финансов Администрации Красноселькупского района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начальник отдела по делам ГО и ЧС Администрации Красноселькупского района; 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военный комиссар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отдела военного комиссариата ЯНАО по г.Губкинский, Пуровскому и Красноселькупскому районам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(п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тд</w:t>
      </w:r>
      <w:r>
        <w:rPr>
          <w:rFonts w:ascii="Times New Roman" w:hAnsi="Times New Roman"/>
          <w:color w:val="000000"/>
          <w:sz w:val="28"/>
          <w:szCs w:val="28"/>
        </w:rPr>
        <w:t xml:space="preserve">ел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инистерства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нутренних </w:t>
      </w:r>
      <w:r>
        <w:rPr>
          <w:rFonts w:ascii="Times New Roman" w:hAnsi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/>
          <w:color w:val="000000"/>
          <w:sz w:val="28"/>
          <w:szCs w:val="28"/>
        </w:rPr>
        <w:t xml:space="preserve">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России по Красноселькупскому району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(по 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начальник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тдела вневедомственной охраны по Красноселькупскому району – филиала ФГКУ «УВО ВНГ России по Ямало-Ненецкому автономному округу (по согласованию)</w:t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985"/>
        <w:ind w:left="0" w:right="0" w:firstLine="709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Ямало-Ненецкому автономному округу в Пуровском, Красноселькупском районах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(по согласованию)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9419032"/>
      <w:docPartObj>
        <w:docPartGallery w:val="Page Numbers (Top of Page)"/>
        <w:docPartUnique w:val="true"/>
      </w:docPartObj>
      <w:rPr/>
    </w:sdtPr>
    <w:sdtContent>
      <w:p>
        <w:pPr>
          <w:pStyle w:val="1001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7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9419032"/>
      <w:docPartObj>
        <w:docPartGallery w:val="Page Numbers (Top of Page)"/>
        <w:docPartUnique w:val="true"/>
      </w:docPartObj>
      <w:rPr/>
    </w:sdtPr>
    <w:sdtContent>
      <w:p>
        <w:pPr>
          <w:pStyle w:val="1001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7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0" w:firstLine="0"/>
      </w:pPr>
      <w:rPr>
        <w:rFonts w:ascii="Arial Unicode MS" w:hAnsi="Arial Unicode MS" w:cs="Arial Unicode MS" w:eastAsia="Arial Unicode MS"/>
        <w:b/>
        <w:bCs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3.5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3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 Unicode MS" w:hAnsi="Arial Unicode MS" w:cs="Arial Unicode MS" w:eastAsia="Arial Unicode MS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3.7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3.6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3.2.%1."/>
      <w:lvlJc w:val="left"/>
      <w:pPr>
        <w:ind w:left="1429" w:hanging="360"/>
      </w:pPr>
      <w:rPr>
        <w:rFonts w:hint="default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 Unicode MS" w:hAnsi="Arial Unicode MS" w:cs="Arial Unicode MS" w:eastAsia="Arial Unicode MS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4.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4.2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3.4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4.4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2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5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3.7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97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4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1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8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25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33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40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47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5476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4.1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464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46" w:hanging="464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93" w:hanging="46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39" w:hanging="46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886" w:hanging="46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33" w:hanging="46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779" w:hanging="46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26" w:hanging="46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73" w:hanging="464"/>
      </w:pPr>
      <w:rPr>
        <w:rFonts w:hint="default"/>
        <w:lang w:val="ru-RU" w:bidi="ar-SA" w:eastAsia="en-US"/>
      </w:rPr>
    </w:lvl>
  </w:abstractNum>
  <w:num w:numId="1">
    <w:abstractNumId w:val="6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7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21"/>
  </w:num>
  <w:num w:numId="20">
    <w:abstractNumId w:val="23"/>
  </w:num>
  <w:num w:numId="21">
    <w:abstractNumId w:val="18"/>
  </w:num>
  <w:num w:numId="22">
    <w:abstractNumId w:val="4"/>
  </w:num>
  <w:num w:numId="23">
    <w:abstractNumId w:val="17"/>
  </w:num>
  <w:num w:numId="24">
    <w:abstractNumId w:val="14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2">
    <w:name w:val="Heading 1 Char"/>
    <w:basedOn w:val="975"/>
    <w:link w:val="973"/>
    <w:uiPriority w:val="9"/>
    <w:rPr>
      <w:rFonts w:ascii="Arial" w:hAnsi="Arial" w:cs="Arial" w:eastAsia="Arial"/>
      <w:sz w:val="40"/>
      <w:szCs w:val="40"/>
    </w:rPr>
  </w:style>
  <w:style w:type="paragraph" w:styleId="803">
    <w:name w:val="Heading 2"/>
    <w:basedOn w:val="972"/>
    <w:next w:val="972"/>
    <w:link w:val="8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04">
    <w:name w:val="Heading 2 Char"/>
    <w:basedOn w:val="975"/>
    <w:link w:val="803"/>
    <w:uiPriority w:val="9"/>
    <w:rPr>
      <w:rFonts w:ascii="Arial" w:hAnsi="Arial" w:cs="Arial" w:eastAsia="Arial"/>
      <w:sz w:val="34"/>
    </w:rPr>
  </w:style>
  <w:style w:type="character" w:styleId="805">
    <w:name w:val="Heading 3 Char"/>
    <w:basedOn w:val="975"/>
    <w:link w:val="974"/>
    <w:uiPriority w:val="9"/>
    <w:rPr>
      <w:rFonts w:ascii="Arial" w:hAnsi="Arial" w:cs="Arial" w:eastAsia="Arial"/>
      <w:sz w:val="30"/>
      <w:szCs w:val="30"/>
    </w:rPr>
  </w:style>
  <w:style w:type="paragraph" w:styleId="806">
    <w:name w:val="Heading 4"/>
    <w:basedOn w:val="972"/>
    <w:next w:val="972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7">
    <w:name w:val="Heading 4 Char"/>
    <w:basedOn w:val="975"/>
    <w:link w:val="806"/>
    <w:uiPriority w:val="9"/>
    <w:rPr>
      <w:rFonts w:ascii="Arial" w:hAnsi="Arial" w:cs="Arial" w:eastAsia="Arial"/>
      <w:b/>
      <w:bCs/>
      <w:sz w:val="26"/>
      <w:szCs w:val="26"/>
    </w:rPr>
  </w:style>
  <w:style w:type="paragraph" w:styleId="808">
    <w:name w:val="Heading 5"/>
    <w:basedOn w:val="972"/>
    <w:next w:val="972"/>
    <w:link w:val="8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9">
    <w:name w:val="Heading 5 Char"/>
    <w:basedOn w:val="975"/>
    <w:link w:val="808"/>
    <w:uiPriority w:val="9"/>
    <w:rPr>
      <w:rFonts w:ascii="Arial" w:hAnsi="Arial" w:cs="Arial" w:eastAsia="Arial"/>
      <w:b/>
      <w:bCs/>
      <w:sz w:val="24"/>
      <w:szCs w:val="24"/>
    </w:rPr>
  </w:style>
  <w:style w:type="paragraph" w:styleId="810">
    <w:name w:val="Heading 6"/>
    <w:basedOn w:val="972"/>
    <w:next w:val="972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11">
    <w:name w:val="Heading 6 Char"/>
    <w:basedOn w:val="975"/>
    <w:link w:val="810"/>
    <w:uiPriority w:val="9"/>
    <w:rPr>
      <w:rFonts w:ascii="Arial" w:hAnsi="Arial" w:cs="Arial" w:eastAsia="Arial"/>
      <w:b/>
      <w:bCs/>
      <w:sz w:val="22"/>
      <w:szCs w:val="22"/>
    </w:rPr>
  </w:style>
  <w:style w:type="paragraph" w:styleId="812">
    <w:name w:val="Heading 7"/>
    <w:basedOn w:val="972"/>
    <w:next w:val="972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13">
    <w:name w:val="Heading 7 Char"/>
    <w:basedOn w:val="975"/>
    <w:link w:val="8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4">
    <w:name w:val="Heading 8"/>
    <w:basedOn w:val="972"/>
    <w:next w:val="972"/>
    <w:link w:val="8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15">
    <w:name w:val="Heading 8 Char"/>
    <w:basedOn w:val="975"/>
    <w:link w:val="814"/>
    <w:uiPriority w:val="9"/>
    <w:rPr>
      <w:rFonts w:ascii="Arial" w:hAnsi="Arial" w:cs="Arial" w:eastAsia="Arial"/>
      <w:i/>
      <w:iCs/>
      <w:sz w:val="22"/>
      <w:szCs w:val="22"/>
    </w:rPr>
  </w:style>
  <w:style w:type="paragraph" w:styleId="816">
    <w:name w:val="Heading 9"/>
    <w:basedOn w:val="972"/>
    <w:next w:val="972"/>
    <w:link w:val="8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7">
    <w:name w:val="Heading 9 Char"/>
    <w:basedOn w:val="975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18">
    <w:name w:val="Title"/>
    <w:basedOn w:val="972"/>
    <w:next w:val="972"/>
    <w:link w:val="8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9">
    <w:name w:val="Title Char"/>
    <w:basedOn w:val="975"/>
    <w:link w:val="818"/>
    <w:uiPriority w:val="10"/>
    <w:rPr>
      <w:sz w:val="48"/>
      <w:szCs w:val="48"/>
    </w:rPr>
  </w:style>
  <w:style w:type="character" w:styleId="820">
    <w:name w:val="Subtitle Char"/>
    <w:basedOn w:val="975"/>
    <w:link w:val="999"/>
    <w:uiPriority w:val="11"/>
    <w:rPr>
      <w:sz w:val="24"/>
      <w:szCs w:val="24"/>
    </w:rPr>
  </w:style>
  <w:style w:type="paragraph" w:styleId="821">
    <w:name w:val="Quote"/>
    <w:basedOn w:val="972"/>
    <w:next w:val="972"/>
    <w:link w:val="822"/>
    <w:uiPriority w:val="29"/>
    <w:qFormat/>
    <w:pPr>
      <w:ind w:left="720" w:right="720"/>
    </w:pPr>
    <w:rPr>
      <w:i/>
    </w:r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972"/>
    <w:next w:val="972"/>
    <w:link w:val="8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>
    <w:name w:val="Intense Quote Char"/>
    <w:link w:val="823"/>
    <w:uiPriority w:val="30"/>
    <w:rPr>
      <w:i/>
    </w:rPr>
  </w:style>
  <w:style w:type="character" w:styleId="825">
    <w:name w:val="Header Char"/>
    <w:basedOn w:val="975"/>
    <w:link w:val="1001"/>
    <w:uiPriority w:val="99"/>
  </w:style>
  <w:style w:type="character" w:styleId="826">
    <w:name w:val="Footer Char"/>
    <w:basedOn w:val="975"/>
    <w:link w:val="1003"/>
    <w:uiPriority w:val="99"/>
  </w:style>
  <w:style w:type="paragraph" w:styleId="827">
    <w:name w:val="Caption"/>
    <w:basedOn w:val="972"/>
    <w:next w:val="9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8">
    <w:name w:val="Caption Char"/>
    <w:basedOn w:val="827"/>
    <w:link w:val="1003"/>
    <w:uiPriority w:val="99"/>
  </w:style>
  <w:style w:type="table" w:styleId="829">
    <w:name w:val="Table Grid"/>
    <w:basedOn w:val="9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Table Grid Light"/>
    <w:basedOn w:val="9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>
    <w:name w:val="Plain Table 1"/>
    <w:basedOn w:val="9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2"/>
    <w:basedOn w:val="9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>
    <w:name w:val="Plain Table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>
    <w:name w:val="Plain Table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Plain Table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6">
    <w:name w:val="Grid Table 1 Light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1 Light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2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4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8">
    <w:name w:val="Grid Table 4 - Accent 1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9">
    <w:name w:val="Grid Table 4 - Accent 2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0">
    <w:name w:val="Grid Table 4 - Accent 3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1">
    <w:name w:val="Grid Table 4 - Accent 4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2">
    <w:name w:val="Grid Table 4 - Accent 5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3">
    <w:name w:val="Grid Table 4 - Accent 6"/>
    <w:basedOn w:val="9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4">
    <w:name w:val="Grid Table 5 Dark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5">
    <w:name w:val="Grid Table 5 Dark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8">
    <w:name w:val="Grid Table 5 Dark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9">
    <w:name w:val="Grid Table 5 Dark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0">
    <w:name w:val="Grid Table 5 Dark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1">
    <w:name w:val="Grid Table 6 Colorful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2">
    <w:name w:val="Grid Table 6 Colorful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3">
    <w:name w:val="Grid Table 6 Colorful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4">
    <w:name w:val="Grid Table 6 Colorful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5">
    <w:name w:val="Grid Table 6 Colorful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6">
    <w:name w:val="Grid Table 6 Colorful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7">
    <w:name w:val="Grid Table 6 Colorful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8">
    <w:name w:val="Grid Table 7 Colorful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7 Colorful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3">
    <w:name w:val="List Table 2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4">
    <w:name w:val="List Table 2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5">
    <w:name w:val="List Table 2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6">
    <w:name w:val="List Table 2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7">
    <w:name w:val="List Table 2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8">
    <w:name w:val="List Table 2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9">
    <w:name w:val="List Table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3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5 Dark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5 Dark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6 Colorful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1">
    <w:name w:val="List Table 6 Colorful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2">
    <w:name w:val="List Table 6 Colorful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3">
    <w:name w:val="List Table 6 Colorful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4">
    <w:name w:val="List Table 6 Colorful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5">
    <w:name w:val="List Table 6 Colorful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6">
    <w:name w:val="List Table 6 Colorful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7">
    <w:name w:val="List Table 7 Colorful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8">
    <w:name w:val="List Table 7 Colorful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9">
    <w:name w:val="List Table 7 Colorful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0">
    <w:name w:val="List Table 7 Colorful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1">
    <w:name w:val="List Table 7 Colorful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2">
    <w:name w:val="List Table 7 Colorful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3">
    <w:name w:val="List Table 7 Colorful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4">
    <w:name w:val="Lined - Accent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5">
    <w:name w:val="Lined - Accent 1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6">
    <w:name w:val="Lined - Accent 2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7">
    <w:name w:val="Lined - Accent 3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8">
    <w:name w:val="Lined - Accent 4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9">
    <w:name w:val="Lined - Accent 5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0">
    <w:name w:val="Lined - Accent 6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1">
    <w:name w:val="Bordered &amp; Lined - Accent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2">
    <w:name w:val="Bordered &amp; Lined - Accent 1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3">
    <w:name w:val="Bordered &amp; Lined - Accent 2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4">
    <w:name w:val="Bordered &amp; Lined - Accent 3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5">
    <w:name w:val="Bordered &amp; Lined - Accent 4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6">
    <w:name w:val="Bordered &amp; Lined - Accent 5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7">
    <w:name w:val="Bordered &amp; Lined - Accent 6"/>
    <w:basedOn w:val="9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8">
    <w:name w:val="Bordered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9">
    <w:name w:val="Bordered - Accent 1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0">
    <w:name w:val="Bordered - Accent 2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1">
    <w:name w:val="Bordered - Accent 3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2">
    <w:name w:val="Bordered - Accent 4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3">
    <w:name w:val="Bordered - Accent 5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4">
    <w:name w:val="Bordered - Accent 6"/>
    <w:basedOn w:val="9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5">
    <w:name w:val="footnote text"/>
    <w:basedOn w:val="972"/>
    <w:link w:val="956"/>
    <w:uiPriority w:val="99"/>
    <w:semiHidden/>
    <w:unhideWhenUsed/>
    <w:pPr>
      <w:spacing w:after="40" w:line="240" w:lineRule="auto"/>
    </w:pPr>
    <w:rPr>
      <w:sz w:val="18"/>
    </w:rPr>
  </w:style>
  <w:style w:type="character" w:styleId="956">
    <w:name w:val="Footnote Text Char"/>
    <w:link w:val="955"/>
    <w:uiPriority w:val="99"/>
    <w:rPr>
      <w:sz w:val="18"/>
    </w:rPr>
  </w:style>
  <w:style w:type="character" w:styleId="957">
    <w:name w:val="footnote reference"/>
    <w:basedOn w:val="975"/>
    <w:uiPriority w:val="99"/>
    <w:unhideWhenUsed/>
    <w:rPr>
      <w:vertAlign w:val="superscript"/>
    </w:rPr>
  </w:style>
  <w:style w:type="paragraph" w:styleId="958">
    <w:name w:val="endnote text"/>
    <w:basedOn w:val="972"/>
    <w:link w:val="959"/>
    <w:uiPriority w:val="99"/>
    <w:semiHidden/>
    <w:unhideWhenUsed/>
    <w:pPr>
      <w:spacing w:after="0" w:line="240" w:lineRule="auto"/>
    </w:pPr>
    <w:rPr>
      <w:sz w:val="20"/>
    </w:rPr>
  </w:style>
  <w:style w:type="character" w:styleId="959">
    <w:name w:val="Endnote Text Char"/>
    <w:link w:val="958"/>
    <w:uiPriority w:val="99"/>
    <w:rPr>
      <w:sz w:val="20"/>
    </w:rPr>
  </w:style>
  <w:style w:type="character" w:styleId="960">
    <w:name w:val="endnote reference"/>
    <w:basedOn w:val="975"/>
    <w:uiPriority w:val="99"/>
    <w:semiHidden/>
    <w:unhideWhenUsed/>
    <w:rPr>
      <w:vertAlign w:val="superscript"/>
    </w:rPr>
  </w:style>
  <w:style w:type="paragraph" w:styleId="961">
    <w:name w:val="toc 1"/>
    <w:basedOn w:val="972"/>
    <w:next w:val="972"/>
    <w:uiPriority w:val="39"/>
    <w:unhideWhenUsed/>
    <w:pPr>
      <w:ind w:left="0" w:right="0" w:firstLine="0"/>
      <w:spacing w:after="57"/>
    </w:pPr>
  </w:style>
  <w:style w:type="paragraph" w:styleId="962">
    <w:name w:val="toc 2"/>
    <w:basedOn w:val="972"/>
    <w:next w:val="972"/>
    <w:uiPriority w:val="39"/>
    <w:unhideWhenUsed/>
    <w:pPr>
      <w:ind w:left="283" w:right="0" w:firstLine="0"/>
      <w:spacing w:after="57"/>
    </w:pPr>
  </w:style>
  <w:style w:type="paragraph" w:styleId="963">
    <w:name w:val="toc 3"/>
    <w:basedOn w:val="972"/>
    <w:next w:val="972"/>
    <w:uiPriority w:val="39"/>
    <w:unhideWhenUsed/>
    <w:pPr>
      <w:ind w:left="567" w:right="0" w:firstLine="0"/>
      <w:spacing w:after="57"/>
    </w:pPr>
  </w:style>
  <w:style w:type="paragraph" w:styleId="964">
    <w:name w:val="toc 4"/>
    <w:basedOn w:val="972"/>
    <w:next w:val="972"/>
    <w:uiPriority w:val="39"/>
    <w:unhideWhenUsed/>
    <w:pPr>
      <w:ind w:left="850" w:right="0" w:firstLine="0"/>
      <w:spacing w:after="57"/>
    </w:pPr>
  </w:style>
  <w:style w:type="paragraph" w:styleId="965">
    <w:name w:val="toc 5"/>
    <w:basedOn w:val="972"/>
    <w:next w:val="972"/>
    <w:uiPriority w:val="39"/>
    <w:unhideWhenUsed/>
    <w:pPr>
      <w:ind w:left="1134" w:right="0" w:firstLine="0"/>
      <w:spacing w:after="57"/>
    </w:pPr>
  </w:style>
  <w:style w:type="paragraph" w:styleId="966">
    <w:name w:val="toc 6"/>
    <w:basedOn w:val="972"/>
    <w:next w:val="972"/>
    <w:uiPriority w:val="39"/>
    <w:unhideWhenUsed/>
    <w:pPr>
      <w:ind w:left="1417" w:right="0" w:firstLine="0"/>
      <w:spacing w:after="57"/>
    </w:pPr>
  </w:style>
  <w:style w:type="paragraph" w:styleId="967">
    <w:name w:val="toc 7"/>
    <w:basedOn w:val="972"/>
    <w:next w:val="972"/>
    <w:uiPriority w:val="39"/>
    <w:unhideWhenUsed/>
    <w:pPr>
      <w:ind w:left="1701" w:right="0" w:firstLine="0"/>
      <w:spacing w:after="57"/>
    </w:pPr>
  </w:style>
  <w:style w:type="paragraph" w:styleId="968">
    <w:name w:val="toc 8"/>
    <w:basedOn w:val="972"/>
    <w:next w:val="972"/>
    <w:uiPriority w:val="39"/>
    <w:unhideWhenUsed/>
    <w:pPr>
      <w:ind w:left="1984" w:right="0" w:firstLine="0"/>
      <w:spacing w:after="57"/>
    </w:pPr>
  </w:style>
  <w:style w:type="paragraph" w:styleId="969">
    <w:name w:val="toc 9"/>
    <w:basedOn w:val="972"/>
    <w:next w:val="972"/>
    <w:uiPriority w:val="39"/>
    <w:unhideWhenUsed/>
    <w:pPr>
      <w:ind w:left="2268" w:right="0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table of figures"/>
    <w:basedOn w:val="972"/>
    <w:next w:val="972"/>
    <w:uiPriority w:val="99"/>
    <w:unhideWhenUsed/>
    <w:pPr>
      <w:spacing w:after="0" w:afterAutospacing="0"/>
    </w:pPr>
  </w:style>
  <w:style w:type="paragraph" w:styleId="972" w:default="1">
    <w:name w:val="Normal"/>
    <w:qFormat/>
  </w:style>
  <w:style w:type="paragraph" w:styleId="973">
    <w:name w:val="Heading 1"/>
    <w:basedOn w:val="972"/>
    <w:link w:val="978"/>
    <w:uiPriority w:val="9"/>
    <w:qFormat/>
    <w:pPr>
      <w:spacing w:after="0" w:line="240" w:lineRule="auto"/>
      <w:outlineLvl w:val="0"/>
    </w:pPr>
    <w:rPr>
      <w:rFonts w:ascii="Arial" w:hAnsi="Arial" w:cs="Arial" w:eastAsia="Times New Roman"/>
      <w:sz w:val="48"/>
      <w:szCs w:val="48"/>
    </w:rPr>
  </w:style>
  <w:style w:type="paragraph" w:styleId="974">
    <w:name w:val="Heading 3"/>
    <w:basedOn w:val="972"/>
    <w:next w:val="972"/>
    <w:link w:val="982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75" w:default="1">
    <w:name w:val="Default Paragraph Font"/>
    <w:uiPriority w:val="1"/>
    <w:semiHidden/>
    <w:unhideWhenUsed/>
  </w:style>
  <w:style w:type="table" w:styleId="9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7" w:default="1">
    <w:name w:val="No List"/>
    <w:uiPriority w:val="99"/>
    <w:semiHidden/>
    <w:unhideWhenUsed/>
  </w:style>
  <w:style w:type="character" w:styleId="978" w:customStyle="1">
    <w:name w:val="Заголовок 1 Знак"/>
    <w:basedOn w:val="975"/>
    <w:link w:val="973"/>
    <w:uiPriority w:val="9"/>
    <w:rPr>
      <w:rFonts w:ascii="Arial" w:hAnsi="Arial" w:cs="Arial" w:eastAsia="Times New Roman"/>
      <w:sz w:val="48"/>
      <w:szCs w:val="48"/>
    </w:rPr>
  </w:style>
  <w:style w:type="character" w:styleId="979">
    <w:name w:val="Hyperlink"/>
    <w:basedOn w:val="975"/>
    <w:uiPriority w:val="99"/>
    <w:semiHidden/>
    <w:unhideWhenUsed/>
    <w:rPr>
      <w:color w:val="0000FF"/>
      <w:u w:val="single"/>
    </w:rPr>
  </w:style>
  <w:style w:type="paragraph" w:styleId="980">
    <w:name w:val="Normal (Web)"/>
    <w:basedOn w:val="972"/>
    <w:uiPriority w:val="99"/>
    <w:unhideWhenUsed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98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  <w:style w:type="character" w:styleId="982" w:customStyle="1">
    <w:name w:val="Заголовок 3 Знак"/>
    <w:basedOn w:val="975"/>
    <w:link w:val="97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83">
    <w:name w:val="Body Text Indent 2"/>
    <w:basedOn w:val="972"/>
    <w:link w:val="984"/>
    <w:unhideWhenUsed/>
    <w:pPr>
      <w:ind w:left="283"/>
      <w:spacing w:after="120" w:line="48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984" w:customStyle="1">
    <w:name w:val="Основной текст с отступом 2 Знак"/>
    <w:basedOn w:val="975"/>
    <w:link w:val="983"/>
    <w:rPr>
      <w:rFonts w:ascii="Times New Roman" w:hAnsi="Times New Roman" w:cs="Times New Roman" w:eastAsia="Times New Roman"/>
      <w:sz w:val="24"/>
      <w:szCs w:val="24"/>
    </w:rPr>
  </w:style>
  <w:style w:type="paragraph" w:styleId="985">
    <w:name w:val="No Spacing"/>
    <w:uiPriority w:val="99"/>
    <w:qFormat/>
    <w:pPr>
      <w:spacing w:after="0" w:line="240" w:lineRule="auto"/>
    </w:pPr>
    <w:rPr>
      <w:rFonts w:ascii="Calibri" w:hAnsi="Calibri" w:cs="Times New Roman" w:eastAsia="Times New Roman"/>
    </w:rPr>
  </w:style>
  <w:style w:type="paragraph" w:styleId="986" w:customStyle="1">
    <w:name w:val="ConsPlusNormal"/>
    <w:pPr>
      <w:spacing w:after="0" w:line="240" w:lineRule="auto"/>
    </w:pPr>
    <w:rPr>
      <w:rFonts w:ascii="Arial" w:hAnsi="Arial" w:cs="Arial" w:eastAsia="Times New Roman"/>
      <w:sz w:val="20"/>
      <w:szCs w:val="20"/>
    </w:rPr>
  </w:style>
  <w:style w:type="paragraph" w:styleId="987">
    <w:name w:val="Body Text Indent"/>
    <w:basedOn w:val="972"/>
    <w:link w:val="988"/>
    <w:uiPriority w:val="99"/>
    <w:semiHidden/>
    <w:unhideWhenUsed/>
    <w:pPr>
      <w:ind w:left="283"/>
      <w:spacing w:after="120"/>
    </w:pPr>
  </w:style>
  <w:style w:type="character" w:styleId="988" w:customStyle="1">
    <w:name w:val="Основной текст с отступом Знак"/>
    <w:basedOn w:val="975"/>
    <w:link w:val="987"/>
    <w:uiPriority w:val="99"/>
    <w:semiHidden/>
  </w:style>
  <w:style w:type="character" w:styleId="989" w:customStyle="1">
    <w:name w:val="Основной текст (2)"/>
    <w:basedOn w:val="975"/>
    <w:rPr>
      <w:rFonts w:ascii="Arial Unicode MS" w:hAnsi="Arial Unicode MS" w:cs="Arial Unicode MS" w:eastAsia="Arial Unicode MS" w:hint="eastAsia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 w:bidi="ru-RU" w:eastAsia="ru-RU"/>
    </w:rPr>
  </w:style>
  <w:style w:type="character" w:styleId="990" w:customStyle="1">
    <w:name w:val="Заголовок №1"/>
    <w:basedOn w:val="975"/>
    <w:rPr>
      <w:rFonts w:ascii="Arial Unicode MS" w:hAnsi="Arial Unicode MS" w:cs="Arial Unicode MS" w:eastAsia="Arial Unicode MS" w:hint="eastAsia"/>
      <w:b/>
      <w:bCs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 w:bidi="ru-RU" w:eastAsia="ru-RU"/>
    </w:rPr>
  </w:style>
  <w:style w:type="character" w:styleId="991" w:customStyle="1">
    <w:name w:val="Основной текст (3)"/>
    <w:basedOn w:val="975"/>
    <w:rPr>
      <w:rFonts w:ascii="Arial Unicode MS" w:hAnsi="Arial Unicode MS" w:cs="Arial Unicode MS" w:eastAsia="Arial Unicode MS" w:hint="eastAsia"/>
      <w:b/>
      <w:bCs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 w:bidi="ru-RU" w:eastAsia="ru-RU"/>
    </w:rPr>
  </w:style>
  <w:style w:type="character" w:styleId="992" w:customStyle="1">
    <w:name w:val="Основной текст (2)_"/>
    <w:basedOn w:val="97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character" w:styleId="993" w:customStyle="1">
    <w:name w:val="Основной текст (6)_"/>
    <w:basedOn w:val="975"/>
    <w:link w:val="994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994" w:customStyle="1">
    <w:name w:val="Основной текст (6)"/>
    <w:basedOn w:val="972"/>
    <w:link w:val="993"/>
    <w:pPr>
      <w:spacing w:before="1020" w:after="240" w:line="322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28"/>
      <w:szCs w:val="28"/>
    </w:rPr>
  </w:style>
  <w:style w:type="character" w:styleId="995" w:customStyle="1">
    <w:name w:val="Основной текст (7)_"/>
    <w:basedOn w:val="975"/>
    <w:link w:val="997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character" w:styleId="996" w:customStyle="1">
    <w:name w:val="Основной текст (8)_"/>
    <w:basedOn w:val="975"/>
    <w:link w:val="998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997" w:customStyle="1">
    <w:name w:val="Основной текст (7)"/>
    <w:basedOn w:val="972"/>
    <w:link w:val="995"/>
    <w:pPr>
      <w:jc w:val="center"/>
      <w:spacing w:before="960" w:after="0" w:line="322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998" w:customStyle="1">
    <w:name w:val="Основной текст (8)"/>
    <w:basedOn w:val="972"/>
    <w:link w:val="996"/>
    <w:pPr>
      <w:jc w:val="center"/>
      <w:spacing w:after="600" w:line="322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999">
    <w:name w:val="Subtitle"/>
    <w:basedOn w:val="972"/>
    <w:next w:val="972"/>
    <w:link w:val="1000"/>
    <w:qFormat/>
    <w:pPr>
      <w:numPr>
        <w:ilvl w:val="1"/>
      </w:numPr>
      <w:spacing w:after="0" w:line="240" w:lineRule="auto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1000" w:customStyle="1">
    <w:name w:val="Подзаголовок Знак"/>
    <w:basedOn w:val="975"/>
    <w:link w:val="99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001">
    <w:name w:val="Header"/>
    <w:basedOn w:val="972"/>
    <w:link w:val="10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2" w:customStyle="1">
    <w:name w:val="Верхний колонтитул Знак"/>
    <w:basedOn w:val="975"/>
    <w:link w:val="1001"/>
    <w:uiPriority w:val="99"/>
  </w:style>
  <w:style w:type="paragraph" w:styleId="1003">
    <w:name w:val="Footer"/>
    <w:basedOn w:val="972"/>
    <w:link w:val="10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4" w:customStyle="1">
    <w:name w:val="Нижний колонтитул Знак"/>
    <w:basedOn w:val="975"/>
    <w:link w:val="1003"/>
    <w:uiPriority w:val="99"/>
  </w:style>
  <w:style w:type="paragraph" w:styleId="1005">
    <w:name w:val="List Paragraph"/>
    <w:basedOn w:val="972"/>
    <w:uiPriority w:val="34"/>
    <w:qFormat/>
    <w:pPr>
      <w:contextualSpacing/>
      <w:ind w:left="720"/>
    </w:pPr>
  </w:style>
  <w:style w:type="paragraph" w:styleId="1006">
    <w:name w:val="Balloon Text"/>
    <w:basedOn w:val="972"/>
    <w:link w:val="10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7" w:customStyle="1">
    <w:name w:val="Текст выноски Знак"/>
    <w:basedOn w:val="975"/>
    <w:link w:val="1006"/>
    <w:uiPriority w:val="99"/>
    <w:semiHidden/>
    <w:rPr>
      <w:rFonts w:ascii="Tahoma" w:hAnsi="Tahoma" w:cs="Tahoma"/>
      <w:sz w:val="16"/>
      <w:szCs w:val="16"/>
    </w:rPr>
  </w:style>
  <w:style w:type="paragraph" w:styleId="1008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1009">
    <w:name w:val="Заголовок 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oleObject" Target="embeddings/oleObject1.doc"/><Relationship Id="rId18" Type="http://schemas.openxmlformats.org/officeDocument/2006/relationships/hyperlink" Target="file:///C:\Users\Saudahanov\Desktop\2.%20&#1055;&#1056;&#1054;&#1045;&#1050;&#1058;%20&#1087;&#1086;%20&#1055;&#1059;&#1060;\&#1055;&#1059;&#1060;%20-%20&#1086;&#1088;&#1075;&#1072;&#1085;&#1080;&#1079;.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3CFEE57-B969-48F9-B58C-49749F7E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Saudahanov</dc:creator>
  <cp:revision>51</cp:revision>
  <dcterms:created xsi:type="dcterms:W3CDTF">2020-10-06T10:55:00Z</dcterms:created>
  <dcterms:modified xsi:type="dcterms:W3CDTF">2023-01-20T12:27:34Z</dcterms:modified>
</cp:coreProperties>
</file>