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ИЗВЕЩЕНИЕ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jc w:val="center"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о проведении открытого конкурса «Частичная компенсация затрат субъектам малого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и среднего предпринимательства, оказывающим населению услуги общественного питания, парикмахерские, гостиничные услуги, услуги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по пошиву и ремонту одежды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, и субъекта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м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малого и с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реднего предпринимательства в сфере розничной торговли, осуществляющим деятельность в труднодоступны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х и отдаленных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населенных пунктах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»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за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2 квар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тал 2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02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4 года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jc w:val="center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72"/>
        <w:numPr>
          <w:ilvl w:val="0"/>
          <w:numId w:val="13"/>
        </w:numPr>
        <w:ind w:left="0" w:right="0" w:firstLine="709"/>
        <w:jc w:val="both"/>
        <w:spacing w:after="0"/>
        <w:tabs>
          <w:tab w:val="num" w:pos="567" w:leader="none"/>
        </w:tabs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Наименование и адрес организатора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Администрация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, 629380,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Я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НА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О, с. Красноселькуп, ул. Советская, 18, тел. 2-14-07.</w:t>
      </w:r>
      <w:r>
        <w:rPr>
          <w:rFonts w:ascii="Liberation Sans" w:hAnsi="Liberation Sans" w:cs="Liberation Sans" w:eastAsia="Liberation Sans"/>
        </w:rPr>
      </w:r>
      <w:r/>
    </w:p>
    <w:p>
      <w:pPr>
        <w:pStyle w:val="872"/>
        <w:ind w:left="567"/>
        <w:jc w:val="both"/>
        <w:spacing w:after="0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72"/>
        <w:numPr>
          <w:ilvl w:val="0"/>
          <w:numId w:val="13"/>
        </w:numPr>
        <w:ind w:left="0" w:right="0" w:firstLine="709"/>
        <w:jc w:val="both"/>
        <w:spacing w:after="0"/>
        <w:tabs>
          <w:tab w:val="num" w:pos="567" w:leader="none"/>
        </w:tabs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Предмет конкурса и основные требования к претенденту:</w:t>
      </w:r>
      <w:r>
        <w:rPr>
          <w:rFonts w:ascii="Liberation Sans" w:hAnsi="Liberation Sans" w:cs="Liberation Sans" w:eastAsia="Liberation Sans"/>
        </w:rPr>
      </w:r>
      <w:r/>
    </w:p>
    <w:p>
      <w:pPr>
        <w:pStyle w:val="864"/>
        <w:ind w:firstLine="567"/>
        <w:jc w:val="both"/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Конкурс «Частичная компенсация затрат субъек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там малого и среднего предпринимательства, о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казывающим населению услуги общественного питан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ия, парик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м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херские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гостиничные услуги, услуги по пошиву и ремонту одежды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и субъектам малого и среднего предпринимательства в сфере розничной торговли, осуществляющ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им деятельность в труднодоступных и отдаленных населенных пунктах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» проводится в соответствии с поста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н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о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влением Администрации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ого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от 2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9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.0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3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.20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22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года №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119-П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«Об утверждении Порядка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предоставлени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субси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дии на частичную компенсацию затрат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по оплате коммунальных услуг субъе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ктам малого и среднего предпринимательства, оказывающим населению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услуги общественного питания, парикмахерские, гостиничные услуги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услуги по пошиву и ремонту одежды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и субъектам малог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о и среднего предпринимательства в сф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ере розничной торговл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и, осуществляющим деятельность в труднодоступных и отдаленных населенных пункта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х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» (далее – Порядок). </w:t>
      </w:r>
      <w:r>
        <w:rPr>
          <w:rFonts w:ascii="Liberation Sans" w:hAnsi="Liberation Sans" w:cs="Liberation Sans" w:eastAsia="Liberation Sans"/>
        </w:rPr>
      </w:r>
      <w:r/>
    </w:p>
    <w:p>
      <w:pPr>
        <w:pStyle w:val="864"/>
        <w:ind w:firstLine="709"/>
        <w:jc w:val="both"/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К участию в конкурсе допускаются субъекты (юридические лица и индивидуальным предприниматели), относящиеся к категории субъектов мало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го или среднего предпринимательства в соответствии Федеральным законом от 24 июля 2007 года N 209-ФЗ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«О развитии малого и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среднего предпринимательства в Российской Федерации», осуществляющие свою деятельность на территории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ого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не име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ющие зад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олженности по налоговым и иным обязательным платежам в бюджеты всех уровней и государстве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нны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е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в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небюджетные фонды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предоставляющие населению услуги общественного питания, парикмахерские, гостиничные услуги, услуги по пошиву и ремонту одежды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, субъект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ы малого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и среднего предпринимательства в сфере розничной торговли, осуществляющие деятельность в тр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у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д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нодоступных и отдаленных населенных пунктах, в сфере розничной торговли лекарственными средствами.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numPr>
          <w:ilvl w:val="0"/>
          <w:numId w:val="13"/>
        </w:numPr>
        <w:ind w:left="0" w:right="0" w:firstLine="709"/>
        <w:jc w:val="both"/>
        <w:tabs>
          <w:tab w:val="num" w:pos="1134" w:leader="none"/>
        </w:tabs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Субсидии предоставляются за фактически понесенные затраты п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о оплате коммунальных услуг за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2 квартал 202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4 год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(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апрель - июнь 2024 года)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, в размере не более: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оказыв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ающи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населению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услуги общественного питания, в размере до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90 процентов от фактически произведенных и документально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подтвержденны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х затрат 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квартал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года)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 w:eastAsia="Liberation Sans"/>
          <w:b w:val="0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субъектам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П, оказывающи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населению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парикма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херские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услуги, услуги по пошиву и ремонту одежды, в размере до 90 процентов от фактически произв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еденных и документально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подтвержденных затрат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квартал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</w:t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)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субъектам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осуществляющи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деятельность в сфере гостиничног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 бизнеса, в размере до 70 процен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тов от фактически произведенных и д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окумент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ально подтвержденных затрат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квартал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</w:t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)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субъектам </w:t>
      </w:r>
      <w:r>
        <w:rPr>
          <w:rFonts w:ascii="Liberation Sans" w:hAnsi="Liberation Sans" w:cs="Liberation Sans" w:eastAsia="Liberation Sans"/>
          <w:sz w:val="28"/>
          <w:szCs w:val="28"/>
          <w:lang w:eastAsia="en-US"/>
        </w:rPr>
        <w:t xml:space="preserve">МСП</w:t>
      </w:r>
      <w:r>
        <w:rPr>
          <w:rFonts w:ascii="Liberation Sans" w:hAnsi="Liberation Sans" w:cs="Liberation Sans" w:eastAsia="Liberation Sans"/>
          <w:sz w:val="28"/>
          <w:szCs w:val="28"/>
          <w:lang w:eastAsia="en-US"/>
        </w:rPr>
        <w:t xml:space="preserve"> в сфере розничной торговли, осуществляющи</w:t>
      </w:r>
      <w:r>
        <w:rPr>
          <w:rFonts w:ascii="Liberation Sans" w:hAnsi="Liberation Sans" w:cs="Liberation Sans" w:eastAsia="Liberation Sans"/>
          <w:sz w:val="28"/>
          <w:szCs w:val="28"/>
          <w:lang w:eastAsia="en-US"/>
        </w:rPr>
        <w:t xml:space="preserve">м</w:t>
      </w:r>
      <w:r>
        <w:rPr>
          <w:rFonts w:ascii="Liberation Sans" w:hAnsi="Liberation Sans" w:cs="Liberation Sans" w:eastAsia="Liberation Sans"/>
          <w:sz w:val="28"/>
          <w:szCs w:val="28"/>
          <w:lang w:eastAsia="en-US"/>
        </w:rPr>
        <w:t xml:space="preserve"> деятельность в труднодоступных и отдаленных н</w:t>
      </w:r>
      <w:r>
        <w:rPr>
          <w:rFonts w:ascii="Liberation Sans" w:hAnsi="Liberation Sans" w:cs="Liberation Sans" w:eastAsia="Liberation Sans"/>
          <w:sz w:val="28"/>
          <w:szCs w:val="28"/>
          <w:lang w:eastAsia="en-US"/>
        </w:rPr>
        <w:t xml:space="preserve">аселенных пунктах, в размере до 75 проц</w:t>
      </w:r>
      <w:r>
        <w:rPr>
          <w:rFonts w:ascii="Liberation Sans" w:hAnsi="Liberation Sans" w:cs="Liberation Sans" w:eastAsia="Liberation Sans"/>
          <w:sz w:val="28"/>
          <w:szCs w:val="28"/>
          <w:lang w:eastAsia="en-US"/>
        </w:rPr>
        <w:t xml:space="preserve">ентов от фактически произведенных и документально подтвержденных затрат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квартал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</w:t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)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 w:eastAsia="Liberation Sans"/>
          <w:szCs w:val="28"/>
          <w:highlight w:val="none"/>
        </w:rPr>
      </w:pPr>
      <w:r>
        <w:rPr>
          <w:rFonts w:ascii="Liberation Sans" w:hAnsi="Liberation Sans" w:cs="Liberation Sans" w:eastAsia="Liberation Sans"/>
          <w:sz w:val="28"/>
          <w:szCs w:val="28"/>
          <w:highlight w:val="none"/>
          <w:lang w:val="en-US"/>
        </w:rPr>
        <w:t xml:space="preserve"> – </w:t>
      </w:r>
      <w:r>
        <w:rPr>
          <w:rFonts w:ascii="Liberation Sans" w:hAnsi="Liberation Sans" w:cs="Liberation Sans" w:eastAsia="Liberation Sans"/>
          <w:b w:val="0"/>
          <w:sz w:val="28"/>
          <w:szCs w:val="28"/>
          <w:highlight w:val="none"/>
        </w:rPr>
        <w:t xml:space="preserve">субъектам МС</w:t>
      </w:r>
      <w:r>
        <w:rPr>
          <w:rFonts w:ascii="Liberation Sans" w:hAnsi="Liberation Sans" w:cs="Liberation Sans" w:eastAsia="Liberation Sans"/>
          <w:b w:val="0"/>
          <w:sz w:val="28"/>
          <w:szCs w:val="28"/>
          <w:highlight w:val="none"/>
        </w:rPr>
        <w:t xml:space="preserve">П</w:t>
      </w:r>
      <w:r>
        <w:rPr>
          <w:rFonts w:ascii="Liberation Sans" w:hAnsi="Liberation Sans" w:cs="Liberation Sans" w:eastAsia="Liberation Sans"/>
          <w:b w:val="0"/>
          <w:sz w:val="28"/>
          <w:szCs w:val="28"/>
          <w:highlight w:val="none"/>
        </w:rPr>
        <w:t xml:space="preserve"> в сфере розничной торговли лекарственными средствами, в размере до 50 процентов от фактически произведенных и документально подтвержденных затрат за 2 квартал 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</w:t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)</w:t>
      </w:r>
      <w:r>
        <w:rPr>
          <w:rFonts w:ascii="Liberation Sans" w:hAnsi="Liberation Sans" w:cs="Liberation Sans" w:eastAsia="Liberation Sans"/>
          <w:sz w:val="28"/>
          <w:szCs w:val="28"/>
          <w:highlight w:val="none"/>
          <w:lang w:eastAsia="en-US"/>
        </w:rPr>
        <w:t xml:space="preserve">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72"/>
        <w:contextualSpacing/>
        <w:ind w:left="567" w:right="0" w:firstLine="142"/>
        <w:jc w:val="both"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4.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ab/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Уча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стн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ики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конкурса: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1) Компенсация части затрат по оплате коммунальных услуг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субъектам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оказы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вающим населению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услуги общественног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 питания.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Субъекты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оказывающие населению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услуги общественного питани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я – это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субъекты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осуществляющи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 виды деятельности в соответствии с Общероссийским кл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ассификатором видов экономической деятельности (ОКВЭД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2) по следующ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им кодам группировки: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- 56.1 «Деятельность ресторанов и услуги по доставке продуктов питания»;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- 56.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10 «Деятельность ресторанов и услуг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и по доставке продуктов питания»;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- 56.10.21 «Деятельн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ость предприятий общ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ественного питания с обслуживанием на вынос»;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56.2 «Деятельность предприятий общественного питания по обслуживанию торжественных мероприятий и пр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очим видам организации питания»;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56.21 «Деятельность предприятий общественного питания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по обслуживанию торжественных мероприятий»;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- 56.29 «Деятельность 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редприятий общественног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 питания по прочим видам организации питания». 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2) Компенсация части затрат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по оплате коммунальных усл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уг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субъектам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оказывающим населению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парикмахерские услуги, услуги по пошиву и ремонту одежды.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кты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оказывающие населению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парикмахерские услуги, услуги по пошиву и р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емонту одежды – это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убъекты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осуществляющие виды деятельно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сти в соответствии с Общер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оссийским классификатором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видов экономической деятельности (ОКВЭД)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по следующим кодам группировки: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все коды группировки по классу 14;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- 96.02 «Предоставление услуг 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арикмахерскими и салонами красо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ты»;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- 96.02.1 «Предоставление 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арикмахерских услуг»;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- 96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.02.2 «Предоставление косметических услуг парикмахерскими и салонам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и красоты»;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- 95.23 «Ремонт обуви и прочих изделий из кожи»;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- 95.29.1 «Ремонт одежды и текстильных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изделий»;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- 95.29.11 «Ремонт одежды»;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- 95.29.12 «Ремонт тексти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льных изделий»;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- 95.29.13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«Ремонт трикотажных изделий». 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3) Компенсация части затрат по оп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лате коммунальных услуг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субъектам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осуществляющим деятельность в сфере гостиничного бизнеса. 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бъ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екты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осуществляющие деятельность в сфере гостиничного бизнеса – это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субъекты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МСП, 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уществляющие виды деятельности в соответствии с Общероссийским кл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ассификатором видов экономической деятельности (ОКВЭД 2) по следу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ющим кодам группировки: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- 55.10 «Д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еятельность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гостиниц и прочих мест для временного проживания»;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- 55.90 «Деятельность по пре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доставлению прочих мест для временного проживания». 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4)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Компенса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ция част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 затрат по оплате коммунальных услуг субъект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м МСП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в сфере розничной торговли,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осуществляющим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деятельность в труднодоступных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 отдаленных населенных пунктах.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Субъекты МСП в сфере розничн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ой торговли, осущест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вляющие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деятельность в труднодоступных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 от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даленных населенных пунктах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– это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субъекты МСП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,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осуществляющие деятельность на террито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рии села Ратта, в стационарных торговых объектах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в соответствии с Общероссийски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м классификатором видов экономической деятельности (ОКВЭД 2) по следующим кодам группир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овки: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-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47.1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–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«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Торговля розничная в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неспециализированных магазинах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-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47.2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–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«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Торговля р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озничная пищевыми продуктами,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напитками и табачными изделиями в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специализирован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ных магазинах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».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 w:eastAsia="Liberation Sans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  <w:highlight w:val="none"/>
        </w:rPr>
        <w:t xml:space="preserve">5) </w:t>
      </w:r>
      <w:r>
        <w:rPr>
          <w:rFonts w:ascii="Liberation Sans" w:hAnsi="Liberation Sans" w:cs="Liberation Sans" w:eastAsia="Liberation Sans"/>
          <w:b w:val="0"/>
          <w:sz w:val="28"/>
          <w:szCs w:val="28"/>
          <w:highlight w:val="none"/>
        </w:rPr>
        <w:t xml:space="preserve">Компенсация части затрат по оплате коммунальных </w:t>
      </w:r>
      <w:r>
        <w:rPr>
          <w:rFonts w:ascii="Liberation Sans" w:hAnsi="Liberation Sans" w:cs="Liberation Sans" w:eastAsia="Liberation Sans"/>
          <w:b w:val="0"/>
          <w:sz w:val="28"/>
          <w:szCs w:val="28"/>
          <w:highlight w:val="none"/>
        </w:rPr>
        <w:t xml:space="preserve">услуг субъектам МСП в сфере розничной торговли лекарственными средствами, осуществляющим в Красноселькупском районе виды деятельности в соответствии с Общероссийским классификатором видов экономической деятельности (ОКВЭД 2) по следующим кодам группировки: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690"/>
        <w:numPr>
          <w:ilvl w:val="0"/>
          <w:numId w:val="19"/>
        </w:numPr>
        <w:ind w:left="0" w:right="0" w:firstLine="709"/>
        <w:jc w:val="both"/>
        <w:rPr>
          <w:rFonts w:ascii="Liberation Sans" w:hAnsi="Liberation Sans" w:cs="Liberation Sans" w:eastAsia="Liberation Sans"/>
          <w:szCs w:val="28"/>
          <w:highlight w:val="none"/>
        </w:rPr>
      </w:pPr>
      <w:r>
        <w:rPr>
          <w:rFonts w:ascii="Liberation Sans" w:hAnsi="Liberation Sans" w:cs="Liberation Sans" w:eastAsia="Liberation Sans"/>
          <w:b w:val="0"/>
          <w:sz w:val="28"/>
          <w:szCs w:val="28"/>
          <w:highlight w:val="none"/>
        </w:rPr>
        <w:t xml:space="preserve">47.73 «Торговля розничная лекарственными средствами в специализированных магазинах (аптеках)»</w:t>
      </w:r>
      <w:r>
        <w:rPr>
          <w:rFonts w:ascii="Liberation Sans" w:hAnsi="Liberation Sans" w:cs="Liberation Sans" w:eastAsia="Liberation Sans"/>
        </w:rPr>
        <w:t xml:space="preserve">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numPr>
          <w:ilvl w:val="0"/>
          <w:numId w:val="16"/>
        </w:numPr>
        <w:ind w:left="1068" w:right="0" w:hanging="359"/>
        <w:jc w:val="both"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Условия предоставления субсидии: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отсутствие у получателей субсидий 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росроченной задолженности по возврату в соответствующий бюджет бюджетной системы Российско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й Федерации су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бсидий, бюджетных инвестиций, предоставленных в том числе в соотв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етствии с иными правовыми актами (в случае, если такое требование предусмотрено правовы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 актом), и иная просроченная задолженность перед соответствующим бюджетом бюджетной систе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мы Российской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Федерации;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4"/>
        <w:ind w:left="0" w:right="0" w:firstLine="709"/>
        <w:jc w:val="both"/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-</w:t>
      </w: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отсутствие задолженности по оплате труда перед работ</w:t>
      </w: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никами МСП, </w:t>
      </w:r>
      <w:r>
        <w:rPr>
          <w:rFonts w:ascii="Liberation Sans" w:hAnsi="Liberation Sans" w:cs="Liberation Sans" w:eastAsia="Liberation Sans"/>
        </w:rPr>
      </w:r>
      <w:r/>
    </w:p>
    <w:p>
      <w:pPr>
        <w:pStyle w:val="854"/>
        <w:ind w:left="0" w:right="0" w:firstLine="709"/>
        <w:jc w:val="both"/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- заработная плата работников МСП не ниже размера минимальной заработной п</w:t>
      </w: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латы, установленной в рамках регионального трёхстороннего соглашения от 27 декабря 2017 го</w:t>
      </w: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да «О минималь</w:t>
      </w:r>
      <w:r>
        <w:rPr>
          <w:rFonts w:ascii="Liberation Sans" w:hAnsi="Liberation Sans" w:cs="Liberation Sans" w:eastAsia="Liberation Sans"/>
          <w:b w:val="0"/>
          <w:i w:val="0"/>
          <w:color w:val="000000"/>
          <w:sz w:val="28"/>
          <w:szCs w:val="28"/>
        </w:rPr>
        <w:t xml:space="preserve">ной заработной плате в Ямало-Ненецком автономном округе»;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получ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атели субсидий не должны находиться в процессе реорганизации, ликвидации, банкротства 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не должны иметь ограничения на осуществление хозяйственной деятельности (в случае, если 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акое требовани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 предусмотрено правовым актом);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отсутствие оснований, предусмо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тренных частями 3 - 5 статьи 14 Федерального закона N 209-ФЗ «О развитии малого и средн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его предпринимательства в Российской Федерации»;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отсутствие не устраненных нарушений по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предписаниям,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выданным органом, осуществляющим государственный надзор за соблюд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ением трудового законодательства и иных нормативных правовых актов, содержащих нормы тр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удового права;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widowControl w:val="off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-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заключение с Администрацией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договора о предоста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влении субсиди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 из бюджета района на частичную компенсацию затрат по оплате ком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мунальных услуг субъектам малого и среднего предпринимательства, оказывающим населению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услуги общественного питания, парикмахерские, гостиничные услуги, услуги по пошиву и ремон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ту одежды (дал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ее – договор о предоставлении субсидии), дополнительного соглашен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ия к договору, в том числе дополнительного соглашения о расторжении договора (при необх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одимости) в соответствии с типовой формой соглашения (договора), утверждённой Управлением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финансов Админ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истрации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получатели субсидий не дол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жны являться иностранными юридическими лицами, а также российскими юридическими лицами,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в уставном (складочном) капитале которых доля участия иностранных юридических лиц, местом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регистрации к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оторых является государство или территория, включенные в утвержда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емый Министерством финансов Российской Федерации перечень государств и территорий, пред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оставляющих льготный налоговый режим налогообложения и (или) не предусматривающих раскрыти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я и предоставл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ения информации при проведении финансовых операций (офшорные зоны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) в отношении таких юридических лиц, в совокупности превышает 50 процентов.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708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74"/>
        <w:ind w:left="0" w:right="0" w:firstLine="709"/>
        <w:jc w:val="both"/>
        <w:widowControl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6.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ab/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Основа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ниями для отказа в предоставлении субсидии являются: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- заявитель не предоставил (предостав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ил не полном о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бъеме) пакет документов в соответствии с подпунктом 2.9 Порядка;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 - заявитель предоставил недостоверную информацию;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 - заявитель не соответствует катего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рии получателей субсидии в соответствии с пунктом 1.9 Порядка;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 - если ранее в отношении з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аявителя было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принято решение об оказании аналогичной поддержки (условия которо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й, совпадают, включая форму, вид поддержки и цели ее оказания) и сроки ее оказания не и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стекли;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i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  <w:t xml:space="preserve"> - документы</w:t>
      </w:r>
      <w:r>
        <w:rPr>
          <w:rFonts w:ascii="Liberation Sans" w:hAnsi="Liberation Sans" w:cs="Liberation Sans" w:eastAsia="Liberation Sans"/>
        </w:rPr>
        <w:t xml:space="preserve"> 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заявителя, указанные в пункте 2.9 Порядка, не соответствуют требовани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ям пункта 2.20</w:t>
      </w:r>
      <w:r>
        <w:rPr>
          <w:rFonts w:ascii="Liberation Sans" w:hAnsi="Liberation Sans" w:cs="Liberation Sans" w:eastAsia="Liberation Sans"/>
          <w:sz w:val="28"/>
          <w:szCs w:val="28"/>
        </w:rPr>
        <w:t xml:space="preserve"> Порядка.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708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7.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ab/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Для получения субсидии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су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бъект МСП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, претендующий н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а получение субсидии, подает заявление по установленной форме (приложение №1 к Порядку)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в отдел экономики и ценообразования Администрации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 заявлению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прилагаются: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</w:rPr>
      </w:r>
      <w:bookmarkStart w:id="0" w:name="sub_33161"/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завере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нные копии учредительных документов Заявителя (для юридич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еских лиц);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устав, и (или) учредительный договор;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</w:rPr>
      </w:r>
      <w:bookmarkEnd w:id="0"/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расчёт размера субсидии по форм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е, приведённой в приложении № 2 к Порядку;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</w:rPr>
      </w:r>
      <w:bookmarkStart w:id="1" w:name="sub_3314"/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заверенные копии договоров с ресурсоснабжающ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ими организациями на 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оставку коммунальных услуг (теплоснабжения, электроснабже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ния, водоснабжения);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заверенные копии счетов-фактур, выставленных организациями на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оставку коммунальных услуг, 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квартал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</w:t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)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(теплоснабжения, электроснабжения,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водоснабжения); 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заверенные копии документов, подтверждаю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щих фактическую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оплату коммунальных услуг, 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квартал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2024 года 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(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апрель - июнь 2024 года</w:t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)</w:t>
      </w:r>
      <w:r>
        <w:rPr>
          <w:rFonts w:ascii="Liberation Sans" w:hAnsi="Liberation Sans" w:cs="Liberation Sans" w:eastAsia="Liberation Sans"/>
          <w:b w:val="0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</w:rPr>
      </w:r>
      <w:bookmarkEnd w:id="1"/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- справку о юридических и б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анковских реквизитах субъекта для заключения договора и перечисления суб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сидии.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 w:eastAsia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  <w:highlight w:val="none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8.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ab/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Способ, порядок и место получения конкурсной документ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ации:</w:t>
      </w:r>
      <w:r>
        <w:rPr>
          <w:rFonts w:ascii="Liberation Sans" w:hAnsi="Liberation Sans" w:cs="Liberation Sans" w:eastAsia="Liberation Sans"/>
        </w:rPr>
      </w:r>
      <w:r/>
    </w:p>
    <w:p>
      <w:pPr>
        <w:pStyle w:val="872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Заявка и перечень докум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ентов, необходимых для участия в ко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нкурсе, предоставляются в отдел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экономики и ценообразов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ания Администрации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(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каб. №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1).</w:t>
      </w:r>
      <w:r>
        <w:rPr>
          <w:rFonts w:ascii="Liberation Sans" w:hAnsi="Liberation Sans" w:cs="Liberation Sans" w:eastAsia="Liberation Sans"/>
        </w:rPr>
      </w:r>
      <w:r/>
    </w:p>
    <w:p>
      <w:pPr>
        <w:pStyle w:val="872"/>
        <w:contextualSpacing/>
        <w:ind w:left="0" w:right="0" w:firstLine="709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Документация необ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ходимая для участия в конкурсе размещена на официальном сайте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му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ниципального округа Красносел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ькупский район Ямало-Ненецкого автономного округа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: </w:t>
      </w:r>
      <w:r>
        <w:rPr>
          <w:rFonts w:ascii="Liberation Sans" w:hAnsi="Liberation Sans" w:cs="Liberation Sans" w:eastAsia="Liberation Sans"/>
          <w:color w:val="000000"/>
          <w:sz w:val="28"/>
          <w:szCs w:val="28"/>
          <w:lang w:val="en-US"/>
        </w:rPr>
        <w:t xml:space="preserve">www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 w:eastAsia="Liberation Sans"/>
          <w:color w:val="000000"/>
          <w:sz w:val="28"/>
          <w:szCs w:val="28"/>
          <w:lang w:val="en-US"/>
        </w:rPr>
        <w:t xml:space="preserve">selkup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 w:eastAsia="Liberation Sans"/>
          <w:color w:val="000000"/>
          <w:sz w:val="28"/>
          <w:szCs w:val="28"/>
          <w:lang w:val="en-US"/>
        </w:rPr>
        <w:t xml:space="preserve">yanao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 w:eastAsia="Liberation Sans"/>
          <w:color w:val="000000"/>
          <w:sz w:val="28"/>
          <w:szCs w:val="28"/>
          <w:lang w:val="en-US"/>
        </w:rPr>
        <w:t xml:space="preserve">ru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left="0" w:right="0" w:firstLine="709"/>
        <w:jc w:val="both"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9.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ab/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Сроки проведен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ия конкурса: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Конкурс по частичной компенсации затрат по оплате коммунальн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ых услуг субъектам малого и среднего предпринимательства, оказыв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ающим населению услуги общест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венного питания, парикмахерские, гостиничные услуги, услуги по пошиву и ремонту одежды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, су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бъе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ктам малого и среднего предпринимательства в сфере розничной 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орговли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осуществляющим деятельность в труднодоступных и отдаленных насе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ленных пунктах,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проводится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в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срок до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01 августа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202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4 года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Срок приема докумен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тов, для участ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ия в конкурсе за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квартал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202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4 года –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не позднее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22 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июля 202</w:t>
      </w:r>
      <w:r>
        <w:rPr>
          <w:rFonts w:ascii="Liberation Sans" w:hAnsi="Liberation Sans" w:cs="Liberation Sans" w:eastAsia="Liberation Sans"/>
          <w:b/>
          <w:color w:val="000000"/>
          <w:sz w:val="28"/>
          <w:szCs w:val="28"/>
        </w:rPr>
        <w:t xml:space="preserve">4 года.</w:t>
      </w:r>
      <w:r>
        <w:rPr>
          <w:rFonts w:ascii="Liberation Sans" w:hAnsi="Liberation Sans" w:cs="Liberation Sans" w:eastAsia="Liberation Sans"/>
        </w:rPr>
      </w:r>
      <w:r/>
    </w:p>
    <w:p>
      <w:pPr>
        <w:pStyle w:val="850"/>
        <w:ind w:firstLine="567"/>
        <w:jc w:val="both"/>
        <w:rPr>
          <w:rFonts w:ascii="Liberation Sans" w:hAnsi="Liberation Sans" w:cs="Liberation Sans" w:eastAsia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По всем возникающим вопросам обращаться: 629380, ЯНАО, с. Красноселькуп, ул. Советская, 18, отд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ел экономики и ценообразования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Администрации 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, тел. 8 (34932) 2-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14-07</w:t>
      </w:r>
      <w:r>
        <w:rPr>
          <w:rFonts w:ascii="Liberation Sans" w:hAnsi="Liberation Sans" w:cs="Liberation Sans" w:eastAsia="Liberation Sans"/>
          <w:color w:val="000000"/>
          <w:sz w:val="28"/>
          <w:szCs w:val="28"/>
        </w:rPr>
        <w:t xml:space="preserve">».</w:t>
      </w:r>
      <w:r>
        <w:rPr>
          <w:rFonts w:ascii="Liberation Sans" w:hAnsi="Liberation Sans" w:cs="Liberation Sans" w:eastAsia="Liberation Sans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MS Mincho">
    <w:panose1 w:val="02020503050405090304"/>
  </w:font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50"/>
        <w:ind w:left="1155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87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59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31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03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75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47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19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915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5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5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50"/>
        <w:ind w:left="1429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50"/>
        <w:ind w:left="25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32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39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46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54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61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68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75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8280" w:hanging="180"/>
      </w:p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50"/>
        <w:ind w:left="1143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86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58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30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023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74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46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183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903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50"/>
        <w:ind w:left="2160" w:hanging="360"/>
      </w:pPr>
      <w:rPr>
        <w:rFonts w:ascii="Symbol" w:hAnsi="Symbol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28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36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43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50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57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64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72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79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377" w:hanging="375"/>
        <w:tabs>
          <w:tab w:val="num" w:pos="137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2082" w:hanging="360"/>
        <w:tabs>
          <w:tab w:val="num" w:pos="20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802" w:hanging="180"/>
        <w:tabs>
          <w:tab w:val="num" w:pos="28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522" w:hanging="360"/>
        <w:tabs>
          <w:tab w:val="num" w:pos="35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4242" w:hanging="360"/>
        <w:tabs>
          <w:tab w:val="num" w:pos="42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962" w:hanging="180"/>
        <w:tabs>
          <w:tab w:val="num" w:pos="49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682" w:hanging="360"/>
        <w:tabs>
          <w:tab w:val="num" w:pos="56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402" w:hanging="360"/>
        <w:tabs>
          <w:tab w:val="num" w:pos="64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7122" w:hanging="180"/>
        <w:tabs>
          <w:tab w:val="num" w:pos="7122" w:leader="none"/>
        </w:tabs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50"/>
        <w:ind w:left="144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1800" w:hanging="180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5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8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2869" w:hanging="216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5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377" w:hanging="375"/>
        <w:tabs>
          <w:tab w:val="num" w:pos="137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2082" w:hanging="360"/>
        <w:tabs>
          <w:tab w:val="num" w:pos="20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802" w:hanging="180"/>
        <w:tabs>
          <w:tab w:val="num" w:pos="28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522" w:hanging="360"/>
        <w:tabs>
          <w:tab w:val="num" w:pos="35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4242" w:hanging="360"/>
        <w:tabs>
          <w:tab w:val="num" w:pos="42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962" w:hanging="180"/>
        <w:tabs>
          <w:tab w:val="num" w:pos="49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682" w:hanging="360"/>
        <w:tabs>
          <w:tab w:val="num" w:pos="56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402" w:hanging="360"/>
        <w:tabs>
          <w:tab w:val="num" w:pos="64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7122" w:hanging="180"/>
        <w:tabs>
          <w:tab w:val="num" w:pos="7122" w:leader="none"/>
        </w:tabs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5">
    <w:name w:val="Heading 2 Char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rPr>
      <w:sz w:val="24"/>
      <w:szCs w:val="24"/>
      <w:lang w:val="ru-RU" w:bidi="ar-SA" w:eastAsia="ru-RU"/>
    </w:rPr>
  </w:style>
  <w:style w:type="character" w:styleId="851">
    <w:name w:val="Основной шрифт абзаца"/>
    <w:next w:val="851"/>
    <w:link w:val="850"/>
    <w:semiHidden/>
  </w:style>
  <w:style w:type="table" w:styleId="852">
    <w:name w:val="Обычная таблица"/>
    <w:next w:val="852"/>
    <w:link w:val="850"/>
    <w:semiHidden/>
    <w:tblPr/>
  </w:style>
  <w:style w:type="numbering" w:styleId="853">
    <w:name w:val="Нет списка"/>
    <w:next w:val="853"/>
    <w:link w:val="850"/>
    <w:semiHidden/>
  </w:style>
  <w:style w:type="paragraph" w:styleId="854">
    <w:name w:val="Основной текст"/>
    <w:basedOn w:val="850"/>
    <w:next w:val="854"/>
    <w:link w:val="850"/>
    <w:pPr>
      <w:jc w:val="center"/>
    </w:pPr>
    <w:rPr>
      <w:b/>
      <w:bCs/>
      <w:i/>
      <w:iCs/>
      <w:color w:val="0000FF"/>
      <w:sz w:val="32"/>
      <w:szCs w:val="32"/>
    </w:rPr>
  </w:style>
  <w:style w:type="paragraph" w:styleId="855">
    <w:name w:val="заголовок 1"/>
    <w:basedOn w:val="850"/>
    <w:next w:val="850"/>
    <w:link w:val="850"/>
    <w:pPr>
      <w:jc w:val="center"/>
      <w:keepNext/>
    </w:pPr>
    <w:rPr>
      <w:color w:val="0000FF"/>
    </w:rPr>
  </w:style>
  <w:style w:type="character" w:styleId="856">
    <w:name w:val="Гиперссылка"/>
    <w:next w:val="856"/>
    <w:link w:val="850"/>
    <w:rPr>
      <w:color w:val="0000FF"/>
      <w:u w:val="single"/>
    </w:rPr>
  </w:style>
  <w:style w:type="table" w:styleId="857">
    <w:name w:val="Сетка таблицы"/>
    <w:basedOn w:val="852"/>
    <w:next w:val="857"/>
    <w:link w:val="850"/>
    <w:rPr>
      <w:lang w:bidi="ar-SA"/>
    </w:rPr>
    <w:tblPr/>
  </w:style>
  <w:style w:type="paragraph" w:styleId="858">
    <w:name w:val="Текст выноски"/>
    <w:basedOn w:val="850"/>
    <w:next w:val="858"/>
    <w:link w:val="850"/>
    <w:semiHidden/>
    <w:rPr>
      <w:rFonts w:ascii="Tahoma" w:hAnsi="Tahoma"/>
      <w:sz w:val="16"/>
      <w:szCs w:val="16"/>
    </w:rPr>
  </w:style>
  <w:style w:type="paragraph" w:styleId="859">
    <w:name w:val="Основной текст с отступом 3"/>
    <w:basedOn w:val="850"/>
    <w:next w:val="859"/>
    <w:link w:val="850"/>
    <w:pPr>
      <w:ind w:left="283"/>
      <w:spacing w:after="120"/>
    </w:pPr>
    <w:rPr>
      <w:sz w:val="16"/>
      <w:szCs w:val="16"/>
    </w:rPr>
  </w:style>
  <w:style w:type="paragraph" w:styleId="860">
    <w:name w:val="Название объекта"/>
    <w:basedOn w:val="850"/>
    <w:next w:val="860"/>
    <w:link w:val="850"/>
    <w:pPr>
      <w:jc w:val="center"/>
    </w:pPr>
    <w:rPr>
      <w:b/>
      <w:sz w:val="48"/>
      <w:szCs w:val="20"/>
    </w:rPr>
  </w:style>
  <w:style w:type="paragraph" w:styleId="861">
    <w:name w:val="Подзаголовок"/>
    <w:basedOn w:val="850"/>
    <w:next w:val="861"/>
    <w:link w:val="862"/>
    <w:pPr>
      <w:ind w:firstLine="720"/>
      <w:jc w:val="center"/>
    </w:pPr>
    <w:rPr>
      <w:b/>
      <w:szCs w:val="20"/>
    </w:rPr>
  </w:style>
  <w:style w:type="character" w:styleId="862">
    <w:name w:val="Подзаголовок Знак"/>
    <w:next w:val="862"/>
    <w:link w:val="861"/>
    <w:rPr>
      <w:b/>
      <w:sz w:val="24"/>
    </w:rPr>
  </w:style>
  <w:style w:type="paragraph" w:styleId="863">
    <w:name w:val="Абзац списка"/>
    <w:basedOn w:val="850"/>
    <w:next w:val="863"/>
    <w:link w:val="850"/>
    <w:pPr>
      <w:ind w:left="720"/>
      <w:spacing w:after="200" w:line="276" w:lineRule="auto"/>
    </w:pPr>
    <w:rPr>
      <w:rFonts w:ascii="Calibri" w:hAnsi="Calibri" w:eastAsia="MS Mincho"/>
      <w:sz w:val="22"/>
      <w:szCs w:val="22"/>
      <w:lang w:eastAsia="ja-JP"/>
    </w:rPr>
  </w:style>
  <w:style w:type="paragraph" w:styleId="864">
    <w:name w:val="ConsPlusTitle"/>
    <w:next w:val="864"/>
    <w:link w:val="850"/>
    <w:rPr>
      <w:b/>
      <w:bCs/>
      <w:sz w:val="24"/>
      <w:szCs w:val="24"/>
      <w:lang w:val="ru-RU" w:bidi="ar-SA" w:eastAsia="ru-RU"/>
    </w:rPr>
  </w:style>
  <w:style w:type="paragraph" w:styleId="865">
    <w:name w:val="Основной текст с отступом"/>
    <w:basedOn w:val="850"/>
    <w:next w:val="865"/>
    <w:link w:val="866"/>
    <w:pPr>
      <w:ind w:left="283"/>
      <w:jc w:val="both"/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866">
    <w:name w:val="Основной текст с отступом Знак"/>
    <w:next w:val="866"/>
    <w:link w:val="865"/>
    <w:rPr>
      <w:rFonts w:ascii="Calibri" w:hAnsi="Calibri" w:eastAsia="Calibri"/>
      <w:sz w:val="22"/>
      <w:szCs w:val="22"/>
      <w:lang w:eastAsia="en-US"/>
    </w:rPr>
  </w:style>
  <w:style w:type="paragraph" w:styleId="867">
    <w:name w:val="???????"/>
    <w:next w:val="867"/>
    <w:link w:val="850"/>
    <w:rPr>
      <w:lang w:val="ru-RU" w:bidi="ar-SA" w:eastAsia="ru-RU"/>
    </w:rPr>
  </w:style>
  <w:style w:type="paragraph" w:styleId="868">
    <w:name w:val="Без интервала,письмо"/>
    <w:next w:val="868"/>
    <w:link w:val="870"/>
    <w:rPr>
      <w:rFonts w:ascii="Calibri" w:hAnsi="Calibri"/>
      <w:sz w:val="22"/>
      <w:szCs w:val="22"/>
      <w:lang w:val="ru-RU" w:bidi="ar-SA" w:eastAsia="ru-RU"/>
    </w:rPr>
  </w:style>
  <w:style w:type="paragraph" w:styleId="869">
    <w:name w:val="ConsPlusNonformat"/>
    <w:next w:val="869"/>
    <w:link w:val="850"/>
    <w:pPr>
      <w:widowControl w:val="off"/>
    </w:pPr>
    <w:rPr>
      <w:rFonts w:ascii="Courier New" w:hAnsi="Courier New"/>
      <w:lang w:val="ru-RU" w:bidi="ar-SA" w:eastAsia="ru-RU"/>
    </w:rPr>
  </w:style>
  <w:style w:type="character" w:styleId="870">
    <w:name w:val="Без интервала Знак,письмо Знак"/>
    <w:next w:val="870"/>
    <w:link w:val="868"/>
    <w:rPr>
      <w:rFonts w:ascii="Calibri" w:hAnsi="Calibri"/>
      <w:sz w:val="22"/>
      <w:szCs w:val="22"/>
      <w:lang w:bidi="ar-SA"/>
    </w:rPr>
  </w:style>
  <w:style w:type="character" w:styleId="871">
    <w:name w:val="apple-style-span"/>
    <w:basedOn w:val="851"/>
    <w:next w:val="871"/>
    <w:link w:val="850"/>
  </w:style>
  <w:style w:type="paragraph" w:styleId="872">
    <w:name w:val="Основной текст 3"/>
    <w:basedOn w:val="850"/>
    <w:next w:val="872"/>
    <w:link w:val="873"/>
    <w:semiHidden/>
    <w:pPr>
      <w:spacing w:after="120"/>
    </w:pPr>
    <w:rPr>
      <w:sz w:val="16"/>
      <w:szCs w:val="16"/>
    </w:rPr>
  </w:style>
  <w:style w:type="character" w:styleId="873">
    <w:name w:val="Основной текст 3 Знак"/>
    <w:next w:val="873"/>
    <w:link w:val="872"/>
    <w:semiHidden/>
    <w:rPr>
      <w:sz w:val="16"/>
      <w:szCs w:val="16"/>
    </w:rPr>
  </w:style>
  <w:style w:type="paragraph" w:styleId="874">
    <w:name w:val="ConsPlusNormal"/>
    <w:next w:val="874"/>
    <w:link w:val="850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875">
    <w:name w:val="Строгий"/>
    <w:next w:val="875"/>
    <w:link w:val="850"/>
    <w:rPr>
      <w:b/>
      <w:bCs/>
    </w:rPr>
  </w:style>
  <w:style w:type="character" w:styleId="876" w:default="1">
    <w:name w:val="Default Paragraph Font"/>
    <w:uiPriority w:val="1"/>
    <w:semiHidden/>
    <w:unhideWhenUsed/>
  </w:style>
  <w:style w:type="numbering" w:styleId="877" w:default="1">
    <w:name w:val="No List"/>
    <w:uiPriority w:val="99"/>
    <w:semiHidden/>
    <w:unhideWhenUsed/>
  </w:style>
  <w:style w:type="table" w:styleId="8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2024-06-20T04:14:39Z</dcterms:modified>
</cp:coreProperties>
</file>