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3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«19» апреля 2024 г.                                                                           № 129-П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ind w:left="0" w:right="0" w:firstLine="709"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 внесении изменений в некоторые Административные регламенты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Управления по труду и социальной защите населения </w:t>
      </w:r>
      <w:r>
        <w:rPr>
          <w:rFonts w:ascii="Liberation Sans" w:hAnsi="Liberation Sans" w:cs="Liberation Sans"/>
          <w:b/>
          <w:sz w:val="28"/>
          <w:szCs w:val="28"/>
          <w:highlight w:val="none"/>
          <w:lang w:val="ru-RU"/>
        </w:rPr>
        <w:t xml:space="preserve">Администрации Красноселькупского района по предоставлению муниципальных услуг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В целях приведения нормативных правовых актов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Администрации Красноселькупского района в соответствие с законодательством Российской Федерации,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1. Утвердить прилагаемые изменения, которые вносятся в некоторые Административные регламенты Управления по труду и социальной защите населения Администрации Красноселькупского района по предоставлению муниципальных услуг.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23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23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23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Глава Красноселькупского района                  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en-US"/>
        </w:rPr>
        <w:t xml:space="preserve">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     Ю.В. Фише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br w:type="page" w:clear="all"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4535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11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УТВЕРЖДЕНЫ</w:t>
      </w:r>
      <w:r>
        <w:rPr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постановлением Администрации </w:t>
      </w:r>
      <w:r>
        <w:rPr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contextualSpacing/>
        <w:ind w:left="5102" w:right="0" w:firstLine="0"/>
        <w:jc w:val="both"/>
        <w:spacing w:after="0" w:line="283" w:lineRule="atLeast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«19» апреля 2024 г. № 129-П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left="5102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t xml:space="preserve">ИЗМЕНЕНИЯ,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23" w:lineRule="auto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которые вносятся в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некоторые Административные регламенты </w:t>
      </w:r>
      <w:r>
        <w:rPr>
          <w:rFonts w:ascii="Liberation Sans" w:hAnsi="Liberation Sans" w:cs="Liberation Sans"/>
          <w:b w:val="0"/>
          <w:sz w:val="28"/>
          <w:szCs w:val="28"/>
          <w:lang w:val="ru-RU"/>
        </w:rPr>
        <w:t xml:space="preserve">Управления по труду и социальной защите населения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Администрации Красноселькупского района по предоставлению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муниципальных услуг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b w:val="0"/>
          <w:i w:val="0"/>
          <w:strike w:val="0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1. В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пункте 2.13.8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дминистратив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ного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регламента по предоставлению муниципальной услуг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7"/>
          <w:highlight w:val="white"/>
        </w:rPr>
        <w:t xml:space="preserve">Установление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7"/>
          <w:highlight w:val="white"/>
        </w:rPr>
        <w:t xml:space="preserve">, перерасчет и выплата пенсии за выслугу лет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7"/>
          <w:highlight w:val="white"/>
        </w:rPr>
        <w:t xml:space="preserve">в муниципальном округе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7"/>
          <w:highlight w:val="white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, утвержденного постановлением Администрации Красноселькупского района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от 14 декабря 2023 года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br/>
        <w:t xml:space="preserve">№ 447-П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, слова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«Требования к помещению должны соответствовать санитарным правилам СП 2.2.3670-20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«Санитарно-эпидемиологические требования к условиям труда» заменить словами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«Требования к помещению должны соответствовать санитарно-эпидемиологическим правилам и нормативам «Санитарно-эпидемиологические требования к условиям труда» СП 2.2.3670-20.»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пункте 2.13.8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дминистративного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регламента по предоставлению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«Возмещение расходов по оплате оздоровления детей, постоянно проживающих в муниципальном округе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 Ямало-Ненецкого автономного округа»,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утвержденного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14 декабря 2023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449-П,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слова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«Требования к помещению должны соответствовать санитарным правилам СП 2.2.3670-20 «Санитарно-эпидемиологические требования к условиям труда» заменить словами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«Требования к помещению должны соответствовать санитарно-эпидемиологическим правилам и нормативам «Санитарно-эпидемиологические требования к условиям труда» СП 2.2.3670-20.»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3.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пункте 2.13.8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дминистративного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регламента по предоставлению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«Предоставление выплат гражданам, удостоенным звания «Почетный гражданин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</w:rPr>
        <w:t xml:space="preserve">муниципального округа Красноселькупский район Ямало-Ненецкого автономного округа»,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утвержденного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14 декабря 2023 года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№ 450-П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слова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«Требования к помещению должны соответствовать санитарным правилам СП 2.2.3670-20 «Санитарно-эпидемиологические требования к условиям труда» заменить словами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«Требования к помещению должны соответствовать санитарно-эпидемиологическим правилам и нормативам «Санитарно-эпидемиологические требования к условиям труда» СП 2.2.3670-20.»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r>
      <w:r/>
    </w:p>
    <w:p>
      <w:pPr>
        <w:contextualSpacing w:val="0"/>
        <w:ind w:left="0" w:right="0" w:firstLine="709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4.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В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пункте 2.13.8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А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дминистративного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 регламента по предоставлению муниципальной услуги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Компенсация расходов лицам, работающим в учреждениях, финансируемых за счет средств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местного бюджета, расположенных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 и членам их семей в случае переезда к новому месту жительства за пределы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  <w:highlight w:val="none"/>
        </w:rPr>
        <w:t xml:space="preserve">утвержденного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от 15 декабря 2023 года </w:t>
      </w:r>
      <w:r>
        <w:rPr>
          <w:rFonts w:ascii="Liberation Sans" w:hAnsi="Liberation Sans" w:eastAsia="Liberation Sans" w:cs="Liberation Sans"/>
          <w:sz w:val="28"/>
          <w:szCs w:val="27"/>
        </w:rPr>
        <w:t xml:space="preserve">№ 453-П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b w:val="0"/>
          <w:sz w:val="28"/>
          <w:szCs w:val="28"/>
          <w:highlight w:val="none"/>
          <w:lang w:val="ru-RU"/>
        </w:rPr>
        <w:t xml:space="preserve">слова </w:t>
      </w:r>
      <w:r>
        <w:rPr>
          <w:rFonts w:ascii="Liberation Sans" w:hAnsi="Liberation Sans" w:eastAsia="Liberation Sans" w:cs="Liberation Sans"/>
          <w:b w:val="0"/>
          <w:i w:val="0"/>
          <w:strike w:val="0"/>
          <w:color w:val="000000" w:themeColor="text1"/>
          <w:sz w:val="28"/>
          <w:szCs w:val="28"/>
        </w:rPr>
        <w:t xml:space="preserve">«Требования к помещению должны соответствовать санитарным правилам СП 2.2.3670-20 «Санитарно-эпидемиологические требования к условиям труда» заменить словами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«Требования к помещению должны соответствовать санитарно-эпидемиологическим правилам и нормативам «Санитарно-эпидемиологические требования к условиям труда» СП 2.2.3670-20.»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r>
      <w:r/>
    </w:p>
    <w:p>
      <w:pPr>
        <w:contextualSpacing w:val="0"/>
        <w:ind w:left="4535" w:right="0" w:firstLine="0"/>
        <w:jc w:val="both"/>
        <w:spacing w:after="0" w:line="223" w:lineRule="auto"/>
        <w:tabs>
          <w:tab w:val="left" w:pos="7937" w:leader="none"/>
        </w:tabs>
        <w:rPr>
          <w:rFonts w:ascii="Liberation Sans" w:hAnsi="Liberation Sans" w:eastAsia="Liberation Sans" w:cs="Liberation Sans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cs="Liberation Sans"/>
          <w:sz w:val="28"/>
          <w:szCs w:val="28"/>
          <w:highlight w:val="non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contextualSpacing w:val="0"/>
        <w:jc w:val="both"/>
        <w:suppressLineNumbers w:val="0"/>
      </w:pPr>
      <w:r/>
      <w:r/>
    </w:p>
    <w:sectPr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  <w:rPr>
        <w:sz w:val="24"/>
      </w:rPr>
    </w:pPr>
    <w:r>
      <w:rPr>
        <w:sz w:val="24"/>
      </w:rPr>
      <w:t xml:space="preserve">2</w:t>
    </w: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7"/>
    <w:next w:val="867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link w:val="691"/>
    <w:uiPriority w:val="9"/>
    <w:rPr>
      <w:rFonts w:ascii="Arial" w:hAnsi="Arial" w:eastAsia="Arial" w:cs="Arial"/>
      <w:sz w:val="40"/>
      <w:szCs w:val="40"/>
    </w:rPr>
  </w:style>
  <w:style w:type="paragraph" w:styleId="693">
    <w:name w:val="Heading 2"/>
    <w:basedOn w:val="867"/>
    <w:next w:val="867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>
    <w:name w:val="Heading 2 Char"/>
    <w:link w:val="693"/>
    <w:uiPriority w:val="9"/>
    <w:rPr>
      <w:rFonts w:ascii="Arial" w:hAnsi="Arial" w:eastAsia="Arial" w:cs="Arial"/>
      <w:sz w:val="34"/>
    </w:rPr>
  </w:style>
  <w:style w:type="paragraph" w:styleId="695">
    <w:name w:val="Heading 3"/>
    <w:basedOn w:val="867"/>
    <w:next w:val="867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6">
    <w:name w:val="Heading 3 Char"/>
    <w:link w:val="69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7"/>
    <w:next w:val="867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7"/>
    <w:next w:val="867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7"/>
    <w:next w:val="867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7"/>
    <w:next w:val="867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7"/>
    <w:next w:val="867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Title"/>
    <w:basedOn w:val="867"/>
    <w:next w:val="867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>
    <w:name w:val="Title Char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3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7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7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8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9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0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1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2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No Spacing"/>
    <w:basedOn w:val="867"/>
    <w:uiPriority w:val="1"/>
    <w:qFormat/>
    <w:pPr>
      <w:spacing w:after="0" w:line="240" w:lineRule="auto"/>
    </w:pPr>
  </w:style>
  <w:style w:type="paragraph" w:styleId="871">
    <w:name w:val="List Paragraph"/>
    <w:basedOn w:val="867"/>
    <w:uiPriority w:val="34"/>
    <w:qFormat/>
    <w:pPr>
      <w:contextualSpacing/>
      <w:ind w:left="720"/>
    </w:pPr>
  </w:style>
  <w:style w:type="character" w:styleId="872" w:default="1">
    <w:name w:val="Default Paragraph Font"/>
    <w:uiPriority w:val="1"/>
    <w:semiHidden/>
    <w:unhideWhenUsed/>
  </w:style>
  <w:style w:type="paragraph" w:styleId="873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74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ans"/>
        <a:ea typeface="Liberation Sans"/>
        <a:cs typeface="Liberation Sans"/>
      </a:majorFont>
      <a:minorFont>
        <a:latin typeface="Liberation Sans"/>
        <a:ea typeface="Liberation Sans"/>
        <a:cs typeface="Liberation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2024-04-19T11:55:49Z</dcterms:modified>
</cp:coreProperties>
</file>