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  <w:jc w:val="center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8455455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3724" cy="73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center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2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«26» февраля 2024 г.                                                                          № 59-П</w:t>
      </w:r>
      <w:r/>
    </w:p>
    <w:p>
      <w:pPr>
        <w:pStyle w:val="92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center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center"/>
        <w:spacing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б утверждении Положения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о составе, порядке подготовки документов территориального планирования муниципального округа Красноселькупский район Ямало-Ненецкого автономного округа, порядке подготовки изменений и внесения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их в такие документы,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а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акже составе и порядке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 подготовки планов реализации таких документов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left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left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Федерации», частью 2 статьи 18 Градостроительного кодекса 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законом Ямало-Нен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ецкого автономного округа от 18.04.2007 № 36-ЗАО «Градостроительный устав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both"/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 Утвердить прилагаемое Положение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о составе, порядке подготовки документов территориального планирования муниципального округа Красноселькупский район Ямало-Ненецкого автономного округа, порядке подготовки изменений и внесения их в такие документы,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а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акже составе и порядке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 подготовки планов реализации таких документов.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Настоящее постановление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line="276" w:lineRule="auto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 района</w:t>
        <w:tab/>
        <w:t xml:space="preserve">     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line="276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6"/>
        </w:rPr>
      </w:r>
      <w:r/>
    </w:p>
    <w:p>
      <w:pPr>
        <w:ind w:left="5102" w:right="0" w:firstLine="0"/>
        <w:jc w:val="left"/>
        <w:spacing w:after="0" w:afterAutospacing="0" w:line="240" w:lineRule="auto"/>
        <w:shd w:val="nil" w:color="00000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Приложен</w:t>
      </w:r>
      <w:r>
        <w:rPr>
          <w:rFonts w:ascii="Liberation Sans" w:hAnsi="Liberation Sans" w:cs="Liberation Sans"/>
          <w:sz w:val="28"/>
          <w:szCs w:val="28"/>
        </w:rPr>
        <w:t xml:space="preserve">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/>
    </w:p>
    <w:p>
      <w:pPr>
        <w:ind w:left="5102" w:right="0" w:firstLine="0"/>
        <w:jc w:val="left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/>
    </w:p>
    <w:p>
      <w:pPr>
        <w:ind w:left="5102" w:right="0" w:firstLine="0"/>
        <w:jc w:val="left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УТВЕРЖДЕН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ind w:left="5102" w:right="0" w:firstLine="0"/>
        <w:jc w:val="left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постановлением Администрации </w:t>
      </w:r>
      <w:r>
        <w:rPr>
          <w:color w:val="000000" w:themeColor="text1"/>
        </w:rPr>
      </w:r>
      <w:r/>
    </w:p>
    <w:p>
      <w:pPr>
        <w:ind w:left="5102" w:right="0" w:firstLine="0"/>
        <w:jc w:val="left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Красноселькупского района </w:t>
      </w:r>
      <w:r>
        <w:rPr>
          <w:color w:val="000000" w:themeColor="text1"/>
        </w:rPr>
      </w:r>
      <w:r/>
    </w:p>
    <w:p>
      <w:pPr>
        <w:pStyle w:val="927"/>
        <w:ind w:left="5102" w:right="0" w:firstLine="0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«26» февраля 2024 г. № 59-П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248" w:firstLine="1422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ПОЛОЖЕНИЕ</w:t>
      </w:r>
      <w:r>
        <w:rPr>
          <w:color w:val="000000" w:themeColor="text1"/>
        </w:rPr>
      </w:r>
      <w:r/>
    </w:p>
    <w:p>
      <w:pPr>
        <w:jc w:val="center"/>
        <w:spacing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о составе, порядке подготовки документов территориального планирования муниципального округа Красноселькупский район Ямало-Ненецкого автономного округа, порядке подготовки изменений и внесения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их в такие документы,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акже составе и порядке п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одготовки планов реализации таких документов</w:t>
      </w:r>
      <w:r>
        <w:rPr>
          <w:highlight w:val="none"/>
        </w:rPr>
      </w:r>
      <w:r/>
    </w:p>
    <w:p>
      <w:pPr>
        <w:jc w:val="center"/>
        <w:spacing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Общие положения</w:t>
      </w:r>
      <w:r>
        <w:rPr>
          <w:color w:val="000000" w:themeColor="text1"/>
        </w:rPr>
      </w:r>
      <w:r/>
    </w:p>
    <w:p>
      <w:pPr>
        <w:jc w:val="center"/>
        <w:spacing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1.1. Настоящее Положение о составе, порядке подготовки документов территориального планирования муниципального округа Красноселькупский район Ямало-ненецкого автономного округа, порядке подготовки изменений и внесения их в такие документы,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акже составе и порядке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подготовки планов реализации таких документов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(далее – Положение, муниципальный округ) разработано в соответствии с требованиями Градостроительного кодекса Российской Федерации (далее – Градостроительный кодекс)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 определяет состав документов территориального планирования на территории муниципального округа,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уполномоченные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органы, ответственны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за их разработку, порядок принятия решений о подготовке документов территориального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планирования, их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согласования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опубликования и утверждения, порядок подготовки изменений и внесения их в документы территориального планирования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Территориальное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планирование направлено 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определение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 документах территориального планирования назн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ачения территорий, исходя из совокупности социальных, экономических, экологических и иных факторов, в целях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1.3. Уполномоченным органом по организации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подготовки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проектов документов территориального планирования муниципального округа и внесения изменений в них является отдел архитектуры и градостроительства Администрации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(далее – отдел)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Документом территориального планирования муниципального округа является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генеральный план муниципального округа (далее – генеральный план).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1.5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Генеральный план утверждается на срок не менее чем двадцать лет.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1.6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Генеральный план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муниципального округа  является основанием для установления или изменения границ населённых пунктов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установленном порядке.</w:t>
      </w:r>
      <w:r>
        <w:rPr>
          <w:color w:val="000000" w:themeColor="text1"/>
        </w:rPr>
      </w:r>
      <w:r/>
    </w:p>
    <w:p>
      <w:pPr>
        <w:ind w:firstLine="0"/>
        <w:jc w:val="both"/>
        <w:spacing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spacing w:line="240" w:lineRule="auto"/>
        <w:shd w:val="clear" w:color="auto" w:fill="ffffff"/>
        <w:rPr>
          <w:rStyle w:val="939"/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  <w:lang w:val="en-US"/>
        </w:rPr>
        <w:t xml:space="preserve">II</w:t>
      </w: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. Состав генерального плана муниципального округа</w:t>
      </w:r>
      <w:r>
        <w:rPr>
          <w:color w:val="000000" w:themeColor="text1"/>
        </w:rPr>
      </w:r>
      <w:r/>
    </w:p>
    <w:p>
      <w:pPr>
        <w:ind w:firstLine="540"/>
        <w:jc w:val="center"/>
        <w:spacing w:line="240" w:lineRule="auto"/>
        <w:shd w:val="clear" w:color="auto" w:fill="ffffff"/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2.1. Генеральный план содержит: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2.1.1. положение о территориальном планировании;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2.1.2. карту планируемого размещения объектов местного значения поселения;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2.1.3. карту границ населенных пунктов (в том числе границ образуемых населенных пунктов);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2.1.4. карту функциональных зон.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  <w:tab w:val="left" w:pos="137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2.2. Положение о территориальном планировании, содержащееся в генеральном плане, включает в себя: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2.2.1.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2.2.2.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  <w:tab w:val="left" w:pos="137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2.3.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указанных в пункте 2.1.2 настоящего Положения картах соответственно отображаются: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  <w:tab w:val="left" w:pos="157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1) планируемые для размещения объекты местного значения, относящиеся к следующим областям: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а) электро-, тепло-, газо- и водоснабжение населения, водоотведение;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б) автомобильные дороги местного значения;</w:t>
      </w:r>
      <w:r>
        <w:rPr>
          <w:color w:val="000000" w:themeColor="text1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муниципального округа или генерального плана городского округа;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иные области в связи с решением вопросов местного значения поселения, муниципального округа, городского округ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40"/>
        <w:ind w:firstLine="0"/>
        <w:jc w:val="both"/>
        <w:spacing w:line="240" w:lineRule="auto"/>
        <w:shd w:val="clear" w:color="auto" w:fill="auto"/>
        <w:tabs>
          <w:tab w:val="left" w:pos="74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shd w:val="clear" w:color="auto" w:fill="ffffff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  <w:t xml:space="preserve">2) границы населенных пунктов (в том числе границы образуемых населенных пунктов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);</w:t>
      </w:r>
      <w:r>
        <w:rPr>
          <w:color w:val="000000" w:themeColor="text1"/>
          <w:highlight w:val="none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 значения, линейных объектов регионального значения, линейных объектов местного значения.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tabs>
          <w:tab w:val="left" w:pos="1239" w:leader="none"/>
        </w:tabs>
        <w:rPr>
          <w:rFonts w:ascii="Liberation Sans" w:hAnsi="Liberation Sans" w:eastAsia="Liberation Sans" w:cs="Liberation Sans"/>
          <w:color w:val="000000"/>
          <w:sz w:val="28"/>
          <w:shd w:val="clear" w:color="auto" w:fill="ffffff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2.4.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которые должны содержать графическое описание местоположения границ населенных пунктов, перечень координат х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 муниципального округа также вправе подготовить текстовое описание местопо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ложения границ населенных пунктов. </w:t>
      </w:r>
      <w:hyperlink r:id="rId16" w:tooltip="https://internet.garant.ru/#/multilink/12138258/paragraph/137483638/number/0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Формы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графического и текстового описания местоположения границ населенных пунктов, </w:t>
      </w:r>
      <w:hyperlink r:id="rId17" w:tooltip="https://internet.garant.ru/#/document/405345393/entry/3000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требования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доставления сведений, содержащихся в Едином государственном реестре недвижимости.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tabs>
          <w:tab w:val="left" w:pos="123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2.5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 генеральному плану прилагаются материалы по его обоснованию в текстовой форме и в виде карт.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tabs>
          <w:tab w:val="left" w:pos="12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2.6.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Материалы по обоснованию генерального плана в текстовой форме содержат: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1) сведения об утвержденных документах стратегического планирования, указанных в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u w:val="none"/>
        </w:rPr>
        <w:t xml:space="preserve"> </w:t>
      </w:r>
      <w:hyperlink r:id="rId18" w:tooltip="https://internet.garant.ru/#/document/12138258/entry/9052" w:history="1">
        <w:r>
          <w:rPr>
            <w:rStyle w:val="916"/>
            <w:rFonts w:ascii="Liberation Sans" w:hAnsi="Liberation Sans" w:eastAsia="Liberation Sans" w:cs="Liberation Sans"/>
            <w:color w:val="000000" w:themeColor="text1"/>
            <w:sz w:val="28"/>
            <w:highlight w:val="white"/>
            <w:u w:val="none"/>
          </w:rPr>
          <w:t xml:space="preserve">части 5.2 статьи 9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Градостроительного кодекса Р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усматривающих создание объектов местного значения;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2) обоснование выбранного варианта размещения объектов местного значения муниципального округа на основе анализа использования территорий муниципального округа, возможных направлений развития этих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3) оценку возможного влияния планируемых для размещения объектов местного значения муниципального округа на комплексное развитие этих территорий;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назначении и наименованиях планируемых для размещения на территориях муниципального округа объектов федерального значения, объектов регионального значения, их основные характеристики, местоположение, характеристики зон с особ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а основе анализа использования этих территорий, возможных направлений их развития и прогнозируемых ограничений их использования;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  <w:shd w:val="clear" w:color="auto" w:fill="ffffff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6) перечень и характеристику основных факторов риска возникновения чрезвычайных ситуаций природного и техногенного характера;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7) перечень земельных участков, которые включаются в границы населенных пунктов муниципального округа, или исключаются из их границ, с указанием категорий земель, к которым планируется отнести эти земельные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участки, и целей их планируемого использования;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r>
        <w:rPr>
          <w:color w:val="000000" w:themeColor="text1"/>
        </w:rPr>
      </w:r>
      <w:r/>
    </w:p>
    <w:p>
      <w:pPr>
        <w:pStyle w:val="940"/>
        <w:ind w:left="0" w:right="0" w:firstLine="709"/>
        <w:jc w:val="both"/>
        <w:spacing w:line="240" w:lineRule="auto"/>
        <w:shd w:val="clear" w:color="auto" w:fill="auto"/>
        <w:tabs>
          <w:tab w:val="left" w:pos="129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2.7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Материалы по обоснованию генерального плана в виде карт отображают:</w:t>
      </w:r>
      <w:r>
        <w:rPr>
          <w:color w:val="000000" w:themeColor="text1"/>
        </w:rPr>
      </w:r>
      <w:r/>
    </w:p>
    <w:p>
      <w:pPr>
        <w:pStyle w:val="940"/>
        <w:ind w:firstLine="708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границы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2) границы существующих населенных пунктов, входящих в состав муниципального округа;</w:t>
      </w:r>
      <w:r>
        <w:rPr>
          <w:color w:val="000000" w:themeColor="text1"/>
        </w:rPr>
      </w:r>
      <w:r/>
    </w:p>
    <w:p>
      <w:pPr>
        <w:pStyle w:val="940"/>
        <w:ind w:firstLine="708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местоположение существующих и строящихся объектов местного значения поселения;</w:t>
      </w:r>
      <w:r>
        <w:rPr>
          <w:color w:val="000000" w:themeColor="text1"/>
        </w:rPr>
      </w:r>
      <w:r/>
    </w:p>
    <w:p>
      <w:pPr>
        <w:pStyle w:val="940"/>
        <w:ind w:firstLine="708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4)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особые экономические зоны;</w:t>
      </w:r>
      <w:r>
        <w:rPr>
          <w:color w:val="000000" w:themeColor="text1"/>
        </w:rPr>
      </w:r>
      <w:r/>
    </w:p>
    <w:p>
      <w:pPr>
        <w:pStyle w:val="940"/>
        <w:ind w:firstLine="708"/>
        <w:jc w:val="both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5)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особо охраняемые природные территории федерального, регионального, местного значения;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6)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территории объектов культурного наследия;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 </w:t>
      </w:r>
      <w:hyperlink r:id="rId19" w:tooltip="https://internet.garant.ru/#/document/12127232/entry/59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статьей 59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Федерального закона от 25 июня 2002 года N 73-ФЗ "Об объектах культурного наследия (памятниках истории и культуры) народов Российской Федерации";</w:t>
      </w:r>
      <w:r>
        <w:rPr>
          <w:color w:val="000000" w:themeColor="text1"/>
        </w:rPr>
      </w:r>
      <w:r/>
    </w:p>
    <w:p>
      <w:pPr>
        <w:pStyle w:val="940"/>
        <w:ind w:firstLine="708"/>
        <w:jc w:val="left"/>
        <w:spacing w:line="240" w:lineRule="auto"/>
        <w:shd w:val="clear" w:color="auto" w:fill="auto"/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7)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зоны с особыми условиями использования территорий; </w:t>
      </w:r>
      <w:r>
        <w:rPr>
          <w:color w:val="000000" w:themeColor="text1"/>
        </w:rPr>
      </w:r>
      <w:r/>
    </w:p>
    <w:p>
      <w:pPr>
        <w:pStyle w:val="940"/>
        <w:ind w:firstLine="708"/>
        <w:jc w:val="left"/>
        <w:spacing w:line="240" w:lineRule="auto"/>
        <w:shd w:val="clear" w:color="auto" w:fill="auto"/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8)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территории, подверженные риску возникновения чрезвычайных ситуаций природного и техногенного характера;</w:t>
      </w:r>
      <w:r>
        <w:rPr>
          <w:color w:val="000000" w:themeColor="text1"/>
        </w:rPr>
      </w:r>
      <w:r/>
    </w:p>
    <w:p>
      <w:pPr>
        <w:pStyle w:val="940"/>
        <w:ind w:firstLine="708"/>
        <w:jc w:val="left"/>
        <w:spacing w:line="240" w:lineRule="auto"/>
        <w:shd w:val="clear" w:color="auto" w:fill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9) границы лесничеств;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10)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муниципального округа или объектов федерального значения, объекто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 регионального значения, объектов местного значения муниципального района.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pStyle w:val="940"/>
        <w:ind w:firstLine="0"/>
        <w:jc w:val="center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</w:pP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. </w:t>
      </w: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Порядок</w:t>
      </w: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 подготовки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highlight w:val="white"/>
        </w:rPr>
        <w:t xml:space="preserve">и утверждения генерального плана муниципального округа</w:t>
      </w:r>
      <w:r>
        <w:rPr>
          <w:color w:val="000000" w:themeColor="text1"/>
        </w:rPr>
      </w:r>
      <w:r/>
    </w:p>
    <w:p>
      <w:pPr>
        <w:pStyle w:val="940"/>
        <w:ind w:firstLine="0"/>
        <w:jc w:val="center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b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3.1.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Главой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8"/>
        <w:jc w:val="both"/>
        <w:spacing w:line="240" w:lineRule="auto"/>
        <w:shd w:val="nil" w:color="000000"/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3.2. Решение о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подготовке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генерального плана, внесе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нии измен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ен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ий в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него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подлежит офици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альному опубликованию в порядке, установленном для официального опубликования муниципальных правовых 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актов, иной официальной информации.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3.3.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 случае, если для реализации решения о комплексном развитии территории требуется внесение изменений в генеральный план муниципального округа, для подготовки предложений о внесении таких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изменений предусмотренное </w:t>
      </w:r>
      <w:hyperlink r:id="rId20" w:tooltip="https://internet.garant.ru/#/document/12138258/entry/2402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none"/>
          </w:rPr>
          <w:t xml:space="preserve">пунктом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none"/>
          </w:rPr>
          <w:t xml:space="preserve"> 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3.2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настоящего порядка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3.4. Подготовка проекта генерального плана осуществляется в соответствии с требованиями </w:t>
      </w:r>
      <w:hyperlink r:id="rId21" w:tooltip="https://internet.garant.ru/#/document/12138258/entry/9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статьи 9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Градостроительного кодекс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3.5.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 границах муниципального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имость подготовки генерального плана.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3.6.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Проект генерального плана до его утверждения подлежит в соответствии со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статьей 25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Градостроительного кодекса Российской Федерации обязательному согласованию в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порядке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утверждённым приказом Министерства экономического развития Российской Федерации от 21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июля 2016 года № 460.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Style w:val="939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3.7. Отдел обеспечи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вает доступ к проекту генерального плана и материалов по обоснованию в Федеральной государственной информационной системе территориального планирования (далее - ФГИС ТП), не менее чем за три месяца до его утверждения.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3.8. Отдел в трехдневный срок со дня обеспечения данного доступа уведомляет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в электронной форме и (или) посредством почтового отправления</w:t>
      </w: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органы государственной власти и органы местного самоуправления в соответствии со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2" w:tooltip="http://www.consultant.ru/document/cons_doc_LAW_351269/3048b00f96cca4bd7eea68bd98fd54f4b0f9651b/#dst100163" w:anchor="dst100163" w:history="1">
        <w:r>
          <w:rPr>
            <w:rStyle w:val="916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статьёй </w:t>
        </w:r>
      </w:hyperlink>
      <w:r>
        <w:rPr>
          <w:color w:val="000000" w:themeColor="text1"/>
        </w:rPr>
      </w:r>
      <w:hyperlink r:id="rId23" w:tooltip="http://www.consultant.ru/document/cons_doc_LAW_351269/f93a3f1431caac9ec65cfdbebf0e0f8295be7ea3/#dst100397" w:anchor="dst100397" w:history="1">
        <w:r>
          <w:rPr>
            <w:rStyle w:val="916"/>
            <w:rFonts w:ascii="Liberation Sans" w:hAnsi="Liberation Sans" w:eastAsia="Liberation Sans" w:cs="Liberation Sans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3.9.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случае не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поступления от указанных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пункте 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.8.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настоящ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его Положения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органов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течение тридцати дней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Администрацию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заключений на проект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генерального плана такой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проект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считается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согласованным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указанными органами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000000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3.10.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При подготовке генерального плана муниципального округа в обязательном порядке проводятся общественные обсуждения или публичные слушания в соответствии со </w:t>
      </w:r>
      <w:hyperlink r:id="rId24" w:tooltip="https://internet.garant.ru/#/document/12138258/entry/5010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статьями 5.1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и </w:t>
      </w:r>
      <w:hyperlink r:id="rId25" w:tooltip="https://internet.garant.ru/#/document/12138258/entry/28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28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Градостроительного кодекса Российской Федерации.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shd w:val="nil" w:color="auto"/>
        <w:rPr>
          <w:rFonts w:ascii="Liberation Sans" w:hAnsi="Liberation Sans" w:eastAsia="Liberation Sans" w:cs="Liberation Sans"/>
          <w:color w:val="000000"/>
          <w:sz w:val="28"/>
          <w:highlight w:val="none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3.11.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Общественные обсуждения или публичные слушания по проекту генерального плана муниципального округа и по проекту,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предусматривающему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внесение изменений в генеральный план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проводятся в каждом населенном пункте муниципального образования, за исключением случаев, установленных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частями 3.1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и </w:t>
      </w:r>
      <w:hyperlink r:id="rId26" w:tooltip="https://internet.garant.ru/#/document/12138258/entry/2832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white"/>
          </w:rPr>
          <w:t xml:space="preserve">3.2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highlight w:val="none"/>
          </w:rPr>
          <w:t xml:space="preserve"> статьи 28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 Градостроительного кодекса Российской Федерации.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3.12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. Генеральный план муниципального округа, в том числе внесение изменений в такой план, утверждается Думой Красноселькупского района. 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3.13. Отдел обеспечивает размещение утвержденного генерального плана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ФГИС ТП,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срок,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превышающий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десяти дней со дня утверждения генерального плана.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3.14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Внесение изменений в генеральный план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shd w:val="clear" w:color="auto" w:fill="ffffff"/>
          <w:lang w:eastAsia="ru-RU"/>
        </w:rPr>
        <w:t xml:space="preserve">должно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green"/>
          <w:shd w:val="clear" w:color="auto" w:fill="ffffff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осуществляться в соответствии с требованиями, предусмотренными настоящим разделом и статьями 9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, 24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25 Градостроительного кодекса.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 w:themeColor="text1"/>
        </w:rPr>
      </w:r>
      <w:r/>
    </w:p>
    <w:p>
      <w:pPr>
        <w:pStyle w:val="940"/>
        <w:ind w:firstLine="709"/>
        <w:jc w:val="both"/>
        <w:spacing w:line="240" w:lineRule="auto"/>
        <w:shd w:val="clear" w:color="auto" w:fill="auto"/>
        <w:tabs>
          <w:tab w:val="left" w:pos="1255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shd w:val="clear" w:color="auto" w:fill="ffffff"/>
          <w:lang w:eastAsia="ru-RU"/>
        </w:rPr>
        <w:t xml:space="preserve">3.15.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Инициаторами внесения изменений в генеральный план муниципального округа, генеральный план городского округа могут быть органы государственной власти Российской Федерации, органы государственной власти автономного округа, органы местного самоуправления в 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втономном округе, заинтересованные физические и юридические лица.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rPr>
          <w:rStyle w:val="939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="240" w:lineRule="auto"/>
        <w:rPr>
          <w:rStyle w:val="939"/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  <w:lang w:val="en-US"/>
        </w:rPr>
        <w:t xml:space="preserve">IV</w:t>
      </w:r>
      <w:r>
        <w:rPr>
          <w:rStyle w:val="939"/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. Состав и порядок подготовки планов реализации документов территориального планирования</w:t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auto"/>
        <w:rPr>
          <w:rStyle w:val="939"/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4.1. Р</w:t>
      </w:r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еализация документов территориального планирования осуществляется путем: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rStyle w:val="934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</w:rPr>
      </w:r>
      <w:bookmarkStart w:id="19" w:name="dst101740"/>
      <w:r>
        <w:rPr>
          <w:rFonts w:ascii="Liberation Sans" w:hAnsi="Liberation Sans" w:eastAsia="Liberation Sans" w:cs="Liberation Sans"/>
          <w:color w:val="000000" w:themeColor="text1"/>
        </w:rPr>
      </w:r>
      <w:bookmarkEnd w:id="19"/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 подготовки и утверждения документации по планировке территории в соответствии с документами территориального планирования;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color w:val="000000" w:themeColor="text1"/>
        </w:rPr>
      </w:r>
      <w:bookmarkStart w:id="20" w:name="dst1224"/>
      <w:r>
        <w:rPr>
          <w:rFonts w:ascii="Liberation Sans" w:hAnsi="Liberation Sans" w:eastAsia="Liberation Sans" w:cs="Liberation Sans"/>
          <w:color w:val="000000" w:themeColor="text1"/>
        </w:rPr>
      </w:r>
      <w:bookmarkEnd w:id="20"/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принятия в порядке,</w:t>
      </w:r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установленном законодательством 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rStyle w:val="934"/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</w:rPr>
      </w:r>
      <w:bookmarkStart w:id="21" w:name="dst101742"/>
      <w:r>
        <w:rPr>
          <w:rFonts w:ascii="Liberation Sans" w:hAnsi="Liberation Sans" w:eastAsia="Liberation Sans" w:cs="Liberation Sans"/>
          <w:color w:val="000000" w:themeColor="text1"/>
        </w:rPr>
      </w:r>
      <w:bookmarkEnd w:id="21"/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Style w:val="934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4.2.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Реализация схемы территориального планирования двух и более субъектов Российской Федерации осуществляется путем выполнения мероприятий, которые предусмотрены договорами, заключенными в соответствии с законодательством Российской Федерации между органами го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сударственной власти субъектов Российской Федерации,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Федерации, государственными программами, утвержденными высшими 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Федерации, или нормативными правовыми актами высших исполнительных органов государственной власти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указанных субъектов Российской Федерации,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Федерации,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или инвестиционными программами субъектов естественных монополий.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Start w:id="22" w:name="dst1212"/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bookmarkEnd w:id="22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4.3.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Реализация генерального плана муниципального округа, осуществляется путем выполнения мероприятий, которые предусмотрены программами, утвержденными местной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администрацией муниципального округа, и реализуемыми за счет средств местного бюджета, или нормативными правовыми актами местной администрации муниципального округа,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или в установленном местной администрацией муниципального округа порядке решениями главных распорядителей средств местного бюджета, программой комплексног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 развития систем коммунальной инфраструктуры муниципального округа, программой комплексного развития транспортной инфраструктуры муниципального округа, программой комплексного развития социальн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ой инфраструктуры муниципального округа, и (при наличии) инвестиционными программами организаций коммунального комплекса.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0" w:right="0" w:firstLine="709"/>
        <w:jc w:val="center"/>
        <w:spacing w:line="240" w:lineRule="auto"/>
        <w:rPr>
          <w:rStyle w:val="939"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sectPr>
      <w:headerReference w:type="default" r:id="rId11"/>
      <w:headerReference w:type="first" r:id="rId12"/>
      <w:footerReference w:type="first" r:id="rId14"/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/>
    <w:r/>
  </w:p>
  <w:p>
    <w:pPr>
      <w:pStyle w:val="9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91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/>
    <w:r/>
  </w:p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85" w:hanging="13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10"/>
    <w:link w:val="909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08"/>
    <w:next w:val="908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basedOn w:val="910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08"/>
    <w:next w:val="908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basedOn w:val="910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8"/>
    <w:next w:val="908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10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8"/>
    <w:next w:val="908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10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08"/>
    <w:next w:val="908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basedOn w:val="910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08"/>
    <w:next w:val="908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basedOn w:val="910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08"/>
    <w:next w:val="908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basedOn w:val="910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08"/>
    <w:next w:val="908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basedOn w:val="910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908"/>
    <w:next w:val="908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basedOn w:val="910"/>
    <w:link w:val="753"/>
    <w:uiPriority w:val="10"/>
    <w:rPr>
      <w:sz w:val="48"/>
      <w:szCs w:val="48"/>
    </w:rPr>
  </w:style>
  <w:style w:type="paragraph" w:styleId="755">
    <w:name w:val="Subtitle"/>
    <w:basedOn w:val="908"/>
    <w:next w:val="908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10"/>
    <w:link w:val="755"/>
    <w:uiPriority w:val="11"/>
    <w:rPr>
      <w:sz w:val="24"/>
      <w:szCs w:val="24"/>
    </w:rPr>
  </w:style>
  <w:style w:type="paragraph" w:styleId="757">
    <w:name w:val="Quote"/>
    <w:basedOn w:val="908"/>
    <w:next w:val="908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8"/>
    <w:next w:val="908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10"/>
    <w:link w:val="918"/>
    <w:uiPriority w:val="99"/>
  </w:style>
  <w:style w:type="character" w:styleId="762">
    <w:name w:val="Footer Char"/>
    <w:basedOn w:val="910"/>
    <w:link w:val="920"/>
    <w:uiPriority w:val="99"/>
  </w:style>
  <w:style w:type="paragraph" w:styleId="763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20"/>
    <w:uiPriority w:val="99"/>
  </w:style>
  <w:style w:type="table" w:styleId="765">
    <w:name w:val="Table Grid"/>
    <w:basedOn w:val="9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Table Grid Light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>
    <w:name w:val="Grid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>
    <w:name w:val="Grid Table 4 - Accent 1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5">
    <w:name w:val="Grid Table 4 - Accent 2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Grid Table 4 - Accent 3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7">
    <w:name w:val="Grid Table 4 - Accent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Grid Table 4 - Accent 5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9">
    <w:name w:val="Grid Table 4 - Accent 6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0">
    <w:name w:val="Grid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7">
    <w:name w:val="Grid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9">
    <w:name w:val="List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0">
    <w:name w:val="List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1">
    <w:name w:val="List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2">
    <w:name w:val="List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3">
    <w:name w:val="List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4">
    <w:name w:val="List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5">
    <w:name w:val="List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7">
    <w:name w:val="List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8">
    <w:name w:val="List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9">
    <w:name w:val="List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0">
    <w:name w:val="List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1">
    <w:name w:val="List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2">
    <w:name w:val="List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3">
    <w:name w:val="List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 &amp; 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Bordered &amp; 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Bordered &amp; 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Bordered &amp; 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Bordered &amp; 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Bordered &amp; 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Bordered &amp; 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5">
    <w:name w:val="Bordered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6">
    <w:name w:val="Bordered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7">
    <w:name w:val="Bordered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8">
    <w:name w:val="Bordered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9">
    <w:name w:val="Bordered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0">
    <w:name w:val="Bordered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basedOn w:val="910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0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9">
    <w:name w:val="Heading 1"/>
    <w:basedOn w:val="908"/>
    <w:next w:val="908"/>
    <w:link w:val="913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  <w:style w:type="character" w:styleId="913" w:customStyle="1">
    <w:name w:val="Заголовок 1 Знак"/>
    <w:basedOn w:val="910"/>
    <w:link w:val="909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paragraph" w:styleId="914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5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16">
    <w:name w:val="Hyperlink"/>
    <w:basedOn w:val="910"/>
    <w:uiPriority w:val="99"/>
    <w:semiHidden/>
    <w:unhideWhenUsed/>
    <w:rPr>
      <w:color w:val="0000ff"/>
      <w:u w:val="single"/>
    </w:rPr>
  </w:style>
  <w:style w:type="paragraph" w:styleId="917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</w:rPr>
  </w:style>
  <w:style w:type="paragraph" w:styleId="918">
    <w:name w:val="Header"/>
    <w:basedOn w:val="908"/>
    <w:link w:val="91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910"/>
    <w:link w:val="91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>
    <w:name w:val="Footer"/>
    <w:basedOn w:val="908"/>
    <w:link w:val="92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910"/>
    <w:link w:val="92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2">
    <w:name w:val="List Paragraph"/>
    <w:basedOn w:val="908"/>
    <w:link w:val="938"/>
    <w:uiPriority w:val="34"/>
    <w:qFormat/>
    <w:pPr>
      <w:contextualSpacing/>
      <w:ind w:left="720"/>
    </w:pPr>
  </w:style>
  <w:style w:type="paragraph" w:styleId="923">
    <w:name w:val="Balloon Text"/>
    <w:basedOn w:val="908"/>
    <w:link w:val="924"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910"/>
    <w:link w:val="923"/>
    <w:rPr>
      <w:rFonts w:ascii="Tahoma" w:hAnsi="Tahoma" w:eastAsia="Times New Roman" w:cs="Tahoma"/>
      <w:sz w:val="16"/>
      <w:szCs w:val="16"/>
      <w:lang w:eastAsia="ru-RU"/>
    </w:rPr>
  </w:style>
  <w:style w:type="paragraph" w:styleId="925">
    <w:name w:val="Body Text"/>
    <w:basedOn w:val="908"/>
    <w:link w:val="926"/>
    <w:semiHidden/>
    <w:pPr>
      <w:jc w:val="center"/>
    </w:pPr>
  </w:style>
  <w:style w:type="character" w:styleId="926" w:customStyle="1">
    <w:name w:val="Основной текст Знак"/>
    <w:basedOn w:val="910"/>
    <w:link w:val="925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>
    <w:name w:val="No Spacing"/>
    <w:link w:val="93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28" w:customStyle="1">
    <w:name w:val="apple-style-span"/>
    <w:basedOn w:val="910"/>
  </w:style>
  <w:style w:type="paragraph" w:styleId="929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930" w:customStyle="1">
    <w:name w:val="Без интервала Знак"/>
    <w:link w:val="927"/>
    <w:uiPriority w:val="1"/>
    <w:rPr>
      <w:rFonts w:eastAsiaTheme="minorEastAsia"/>
      <w:lang w:eastAsia="ru-RU"/>
    </w:rPr>
  </w:style>
  <w:style w:type="character" w:styleId="931" w:customStyle="1">
    <w:name w:val="apple-converted-space"/>
    <w:basedOn w:val="910"/>
  </w:style>
  <w:style w:type="paragraph" w:styleId="932" w:customStyle="1">
    <w:name w:val="Прижатый влево"/>
    <w:basedOn w:val="908"/>
    <w:next w:val="908"/>
    <w:uiPriority w:val="99"/>
    <w:rPr>
      <w:rFonts w:ascii="Arial" w:hAnsi="Arial" w:cs="Arial" w:eastAsiaTheme="minorEastAsia"/>
    </w:rPr>
  </w:style>
  <w:style w:type="paragraph" w:styleId="933" w:customStyle="1">
    <w:name w:val="????????? 1"/>
    <w:basedOn w:val="908"/>
    <w:next w:val="908"/>
    <w:pPr>
      <w:keepNext/>
    </w:pPr>
    <w:rPr>
      <w:b/>
      <w:szCs w:val="20"/>
    </w:rPr>
  </w:style>
  <w:style w:type="character" w:styleId="934" w:customStyle="1">
    <w:name w:val="blk"/>
    <w:basedOn w:val="910"/>
  </w:style>
  <w:style w:type="character" w:styleId="935" w:customStyle="1">
    <w:name w:val="Гипертекстовая ссылка"/>
    <w:basedOn w:val="910"/>
    <w:uiPriority w:val="99"/>
    <w:rPr>
      <w:color w:val="106bbe"/>
    </w:rPr>
  </w:style>
  <w:style w:type="character" w:styleId="936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937" w:customStyle="1">
    <w:name w:val="Нормальный (таблица)"/>
    <w:basedOn w:val="908"/>
    <w:next w:val="908"/>
    <w:uiPriority w:val="99"/>
    <w:pPr>
      <w:jc w:val="both"/>
      <w:widowControl w:val="off"/>
    </w:pPr>
    <w:rPr>
      <w:rFonts w:ascii="Arial" w:hAnsi="Arial" w:cs="Arial" w:eastAsiaTheme="minorEastAsia"/>
    </w:rPr>
  </w:style>
  <w:style w:type="character" w:styleId="938" w:customStyle="1">
    <w:name w:val="Абзац списка Знак"/>
    <w:basedOn w:val="910"/>
    <w:link w:val="922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9" w:customStyle="1">
    <w:name w:val="Основной текст (2)_"/>
    <w:link w:val="940"/>
    <w:uiPriority w:val="99"/>
    <w:rPr>
      <w:rFonts w:cs="Times New Roman"/>
      <w:sz w:val="26"/>
      <w:szCs w:val="26"/>
      <w:shd w:val="clear" w:color="auto" w:fill="ffffff"/>
    </w:rPr>
  </w:style>
  <w:style w:type="paragraph" w:styleId="940" w:customStyle="1">
    <w:name w:val="Основной текст (2)"/>
    <w:basedOn w:val="908"/>
    <w:link w:val="939"/>
    <w:uiPriority w:val="99"/>
    <w:pPr>
      <w:ind w:hanging="1720"/>
      <w:jc w:val="center"/>
      <w:spacing w:line="322" w:lineRule="exact"/>
      <w:shd w:val="clear" w:color="auto" w:fill="ffffff"/>
      <w:widowControl w:val="off"/>
    </w:pPr>
    <w:rPr>
      <w:rFonts w:asciiTheme="minorHAnsi" w:hAnsiTheme="minorHAnsi" w:eastAsiaTheme="minorHAnsi"/>
      <w:sz w:val="26"/>
      <w:szCs w:val="2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hyperlink" Target="https://internet.garant.ru/#/multilink/12138258/paragraph/137483638/number/0" TargetMode="External"/><Relationship Id="rId17" Type="http://schemas.openxmlformats.org/officeDocument/2006/relationships/hyperlink" Target="https://internet.garant.ru/#/document/405345393/entry/3000" TargetMode="External"/><Relationship Id="rId18" Type="http://schemas.openxmlformats.org/officeDocument/2006/relationships/hyperlink" Target="https://internet.garant.ru/#/document/12138258/entry/9052" TargetMode="External"/><Relationship Id="rId19" Type="http://schemas.openxmlformats.org/officeDocument/2006/relationships/hyperlink" Target="https://internet.garant.ru/#/document/12127232/entry/59" TargetMode="External"/><Relationship Id="rId20" Type="http://schemas.openxmlformats.org/officeDocument/2006/relationships/hyperlink" Target="https://internet.garant.ru/#/document/12138258/entry/2402" TargetMode="External"/><Relationship Id="rId21" Type="http://schemas.openxmlformats.org/officeDocument/2006/relationships/hyperlink" Target="https://internet.garant.ru/#/document/12138258/entry/9" TargetMode="External"/><Relationship Id="rId22" Type="http://schemas.openxmlformats.org/officeDocument/2006/relationships/hyperlink" Target="http://www.consultant.ru/document/cons_doc_LAW_351269/3048b00f96cca4bd7eea68bd98fd54f4b0f9651b/" TargetMode="External"/><Relationship Id="rId23" Type="http://schemas.openxmlformats.org/officeDocument/2006/relationships/hyperlink" Target="http://www.consultant.ru/document/cons_doc_LAW_351269/f93a3f1431caac9ec65cfdbebf0e0f8295be7ea3/" TargetMode="External"/><Relationship Id="rId24" Type="http://schemas.openxmlformats.org/officeDocument/2006/relationships/hyperlink" Target="https://internet.garant.ru/#/document/12138258/entry/5010" TargetMode="External"/><Relationship Id="rId25" Type="http://schemas.openxmlformats.org/officeDocument/2006/relationships/hyperlink" Target="https://internet.garant.ru/#/document/12138258/entry/28" TargetMode="External"/><Relationship Id="rId26" Type="http://schemas.openxmlformats.org/officeDocument/2006/relationships/hyperlink" Target="https://internet.garant.ru/#/document/12138258/entry/283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AGAlenkina</dc:creator>
  <cp:revision>22</cp:revision>
  <dcterms:created xsi:type="dcterms:W3CDTF">2020-03-20T07:30:00Z</dcterms:created>
  <dcterms:modified xsi:type="dcterms:W3CDTF">2024-02-26T08:51:14Z</dcterms:modified>
</cp:coreProperties>
</file>