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5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highlight w:val="none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5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5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15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«19» февраля 2024 г.                                                                          № 49-П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jc w:val="center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jc w:val="center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«Развитие строительного комплекса и жилищной сферы»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3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3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1"/>
        <w:contextualSpacing/>
        <w:ind w:firstLine="708"/>
        <w:jc w:val="both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Во исполнение решений Думы Красноселькупского района от 19.12.2023 № 239 «О бю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джете Красноселькупского района на 2024 год и плановый период 2025 и 2026 годов», от  26.12.2023 № 248 «О внесении изменений в решение Думы Красноселькупского района «О бюджете Красноселькупского района на 2023 год и на плановый период 2024 и 2025 годов»,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в соответствии с порядком разработки и реализации муниципальных программ муниципального округа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 Красноселькупский район Ямало-Ненецкого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 автономного округа, утвержденным постановлением Администрации Красноселькупского района от 07.12.2021 № 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highlight w:val="none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  <w:tab w:val="left" w:pos="9638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1. Утвердить прилагаемые изменения, которые вн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осятся в муниципальную программу муниципального округа Красноселькупский район Ямало-Ненецкого автономного округа «Развитие строительного комплекса и жилищной сферы», утвержденную постановлением Администрации Красноселькупского района от 20.12.2021 № 80-П.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3. Настоящее постановление вступает в силу с момента его опубликования и распространяет свое действие на правоотношения, возникшие с 29 декабря 2023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Первый заместитель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Главы Администрации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                                                       М.М. Иманов</w:t>
      </w:r>
      <w:r/>
    </w:p>
    <w:p>
      <w:pPr>
        <w:jc w:val="both"/>
        <w:spacing w:after="0" w:afterAutospacing="0" w:line="240" w:lineRule="auto"/>
        <w:tabs>
          <w:tab w:val="left" w:pos="7937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0" w:right="0" w:firstLine="5102"/>
        <w:spacing w:after="0" w:afterAutospacing="0" w:line="240" w:lineRule="auto"/>
        <w:tabs>
          <w:tab w:val="left" w:pos="5103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УТВЕРЖДЕНЫ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5"/>
        <w:ind w:left="5102" w:right="0" w:firstLine="0"/>
        <w:jc w:val="both"/>
        <w:spacing w:after="0" w:line="240" w:lineRule="auto"/>
        <w:rPr>
          <w:rFonts w:ascii="Liberation Sans" w:hAnsi="Liberation Sans" w:cs="Liberation Sans"/>
          <w:color w:val="000000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«19» февраля 2024 г. № 49-П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ИЗМЕНЕНИЯ,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«Развитие строительного компл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екса и жилищной сферы», </w:t>
        <w:br/>
        <w:t xml:space="preserve">утвержденную постановлением Администрации Красноселькупского района от 20.12.2021 № 80-П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20"/>
        <w:numPr>
          <w:ilvl w:val="0"/>
          <w:numId w:val="3"/>
        </w:numPr>
        <w:ind w:lef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20"/>
        <w:ind w:left="0" w:firstLine="708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20"/>
        <w:ind w:left="0" w:firstLine="708"/>
        <w:jc w:val="both"/>
        <w:spacing w:after="0" w:afterAutospacing="0" w:line="240" w:lineRule="auto"/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Финансовое обеспечени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 муниципальной программы (тыс. руб.)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716 603,536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1 727,729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702 997,000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11 878,807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610 961,806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1 272,999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599 245,000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10 443,807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- в том числе по годам: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69 683,902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253,992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67 214,000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2 215,910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112 896,043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283,046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109 426,000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3 186,997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186 380,039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391,139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183 746,000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2 242,900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242 001,822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344,822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238 859,000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2 798,000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I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этап реализации 202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-20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105 641,730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103 752,000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1 435,000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- в том числе по годам: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105 641,730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103 752,000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1 435,000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год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-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pStyle w:val="911"/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2. Структуру к муниципальной программе изложить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СТРУКТУРА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7"/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муниципальной программы муниципального округа Красноселькупский район </w:t>
      </w:r>
      <w:r>
        <w:rPr>
          <w:b w:val="0"/>
          <w:bCs w:val="0"/>
        </w:rPr>
      </w:r>
      <w:r/>
    </w:p>
    <w:p>
      <w:pPr>
        <w:pStyle w:val="917"/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округа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«Развитие строительного комплекса и жилищной сферы»</w:t>
      </w:r>
      <w:r>
        <w:rPr>
          <w:b w:val="0"/>
          <w:bCs w:val="0"/>
        </w:rPr>
      </w:r>
      <w:r/>
    </w:p>
    <w:p>
      <w:pPr>
        <w:contextualSpacing/>
        <w:ind w:left="0" w:right="113" w:firstLine="0"/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  <w14:ligatures w14:val="none"/>
        </w:rPr>
      </w:pPr>
      <w:r>
        <w:rPr>
          <w:rFonts w:ascii="Liberation Sans" w:hAnsi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contextualSpacing/>
        <w:ind w:left="0" w:right="113" w:firstLine="0"/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  <w14:ligatures w14:val="none"/>
        </w:rPr>
      </w:pPr>
      <w:r>
        <w:rPr>
          <w:rFonts w:ascii="Liberation Sans" w:hAnsi="Liberation Sans" w:cs="Liberation Sans"/>
          <w:color w:val="000000" w:themeColor="text1"/>
          <w:highlight w:val="none"/>
        </w:rPr>
        <w:t xml:space="preserve">тыс. рублей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693"/>
        <w:gridCol w:w="1418"/>
        <w:gridCol w:w="1084"/>
        <w:gridCol w:w="1084"/>
        <w:gridCol w:w="1084"/>
        <w:gridCol w:w="1084"/>
        <w:gridCol w:w="1418"/>
        <w:gridCol w:w="1084"/>
        <w:gridCol w:w="857"/>
        <w:gridCol w:w="857"/>
        <w:gridCol w:w="857"/>
        <w:gridCol w:w="857"/>
      </w:tblGrid>
      <w:tr>
        <w:trPr>
          <w:trHeight w:val="12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структурного элемента муниципальной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программы  муниципального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округа Красноселькупский район Ямало-Ненецкого автономного округа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 за I этап/ единицы измерения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2022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2023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2024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2025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Всего за I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этап/ единицы измерения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2026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ru-RU"/>
              </w:rPr>
              <w:t xml:space="preserve">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2027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2028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2029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2030 год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Муниципальная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программа  муниципального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округа Красноселькупский район Ямало-Ненецкого автономного округа «Развитие строительного комплекса и жилищной сферы»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Цели муниципальной программы муниципального округа Красноселькупский район Ямало-Ненецкого ав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тономного округа: Обеспечение населения жильём, сокращение доли аварийного жилого фонда.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2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1. Количество семей, получивших государственную поддержку в улучшении жилищных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условий  всех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категорий граждан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4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693"/>
        <w:gridCol w:w="1418"/>
        <w:gridCol w:w="1084"/>
        <w:gridCol w:w="1084"/>
        <w:gridCol w:w="1084"/>
        <w:gridCol w:w="1084"/>
        <w:gridCol w:w="1418"/>
        <w:gridCol w:w="1084"/>
        <w:gridCol w:w="857"/>
        <w:gridCol w:w="857"/>
        <w:gridCol w:w="857"/>
        <w:gridCol w:w="857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Общий объём бюджетных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ассигнований  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610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961,80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69 683,902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112 896,0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186 380,039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242 001,822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105 641,730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105 641,730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счёт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1 272,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999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253,992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,046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391,139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344,822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599 245,000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67 214,000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109 426,000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183 746,000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238 859,000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103 752,000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103 752,000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443,80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2 215,910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186,9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2 242,900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2 798,000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1 435,000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1 435,000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1: Улучшение жилищных условий граждан, проживающих в Красноселькупском районе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направления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Комплексы процессных мероприятий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Количество семей, переселенных из аварийного жилищного фонда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1.1.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Количество молодых семей – участников федерального мероприятия,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693"/>
        <w:gridCol w:w="1418"/>
        <w:gridCol w:w="1084"/>
        <w:gridCol w:w="1084"/>
        <w:gridCol w:w="1084"/>
        <w:gridCol w:w="1084"/>
        <w:gridCol w:w="1418"/>
        <w:gridCol w:w="1084"/>
        <w:gridCol w:w="857"/>
        <w:gridCol w:w="857"/>
        <w:gridCol w:w="857"/>
        <w:gridCol w:w="857"/>
      </w:tblGrid>
      <w:tr>
        <w:trPr>
          <w:trHeight w:val="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улучшивших жилищные условия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1: «Повышение доступности жилья»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258 315,35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53 575,455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73 037,94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45 356,139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86 345,822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62 547,730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62 547,730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счёт федерального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1 272,999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253,992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391,139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344,822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454,730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окружного бюджета (при наличии)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250 626,000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51 490,000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70 056,000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44 227,000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84 853,000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61 182,000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61 182,000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6 416,3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1 831,463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2 698,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738,000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1 148,000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911,000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911,000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Проектная часть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Региональный проект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2. Количество семей, улучшивших жилищные условия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Региональный проект «Жилье»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326,392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9 165,200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174,292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35 556,900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36 430,000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36 430,000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36 430,000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8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окружного бюджета (при наличии)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566,000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9 125,000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924,000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35 326,000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36 191,000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36 191,000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36 191,000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0,392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40,200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250,292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230,900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направления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693"/>
        <w:gridCol w:w="1418"/>
        <w:gridCol w:w="1084"/>
        <w:gridCol w:w="1084"/>
        <w:gridCol w:w="1084"/>
        <w:gridCol w:w="1084"/>
        <w:gridCol w:w="1418"/>
        <w:gridCol w:w="1084"/>
        <w:gridCol w:w="857"/>
        <w:gridCol w:w="857"/>
        <w:gridCol w:w="857"/>
        <w:gridCol w:w="857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Комплексы процессных мероприятий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. Степень готовности объекта капитального строительства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1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2: «Строительство (реконструкция) объектов»,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386,010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101 011,000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105 374,000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окружного бюджета (при наличии)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321,000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100 000,000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104 320,000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2 065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1 011,000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1 054,000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4.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Обеспеченность муниципального округа Красноселькупский район нормативами градостроительного проектирования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3: «Обеспечение документами территориального планирования и документацией по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693"/>
        <w:gridCol w:w="1418"/>
        <w:gridCol w:w="1084"/>
        <w:gridCol w:w="1084"/>
        <w:gridCol w:w="1084"/>
        <w:gridCol w:w="1084"/>
        <w:gridCol w:w="1418"/>
        <w:gridCol w:w="1084"/>
        <w:gridCol w:w="857"/>
        <w:gridCol w:w="857"/>
        <w:gridCol w:w="857"/>
        <w:gridCol w:w="857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планировке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территорий  муниципальных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образований»,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3: Снос аварийного жилищного фонда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направления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pStyle w:val="91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5. Количество снесенных аварийных домов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Снос объектов»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864,047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6 873,247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3 682,800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4 456,000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13 852,000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6 664,000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6 664,000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окружного бюджета (при наличии)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27 732,000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6 599,000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3 445,000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4 193,000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13 495,000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6 379,000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6 379,000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44.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1 132,047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274,247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37,800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263,000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357,000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285,000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285,000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7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firstLine="708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3.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Приложение № 1 к муниципальной программе изложить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8931"/>
        <w:keepLines/>
        <w:keepNext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Приложение № 1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8931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8931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8931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«Развитие строительного комплекса и жилищной сферы»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  <w:t xml:space="preserve">ХАРАКТЕРИСТИКА МЕРОПРИЯТИЙ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муниципальной программы муниципального округа Красноселькупский райо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 </w:t>
      </w:r>
      <w:r>
        <w:rPr>
          <w:b w:val="0"/>
          <w:bCs w:val="0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округа «Развитие строительного комплекса и жилищной сферы» </w:t>
      </w:r>
      <w:r>
        <w:rPr>
          <w:b w:val="0"/>
          <w:bCs w:val="0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Style w:val="767"/>
        <w:tblW w:w="0" w:type="auto"/>
        <w:tblBorders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144"/>
        <w:gridCol w:w="4835"/>
        <w:gridCol w:w="3777"/>
      </w:tblGrid>
      <w:tr>
        <w:trPr>
          <w:trHeight w:val="1275"/>
        </w:trPr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Результат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1: Улучшение жилищных условий гражд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ан, проживающих в Красноселькупском районе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№1: «Повышение доступности жилья»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503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  <w:t xml:space="preserve">Мероприятие 1.1.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Предоставление социальных выплат на приобретение (строительство) жилья молодым семьям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(федеральное мероприятие)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будет достигнут следующий результат: оказана гос.поддержка в обеспечении жильем 4-м молодым семьям, в т.ч. 2022 год - 1 семья (исполнено); 2023 год - 1 семья (исполнено); 2024 - год - 1 семья, 2025 год - 1 семья; </w:t>
              <w:br/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II этап: к концу 2030 года будет достигнут следующий результат: оказана гос.поддержка в обеспечении жильем 1-ой молодой семье, в т.ч. 2026 год - 1 семья;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Borders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099"/>
        <w:gridCol w:w="45"/>
        <w:gridCol w:w="4774"/>
        <w:gridCol w:w="3838"/>
      </w:tblGrid>
      <w:tr>
        <w:trPr>
          <w:trHeight w:val="2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503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района); соисполнители - Администрация Красноселькупского района (Управление жизнеобеспечения села Красносель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куп Администрации Красноселькупского района), Администрация села Толька, Администрация села Ратта.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  <w:t xml:space="preserve">Мероприятие 1.2.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роживания после 01.01.2017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будут достигнуты следующие результаты: переселено из аварийного жилфонда - 90 семей, в т.ч. 2022 г. - 18 семей (исполнено); 2023 г. - 26 семей (исполнено); 2024 г. - 14 семей; 2025 - 32 семьи; Площадь расселенного аварийного жилищ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ного фонда к 2025 году составит более 4 тыс. кв. метров.</w:t>
              <w:br/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II этап: к концу 2030 года будут достигнуты следующие результаты: переселено из аварийного жилфонда - 18 семей, в т.ч. 2026 г. - 18 семей; Площадь расселенного аварийного жилищного фонда к 2030 году составит более 1,2 тыс. кв. метров.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22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Региональный проект «Жилье» F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  <w:t xml:space="preserve">Мероприятие №1.3.F1.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Предоставление социальных выплат на приобретение (строительство) жилья молодым семьям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(окружное мероприятие)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будут достигнуты следующие результаты: оказана гос.поддержка в обеспечении жильем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31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молодой семье,  в т.ч. 2022 г. - 4 семьям (исполнено);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2023 г. - 10 семьям (исполнено - 9);2024 г. - 8 семьям; 2025 г. - 9 семьям. </w:t>
              <w:br/>
              <w:t xml:space="preserve"> II этап: к концу 2030 года будут достигнуты следующие результаты: оказана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Borders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099"/>
        <w:gridCol w:w="45"/>
        <w:gridCol w:w="4774"/>
        <w:gridCol w:w="3838"/>
      </w:tblGrid>
      <w:tr>
        <w:trPr>
          <w:trHeight w:val="258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гос.поддержка в обеспечении жильем 9 молодым семьям,  в т.ч. 2026 г. - 9 семьям 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  <w:t xml:space="preserve">Мероприятие №1.4. F2.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будут достигнуты следующие результаты: оказана гос.поддержка в обеспечении жильем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11 многодетным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семьям, в т.ч. 2022 г. - 2 семьям (исполнено); 2023 г. - 3 семьям (исполнено); 2024 г. - 3 семьям; 2025 г. - 3 семьям.  </w:t>
              <w:br/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II этап: к концу 2030 года будут достигнуты следующие результаты: оказана гос.поддержка в обеспечении жильем 3 многодетным семьям, в т.ч. 2026 г. - 3 семьям;   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highlight w:val="none"/>
              </w:rPr>
              <w:t xml:space="preserve">Мероприятие №1.5. F3.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Предоставление социальных выплат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округа с 01 января 2014 года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К концу 2025 года будут достигнуты следующие результаты: оказана гос.поддержка в обеспечении жильем 1 семе, в т.ч. 2024 г. - 1 семье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42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№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Строительство (реконструкция) объекта»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44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№2.1. 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с.Красноселькуп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 ул. Мамонова, д.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7А, в том числе проектно-изыскательские работы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 концу 2025 года будут достигнуты следующие результаты: завершено строительство многоквартирного дома на 42 квартиры.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№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Обеспечение нормативами градостроительного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проектирования муниципального округа Красноселькупский район»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496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приятие №3.1. Разработка местных нормативов градостроительного проектирования на территории муниципального округа Красноселькупский район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Исполнено. В 2022 году разработан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нормативный правовой акт.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3: Снос аварийного жилищного фонда на территории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№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Снос объектов»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148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исполнители - Администрация Красноселькупского района (Управление муниципальным имуществом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истрации Красноселькупского района), Администрация села Толька, Администрация села Ратта.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№4.1. Снос расселенных аварийных домов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будут достигнуты следующие результаты: снесено расселенных аварийных жилых домов -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29 домов площадью 9,78 тыс. кв. метров: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В 2022 году - 8 домов общей площадью 3,06 тыс. кв. метров (исполнено); 2023 год - 6 домов площадью 1,42 тыс. кв.м. (исполнено);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2024 год - 6 домов площадью 1,2 тыс. кв.м.; 2025 год - 9 домов площадью 4,1 тыс. кв. м.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Borders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099"/>
        <w:gridCol w:w="45"/>
        <w:gridCol w:w="4774"/>
        <w:gridCol w:w="3838"/>
      </w:tblGrid>
      <w:tr>
        <w:trPr>
          <w:trHeight w:val="2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148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II этап: к концу 2030 года будут достигнуты следующие результаты: снесено расселенных аварийных жилых домов - 3 дома площадью 2,3 тыс. кв. метров: в т.ч. в  2026 году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- 3 дома общей площадью 2,3 тыс. кв. метров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2819"/>
        </w:trPr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№4.2. Разработка проектов организации работ по сносу объектов капитального строительства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8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I этап: к концу 2025 года будут достигнуты следующие результаты: разработано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 29 проектов п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о сносу объектов капитального строительства, в т.ч. в 2022 году - 8 проектов по сносу (исполнено). 2023 год - 6 проектов (исполнено);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highlight w:val="none"/>
              </w:rPr>
              <w:t xml:space="preserve">2024 год - 6 проектов; 2025 год - 9 проектов.</w:t>
              <w:br/>
              <w:t xml:space="preserve"> II этап: к концу 2030 года будут достигнуты следующие результаты: разработано 3 проекта по сносу объектов капитального строительства, в т.ч. в 2026 году - 3 проекта;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4. Приложение № 1.1 дополнить показателем 1.1. «Количество молодых семей – участников федерального мероприятия, улучшивших жилищные условия» и методикой по его расчету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Style w:val="767"/>
        <w:tblW w:w="0" w:type="auto"/>
        <w:tblInd w:w="0" w:type="dxa"/>
        <w:tblBorders>
          <w:top w:val="none" w:color="000000" w:sz="4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2627"/>
        <w:gridCol w:w="6444"/>
      </w:tblGrid>
      <w:tr>
        <w:trPr>
          <w:trHeight w:val="705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33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Наименование показателя 1.1.: Количество молодых семей - участников федерального мероприятия, улучшивших жилищные условия *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Количество молодых семей - участников федерального мероприятия, улучшивших жилищные условия (вводится с 2024 года)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Соглашения между Администрацией Красноселькупского района и Департаментом строительства и жилищной политики ЯНАО на выделение субсидий за счет средств федерального бюджета на реализацию муниципальных программ на территории муниципального округа;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семей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3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Общее количество молодых семей Красноселькупского района, улучшивших жилищные условия за счет средств федерального, окружного и местного бюджетов, выделенных на реализацию мероприятия по предоставлению социальных выплат на приобретение (строительство) жиль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я молодым семьям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Данный показатель является абсолютным, значение показателя определяется как общее количество молодых семей Красноселькупского района, улучшивших жилищные условия в рамках реализации федерального мероприятия  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2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64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Количество молодых семей Красноселькупского района, улучшивших жилищные условия с использованием полученных социальных выплат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2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∑Молодых.сем.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64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35"/>
        </w:trPr>
        <w:tc>
          <w:tcPr>
            <w:tcBorders>
              <w:top w:val="none" w:color="000000" w:sz="4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07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Показатель формируется на основании отчетности отдела жилищной политики Администрации Красноселькупского района по итогам реализации федерального мероприятия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».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5. Приложение №2.1 к муниципальной программе изложить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204" w:firstLine="708"/>
        <w:keepLines/>
        <w:keepNext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Приложение № 2.1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keepLines/>
        <w:keepNext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«Развитие строительного комплекса и жилищной сферы»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highlight w:val="none"/>
        </w:rPr>
        <w:t xml:space="preserve">ДЕТАЛИЗИРОВАННЫЙ ПЕРЕЧЕНЬ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</w:t>
      </w:r>
      <w:r>
        <w:rPr>
          <w:b w:val="0"/>
          <w:bCs w:val="0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на 2023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год</w:t>
      </w:r>
      <w:r>
        <w:rPr>
          <w:b w:val="0"/>
          <w:bCs w:val="0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19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Объем финансирова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ния (тыс. руб.)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3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112 896,0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83,0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109 426,000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186,997</w:t>
            </w:r>
            <w:r/>
          </w:p>
        </w:tc>
      </w:tr>
      <w:tr>
        <w:trPr>
          <w:trHeight w:val="8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38 336,9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65 399,776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158,292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1: Улучшение жилищных условий граждан, проживающих в Красноселькупском районе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109 212,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83,0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980,000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2 949,186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38 336,964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64 295,519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579,750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Повышение доступности жилья»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73 037,94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70 056,000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2 698,8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2 162,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64 295,5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579,750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приобретение (строительство) жилья молодым семьям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коммунальными услугами граждан Российской Федерации»;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2 162,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2 162,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83,04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858,000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21,626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1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1.2. 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 расселению жилищного фонда, признанного непригодным для проживания после 01.01.2017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жилищной сферы»; Порядок реализации мероприятия является приложением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  государственной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программе ЯНАО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70 875,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64 295,519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717,708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2 492,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811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911 0330164300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579,750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480,293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,457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902 0330164300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Региональный проект «Жилье» F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36 174,292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35 924,000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250,292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36 174,292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1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1.3. F1.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приобретение (строительство) жилья молодым семьям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25.12.2013 № 1099-П «Об утверждении государственной программы Ямало-Ненецкого автоно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много округа «Развитие строительного комплекса и жилищной сферы»;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12.02.2019 № 112-П «О предоставлении социальных выплат на приобретение (строительство) жилья семьям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  <w:highlight w:val="none"/>
              </w:rPr>
              <w:t xml:space="preserve"> в Ямало-Ненецком автономном округе»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24 969,292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24 969,292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14 395,000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901 031F1S1830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10 324,000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901 031F1S1832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104,292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3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1.4. F2.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дении государственной программы Ямало-Ненецкого автономного округа «Развитие строительного комплекса и жилищной сферы»; Закон ЯНАО от 23.2019 №138-ЗАО «О наделении органов местного самоуправления муниципальных районов и городских округов в Ямало-Ненецком 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а в собственность бесплатно»; Постановление Правительства ЯНАО от 18.2016 № 110-П «Об утверждении 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земельн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ого участка в собственность бесплатно»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205,000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205,000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516,000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689,000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2: «Строительство (реконструкция) объектов»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010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3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2.1.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с.Красноселькуп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ул.Мамонова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 д.7А, в том числе проектно-изыскательские работы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Распоряжение Правительства Ямало-Ненецкого автономного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округа  от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05 декабря 2022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а 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5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901 0330271350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03302S1350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3 682,8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3 445,000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237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,800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1 104,258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2 578,542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4: «Снос объектов»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3 682,8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3 445,000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237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,800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1 104,258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2 578,542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5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4.1.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Снос расселенных аварийных домов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  государственной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программе ЯНАО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3 479,800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1 066,258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1 055,593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10,665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2 413,542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2 389,407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24,135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Мероприятие 4.2.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Разработка проектов организации работ по сносу объектов капитального строительства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38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911 0330464630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38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165,000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902 0330464630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165,000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pStyle w:val="911"/>
        <w:ind w:left="0" w:right="0" w:firstLine="709"/>
        <w:jc w:val="right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»</w:t>
      </w:r>
      <w:r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  <w:t xml:space="preserve">.</w:t>
      </w:r>
      <w:r/>
    </w:p>
    <w:p>
      <w:pPr>
        <w:pStyle w:val="911"/>
        <w:ind w:left="0" w:right="0" w:firstLine="709"/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highlight w:val="none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6. Муниципальную программу дополнить Приложением № 2.2 в следующей редакции: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204" w:firstLine="708"/>
        <w:keepLines/>
        <w:keepNext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Приложение № 2.2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keepLines/>
        <w:keepNext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«Развитие строительного комплекса и жилищной сферы»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ind w:left="9923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highlight w:val="none"/>
        </w:rPr>
        <w:t xml:space="preserve">ДЕТАЛИЗИРОВАННЫЙ ПЕРЕЧЕНЬ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</w:t>
      </w:r>
      <w:r>
        <w:rPr>
          <w:b w:val="0"/>
          <w:bCs w:val="0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на 2024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год</w:t>
      </w:r>
      <w:r>
        <w:rPr>
          <w:b w:val="0"/>
          <w:bCs w:val="0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19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Объем финансирова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ния (тыс. руб.)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83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186 380,0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183 746,000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242,9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011,000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38 750,0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482,000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137,000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2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1: Улучшение жилищных условий граждан, проживающих в Красноселькупском районе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80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913,03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553,000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968,900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38 750,039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344,000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819,000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1:  «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Повышение доступности жилья»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356,139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227,000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738,000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193,13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344,000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819,000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риобретение (строительство) жилья молодым семьям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(федеральное мероприятие)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коммунальными услугами граждан Российской Федерации»;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193,139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8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193,139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,139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770,000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03301L4970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984"/>
        <w:gridCol w:w="4252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1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1.2. 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 расселению жилищного фонда, признанного непригодным для проживания после 01.01.2017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жилищной сферы»; Порядок реализации мероприятия является приложением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  государственной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программе ЯНАО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163,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344,000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826,000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271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911 0330164300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247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819,000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631,000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148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902 0330164300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1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Региональный проект «Жилье» F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35 556,900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35 326,000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230,900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35 556,900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984"/>
        <w:gridCol w:w="4252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1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1.3. F1.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приобретение (строительство) жилья молодым семьям (окружное мероприятие)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25.12.2013 № 1099-П «Об утверждении государственной программы Ямало-Ненецкого автоно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много округа «Развитие строительного комплекса и жилищной сферы»;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12.02.2019 № 112-П «О предоставлении социальных выплат на приобретение (строительство) жилья семьям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  <w:highlight w:val="none"/>
              </w:rPr>
              <w:t xml:space="preserve"> в Ямало-Ненецком автономном округе»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21 137,000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2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21 137,000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925,000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901 031F1S1832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212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8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1.4. F2.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дении государственной программы Ямало-Ненецкого автономного округа «Развитие строительного комплекса и жилищной сферы»; Закон ЯНАО от 23.2019 №138-ЗАО «О наделении органов местного самоуправления муниципальных районов и городских округов в Ямало-Ненецком 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а в собственность бесплатно»; Постановление Правительства ЯНАО от 18.2016 № 110-П «Об утверждении 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534,000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4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земельн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ого участка в собственность бесплатно»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9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534,000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901 031F171831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534,000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1.5. F3.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Предоставление социальных вып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лат на приобретение (строительство) жилья семьям, исключенным по достижении предельного возраста из списка молодых семей – участников федерального или окружного мероприятия, реализуемых на территории Ямало-Ненецкого автономного округа с 01 января 2014 года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25.12.2013 № 1099-П «Об утверждении государственной программы Ямало-Ненецкого автоно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много округа «Развитие строительного комплекса и жилищной сферы»;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Постановление Правительства ЯНАО от 12.02.2019 № 112-П «О предоставлении социальных выплат на приобретение (строительство) жилья семьям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  <w:highlight w:val="none"/>
              </w:rPr>
              <w:t xml:space="preserve"> в Ямало-Ненецком автономном округе»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1 885,900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1 885,900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901 031F171832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1 867,000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901 031F1S1832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18,900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27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011,0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000,000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1 011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011,0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984"/>
        <w:gridCol w:w="4252"/>
        <w:gridCol w:w="1701"/>
      </w:tblGrid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2: «Строительство (реконструкция) объектов»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011,000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000,000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1 011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011,0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2.1.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с.Красноселькуп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ул.Мамонова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, д.7А, в том числе проектно-изыскательские работы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Распоряжение Правительства Ямало-Ненецкого автономного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округа  от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05 декабря 2022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а 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011,000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85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011,0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901 0330271930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100 000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901 03302S1930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1 011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456,0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193,000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263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138,000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318,000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69.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Комплекс процессных мероприятий 4: «Снос объектов»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456,0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193,000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263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138,000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318,000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156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Мероприятие 4.1.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Снос расселенных аварийных домов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к  государственной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highlight w:val="none"/>
              </w:rPr>
              <w:t xml:space="preserve"> программе ЯНАО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236,000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058,000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76.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027,000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77.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78.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178,000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79.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902 0330471600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166,000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80.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03304S1600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81.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Мероприятие 4.2.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 Разработка проектов организации работ по сносу объектов капитального строительства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220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47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82.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80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83.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911 0330464630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80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84.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Соисполнитель - Администрация села Толька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140,000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none"/>
              </w:rPr>
              <w:t xml:space="preserve">85.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902 0330464630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none"/>
              </w:rPr>
              <w:t xml:space="preserve">140,000</w:t>
            </w:r>
            <w:r>
              <w:rPr>
                <w:rFonts w:ascii="Liberation Sans" w:hAnsi="Liberation Sans" w:cs="Liberation Sans"/>
                <w:color w:val="000000" w:themeColor="text1"/>
                <w:highlight w:val="none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10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8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0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9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4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8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9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700">
    <w:name w:val="Heading 1"/>
    <w:basedOn w:val="699"/>
    <w:next w:val="699"/>
    <w:link w:val="74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1">
    <w:name w:val="Heading 2"/>
    <w:basedOn w:val="699"/>
    <w:next w:val="699"/>
    <w:link w:val="74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2">
    <w:name w:val="Heading 3"/>
    <w:basedOn w:val="699"/>
    <w:next w:val="699"/>
    <w:link w:val="74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3">
    <w:name w:val="Heading 4"/>
    <w:basedOn w:val="699"/>
    <w:next w:val="69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699"/>
    <w:next w:val="699"/>
    <w:link w:val="75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699"/>
    <w:next w:val="699"/>
    <w:link w:val="75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6">
    <w:name w:val="Heading 7"/>
    <w:basedOn w:val="699"/>
    <w:next w:val="699"/>
    <w:link w:val="75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7">
    <w:name w:val="Heading 8"/>
    <w:basedOn w:val="699"/>
    <w:next w:val="699"/>
    <w:link w:val="75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8">
    <w:name w:val="Heading 9"/>
    <w:basedOn w:val="699"/>
    <w:next w:val="699"/>
    <w:link w:val="75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uiPriority w:val="9"/>
    <w:rPr>
      <w:rFonts w:ascii="Arial" w:hAnsi="Arial" w:eastAsia="Arial" w:cs="Arial"/>
      <w:sz w:val="40"/>
      <w:szCs w:val="40"/>
    </w:rPr>
  </w:style>
  <w:style w:type="character" w:styleId="713" w:customStyle="1">
    <w:name w:val="Heading 2 Char"/>
    <w:basedOn w:val="709"/>
    <w:uiPriority w:val="9"/>
    <w:rPr>
      <w:rFonts w:ascii="Arial" w:hAnsi="Arial" w:eastAsia="Arial" w:cs="Arial"/>
      <w:sz w:val="34"/>
    </w:rPr>
  </w:style>
  <w:style w:type="character" w:styleId="714" w:customStyle="1">
    <w:name w:val="Heading 3 Char"/>
    <w:basedOn w:val="709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Heading 4 Char"/>
    <w:basedOn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Heading 5 Char"/>
    <w:basedOn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Heading 6 Char"/>
    <w:basedOn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Heading 7 Char"/>
    <w:basedOn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Heading 9 Char"/>
    <w:basedOn w:val="709"/>
    <w:uiPriority w:val="9"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itle Char"/>
    <w:basedOn w:val="709"/>
    <w:uiPriority w:val="10"/>
    <w:rPr>
      <w:sz w:val="48"/>
      <w:szCs w:val="48"/>
    </w:rPr>
  </w:style>
  <w:style w:type="character" w:styleId="722" w:customStyle="1">
    <w:name w:val="Subtitle Char"/>
    <w:basedOn w:val="709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table" w:styleId="725" w:customStyle="1">
    <w:name w:val="Таблица простая 11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7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Таблица-сетк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Таблица-сетка 4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Таблица-сетк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5" w:customStyle="1">
    <w:name w:val="Таблица-сетк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Таблица-сетк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Список-таблица 1 светлая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Список-таблиц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9" w:customStyle="1">
    <w:name w:val="Список-таблиц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Список-таблица 4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Список-таблиц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Список-таблиц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3" w:customStyle="1">
    <w:name w:val="Список-таблиц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basedOn w:val="709"/>
    <w:link w:val="700"/>
    <w:uiPriority w:val="9"/>
    <w:rPr>
      <w:rFonts w:ascii="Arial" w:hAnsi="Arial" w:eastAsia="Arial" w:cs="Arial"/>
      <w:sz w:val="40"/>
      <w:szCs w:val="40"/>
    </w:rPr>
  </w:style>
  <w:style w:type="character" w:styleId="747" w:customStyle="1">
    <w:name w:val="Заголовок 2 Знак"/>
    <w:basedOn w:val="709"/>
    <w:link w:val="701"/>
    <w:uiPriority w:val="9"/>
    <w:rPr>
      <w:rFonts w:ascii="Arial" w:hAnsi="Arial" w:eastAsia="Arial" w:cs="Arial"/>
      <w:sz w:val="34"/>
    </w:rPr>
  </w:style>
  <w:style w:type="character" w:styleId="748" w:customStyle="1">
    <w:name w:val="Заголовок 3 Знак"/>
    <w:basedOn w:val="709"/>
    <w:link w:val="702"/>
    <w:uiPriority w:val="9"/>
    <w:rPr>
      <w:rFonts w:ascii="Arial" w:hAnsi="Arial" w:eastAsia="Arial" w:cs="Arial"/>
      <w:sz w:val="30"/>
      <w:szCs w:val="30"/>
    </w:rPr>
  </w:style>
  <w:style w:type="character" w:styleId="749" w:customStyle="1">
    <w:name w:val="Заголовок 4 Знак"/>
    <w:basedOn w:val="709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750" w:customStyle="1">
    <w:name w:val="Заголовок 5 Знак"/>
    <w:basedOn w:val="709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751" w:customStyle="1">
    <w:name w:val="Заголовок 6 Знак"/>
    <w:basedOn w:val="70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752" w:customStyle="1">
    <w:name w:val="Заголовок 7 Знак"/>
    <w:basedOn w:val="709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0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Заголовок 9 Знак"/>
    <w:basedOn w:val="709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Title"/>
    <w:basedOn w:val="699"/>
    <w:next w:val="699"/>
    <w:link w:val="756"/>
    <w:uiPriority w:val="10"/>
    <w:qFormat/>
    <w:pPr>
      <w:contextualSpacing/>
      <w:spacing w:before="300"/>
    </w:pPr>
    <w:rPr>
      <w:sz w:val="48"/>
      <w:szCs w:val="48"/>
    </w:rPr>
  </w:style>
  <w:style w:type="character" w:styleId="756" w:customStyle="1">
    <w:name w:val="Заголовок Знак"/>
    <w:basedOn w:val="709"/>
    <w:link w:val="755"/>
    <w:uiPriority w:val="10"/>
    <w:rPr>
      <w:sz w:val="48"/>
      <w:szCs w:val="48"/>
    </w:rPr>
  </w:style>
  <w:style w:type="paragraph" w:styleId="757">
    <w:name w:val="Subtitle"/>
    <w:basedOn w:val="699"/>
    <w:next w:val="699"/>
    <w:link w:val="758"/>
    <w:uiPriority w:val="11"/>
    <w:qFormat/>
    <w:pPr>
      <w:spacing w:before="200"/>
    </w:pPr>
    <w:rPr>
      <w:sz w:val="24"/>
      <w:szCs w:val="24"/>
    </w:rPr>
  </w:style>
  <w:style w:type="character" w:styleId="758" w:customStyle="1">
    <w:name w:val="Подзаголовок Знак"/>
    <w:basedOn w:val="709"/>
    <w:link w:val="757"/>
    <w:uiPriority w:val="11"/>
    <w:rPr>
      <w:sz w:val="24"/>
      <w:szCs w:val="24"/>
    </w:rPr>
  </w:style>
  <w:style w:type="paragraph" w:styleId="759">
    <w:name w:val="Quote"/>
    <w:basedOn w:val="699"/>
    <w:next w:val="699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699"/>
    <w:next w:val="699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character" w:styleId="763" w:customStyle="1">
    <w:name w:val="Header Char"/>
    <w:basedOn w:val="709"/>
    <w:uiPriority w:val="99"/>
  </w:style>
  <w:style w:type="character" w:styleId="764" w:customStyle="1">
    <w:name w:val="Footer Char"/>
    <w:basedOn w:val="709"/>
    <w:uiPriority w:val="99"/>
  </w:style>
  <w:style w:type="paragraph" w:styleId="765">
    <w:name w:val="Caption"/>
    <w:basedOn w:val="699"/>
    <w:next w:val="699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66" w:customStyle="1">
    <w:name w:val="Caption Char"/>
    <w:uiPriority w:val="99"/>
  </w:style>
  <w:style w:type="table" w:styleId="767">
    <w:name w:val="Table Grid"/>
    <w:basedOn w:val="7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Таблица простая 11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Таблица простая 21"/>
    <w:basedOn w:val="7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Таблица простая 3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Таблица простая 4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а простая 5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Таблица-сетка 1 светл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а-сетк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Таблица-сетк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Таблица-сетка 4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97" w:customStyle="1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1" w:customStyle="1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Таблица-сетк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Таблица-сетк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1" w:customStyle="1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 w:customStyle="1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Таблица-сетк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Список-таблица 1 светлая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Список-таблиц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Список-таблиц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Список-таблиц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Список-таблиц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0" w:customStyle="1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4" w:customStyle="1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Список-таблиц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4" w:customStyle="1">
    <w:name w:val="Lined - Accent 2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8" w:customStyle="1">
    <w:name w:val="Lined - Accent 6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1" w:customStyle="1">
    <w:name w:val="Bordered &amp; Lined - Accent 2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5" w:customStyle="1">
    <w:name w:val="Bordered &amp; Lined - Accent 6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88" w:customStyle="1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2" w:customStyle="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699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basedOn w:val="709"/>
    <w:uiPriority w:val="99"/>
    <w:unhideWhenUsed/>
    <w:rPr>
      <w:vertAlign w:val="superscript"/>
    </w:rPr>
  </w:style>
  <w:style w:type="paragraph" w:styleId="897">
    <w:name w:val="endnote text"/>
    <w:basedOn w:val="699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basedOn w:val="709"/>
    <w:uiPriority w:val="99"/>
    <w:semiHidden/>
    <w:unhideWhenUsed/>
    <w:rPr>
      <w:vertAlign w:val="superscript"/>
    </w:rPr>
  </w:style>
  <w:style w:type="paragraph" w:styleId="900">
    <w:name w:val="toc 1"/>
    <w:basedOn w:val="699"/>
    <w:next w:val="699"/>
    <w:uiPriority w:val="39"/>
    <w:unhideWhenUsed/>
    <w:pPr>
      <w:spacing w:after="57"/>
    </w:pPr>
  </w:style>
  <w:style w:type="paragraph" w:styleId="901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902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903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904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905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906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907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908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699"/>
    <w:next w:val="699"/>
    <w:uiPriority w:val="99"/>
    <w:unhideWhenUsed/>
    <w:pPr>
      <w:spacing w:after="0"/>
    </w:pPr>
  </w:style>
  <w:style w:type="paragraph" w:styleId="911">
    <w:name w:val="No Spacing"/>
    <w:link w:val="91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12" w:customStyle="1">
    <w:name w:val="Без интервала Знак"/>
    <w:basedOn w:val="709"/>
    <w:link w:val="911"/>
    <w:uiPriority w:val="1"/>
    <w:rPr>
      <w:rFonts w:eastAsiaTheme="minorEastAsia"/>
      <w:lang w:eastAsia="ru-RU"/>
    </w:rPr>
  </w:style>
  <w:style w:type="paragraph" w:styleId="913">
    <w:name w:val="Footer"/>
    <w:basedOn w:val="699"/>
    <w:link w:val="9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709"/>
    <w:link w:val="913"/>
    <w:uiPriority w:val="99"/>
    <w:rPr>
      <w:rFonts w:eastAsiaTheme="minorEastAsia"/>
      <w:lang w:eastAsia="ru-RU"/>
    </w:rPr>
  </w:style>
  <w:style w:type="paragraph" w:styleId="915">
    <w:name w:val="Body Text"/>
    <w:basedOn w:val="699"/>
    <w:link w:val="916"/>
    <w:unhideWhenUsed/>
    <w:pPr>
      <w:spacing w:after="120"/>
    </w:pPr>
  </w:style>
  <w:style w:type="character" w:styleId="916" w:customStyle="1">
    <w:name w:val="Основной текст Знак"/>
    <w:basedOn w:val="709"/>
    <w:link w:val="915"/>
    <w:rPr>
      <w:rFonts w:eastAsiaTheme="minorEastAsia"/>
      <w:lang w:eastAsia="ru-RU"/>
    </w:rPr>
  </w:style>
  <w:style w:type="paragraph" w:styleId="91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918">
    <w:name w:val="Header"/>
    <w:basedOn w:val="69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09"/>
    <w:link w:val="918"/>
    <w:uiPriority w:val="99"/>
    <w:rPr>
      <w:rFonts w:eastAsiaTheme="minorEastAsia"/>
      <w:lang w:eastAsia="ru-RU"/>
    </w:rPr>
  </w:style>
  <w:style w:type="paragraph" w:styleId="920">
    <w:name w:val="List Paragraph"/>
    <w:basedOn w:val="699"/>
    <w:uiPriority w:val="34"/>
    <w:qFormat/>
    <w:pPr>
      <w:contextualSpacing/>
      <w:ind w:left="720"/>
    </w:pPr>
  </w:style>
  <w:style w:type="paragraph" w:styleId="921">
    <w:name w:val="Balloon Text"/>
    <w:basedOn w:val="699"/>
    <w:link w:val="9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2" w:customStyle="1">
    <w:name w:val="Текст выноски Знак"/>
    <w:basedOn w:val="709"/>
    <w:link w:val="921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250</cp:revision>
  <dcterms:created xsi:type="dcterms:W3CDTF">2021-12-16T10:27:00Z</dcterms:created>
  <dcterms:modified xsi:type="dcterms:W3CDTF">2024-02-19T06:32:22Z</dcterms:modified>
</cp:coreProperties>
</file>