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contextualSpacing/>
        <w:jc w:val="center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7"/>
        <w:contextualSpacing/>
        <w:jc w:val="center"/>
        <w:spacing w:after="0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jc w:val="center"/>
        <w:spacing w:before="0" w:after="0"/>
        <w:tabs>
          <w:tab w:val="left" w:pos="180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contextualSpacing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«12» февраля 2024 г.                                                                          № 38-П</w:t>
      </w:r>
      <w:r/>
    </w:p>
    <w:p>
      <w:pPr>
        <w:pStyle w:val="837"/>
        <w:contextualSpacing/>
        <w:jc w:val="center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center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color w:val="auto"/>
          <w:sz w:val="28"/>
          <w:szCs w:val="28"/>
        </w:rPr>
        <w:t xml:space="preserve">О внесении изменений в </w:t>
      </w:r>
      <w:r>
        <w:rPr>
          <w:rFonts w:ascii="Liberation Sans" w:hAnsi="Liberation Sans" w:cs="Liberation Sans"/>
          <w:b/>
          <w:color w:val="auto"/>
          <w:sz w:val="28"/>
          <w:szCs w:val="28"/>
        </w:rPr>
        <w:t xml:space="preserve">Административный</w:t>
      </w:r>
      <w:r>
        <w:rPr>
          <w:rFonts w:ascii="Liberation Sans" w:hAnsi="Liberation Sans" w:cs="Liberation Sans"/>
          <w:b/>
          <w:color w:val="auto"/>
          <w:sz w:val="28"/>
          <w:szCs w:val="28"/>
        </w:rPr>
        <w:t xml:space="preserve"> регламент </w:t>
      </w:r>
      <w:r>
        <w:rPr>
          <w:rFonts w:ascii="Liberation Sans" w:hAnsi="Liberation Sans" w:cs="Liberation Sans"/>
          <w:b/>
          <w:bCs/>
          <w:color w:val="auto"/>
          <w:spacing w:val="-3"/>
          <w:sz w:val="28"/>
          <w:szCs w:val="28"/>
        </w:rPr>
        <w:t xml:space="preserve">по предоставлению муниципальной</w:t>
      </w:r>
      <w:r>
        <w:rPr>
          <w:rFonts w:ascii="Liberation Sans" w:hAnsi="Liberation Sans" w:cs="Liberation Sans"/>
          <w:b/>
          <w:bCs/>
          <w:color w:val="auto"/>
          <w:spacing w:val="-3"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b/>
          <w:bCs/>
          <w:color w:val="auto"/>
          <w:spacing w:val="-3"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bCs/>
          <w:color w:val="auto"/>
          <w:spacing w:val="-3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color w:val="auto"/>
          <w:sz w:val="28"/>
          <w:szCs w:val="28"/>
        </w:rPr>
        <w:t xml:space="preserve">«Предварительное согласование предоставления земельного участка»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center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center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contextualSpacing/>
        <w:ind w:firstLine="709"/>
        <w:jc w:val="both"/>
        <w:rPr>
          <w:rFonts w:ascii="Liberation Sans" w:hAnsi="Liberation Sans" w:cs="Liberation Sans"/>
          <w:b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В целях приведения муниципального нормативного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правов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ого акта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в соответствие с законодательством Российской Федерации и Ямало-Ненецкого автономного округа,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color w:val="auto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1. Утвердить прилагаемые изменения, которые вносятся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в Административный регламент </w:t>
      </w:r>
      <w:r>
        <w:rPr>
          <w:rFonts w:ascii="Liberation Sans" w:hAnsi="Liberation Sans" w:cs="Liberation Sans"/>
          <w:bCs/>
          <w:color w:val="auto"/>
          <w:spacing w:val="-3"/>
          <w:sz w:val="28"/>
          <w:szCs w:val="28"/>
        </w:rPr>
        <w:t xml:space="preserve">по предоставлению муниципальной услуги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«Предварительное согласование предоставления земельного участка», утвержденный постановлением Администрации Красноселькупского района от</w:t>
      </w:r>
      <w:r>
        <w:rPr>
          <w:rFonts w:ascii="Liberation Sans" w:hAnsi="Liberation Sans" w:cs="Liberation Sans"/>
          <w:b/>
          <w:color w:val="auto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23.12.2021 № 103-П.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contextualSpacing/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shd w:val="clear" w:color="auto" w:fill="fbfbfb"/>
        </w:rPr>
      </w:pPr>
      <w:r>
        <w:rPr>
          <w:rFonts w:ascii="Liberation Sans" w:hAnsi="Liberation Sans" w:eastAsia="SimSun" w:cs="Liberation Sans"/>
          <w:color w:val="auto"/>
          <w:sz w:val="28"/>
          <w:szCs w:val="28"/>
          <w:lang w:eastAsia="zh-CN"/>
        </w:rPr>
        <w:t xml:space="preserve">2</w:t>
      </w:r>
      <w:r>
        <w:rPr>
          <w:rFonts w:ascii="Liberation Sans" w:hAnsi="Liberation Sans" w:eastAsia="SimSun" w:cs="Liberation Sans"/>
          <w:color w:val="auto"/>
          <w:sz w:val="28"/>
          <w:szCs w:val="28"/>
          <w:lang w:eastAsia="zh-CN"/>
        </w:rPr>
        <w:t xml:space="preserve">. 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Опубликовать настоящее постановление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в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rFonts w:ascii="Liberation Sans" w:hAnsi="Liberation Sans" w:cs="Liberation Sans"/>
          <w:color w:val="auto"/>
          <w:sz w:val="28"/>
          <w:szCs w:val="28"/>
          <w:shd w:val="clear" w:color="ffffff" w:themeColor="background1" w:fill="ffffff" w:themeFill="background1"/>
        </w:rPr>
        <w:t xml:space="preserve">муниципального округа </w:t>
      </w:r>
      <w:r>
        <w:rPr>
          <w:rFonts w:ascii="Liberation Sans" w:hAnsi="Liberation Sans" w:cs="Liberation Sans"/>
          <w:bCs/>
          <w:color w:val="auto"/>
          <w:sz w:val="28"/>
          <w:szCs w:val="28"/>
          <w:shd w:val="clear" w:color="ffffff" w:themeColor="background1" w:fill="ffffff" w:themeFill="background1"/>
        </w:rPr>
        <w:t xml:space="preserve">Красноселькупский</w:t>
      </w:r>
      <w:r>
        <w:rPr>
          <w:rFonts w:ascii="Liberation Sans" w:hAnsi="Liberation Sans" w:cs="Liberation Sans"/>
          <w:color w:val="auto"/>
          <w:sz w:val="28"/>
          <w:szCs w:val="28"/>
          <w:shd w:val="clear" w:color="ffffff" w:themeColor="background1" w:fill="ffffff" w:themeFill="background1"/>
        </w:rPr>
        <w:t xml:space="preserve"> </w:t>
      </w:r>
      <w:r>
        <w:rPr>
          <w:rFonts w:ascii="Liberation Sans" w:hAnsi="Liberation Sans" w:cs="Liberation Sans"/>
          <w:bCs/>
          <w:color w:val="auto"/>
          <w:sz w:val="28"/>
          <w:szCs w:val="28"/>
          <w:shd w:val="clear" w:color="ffffff" w:themeColor="background1" w:fill="ffffff" w:themeFill="background1"/>
        </w:rPr>
        <w:t xml:space="preserve">район</w:t>
      </w:r>
      <w:r>
        <w:rPr>
          <w:rFonts w:ascii="Liberation Sans" w:hAnsi="Liberation Sans" w:cs="Liberation Sans"/>
          <w:color w:val="auto"/>
          <w:sz w:val="28"/>
          <w:szCs w:val="28"/>
          <w:shd w:val="clear" w:color="ffffff" w:themeColor="background1" w:fill="ffffff" w:themeFill="background1"/>
        </w:rPr>
        <w:t xml:space="preserve"> Ямало-Ненецкого автономного округа</w:t>
      </w:r>
      <w:r>
        <w:rPr>
          <w:rFonts w:ascii="Liberation Sans" w:hAnsi="Liberation Sans" w:cs="Liberation Sans"/>
          <w:color w:val="auto"/>
          <w:sz w:val="28"/>
          <w:szCs w:val="28"/>
          <w:shd w:val="clear" w:color="auto" w:fill="fbfbfb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contextualSpacing/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Глава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Красноселькупского района</w:t>
        <w:tab/>
        <w:tab/>
        <w:tab/>
        <w:tab/>
        <w:t xml:space="preserve">  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    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7"/>
        <w:contextualSpacing/>
        <w:jc w:val="both"/>
        <w:rPr>
          <w:rFonts w:ascii="Liberation Sans" w:hAnsi="Liberation Sans" w:cs="Liberation Sans"/>
          <w:color w:val="auto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2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Приложение</w:t>
      </w:r>
      <w:r>
        <w:rPr>
          <w:color w:val="auto"/>
        </w:rPr>
      </w:r>
      <w:r/>
    </w:p>
    <w:p>
      <w:pPr>
        <w:pStyle w:val="861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 </w:t>
      </w:r>
      <w:r>
        <w:rPr>
          <w:color w:val="auto"/>
        </w:rPr>
      </w:r>
      <w:r/>
    </w:p>
    <w:p>
      <w:pPr>
        <w:pStyle w:val="861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УТВЕРЖДЕНЫ</w:t>
      </w:r>
      <w:r>
        <w:rPr>
          <w:color w:val="auto"/>
        </w:rPr>
      </w:r>
      <w:r/>
    </w:p>
    <w:p>
      <w:pPr>
        <w:pStyle w:val="861"/>
        <w:contextualSpacing/>
        <w:ind w:left="5102" w:right="0" w:firstLine="0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color w:val="auto"/>
        </w:rPr>
      </w:r>
      <w:r/>
    </w:p>
    <w:p>
      <w:pPr>
        <w:contextualSpacing/>
        <w:ind w:left="5102" w:right="0" w:firstLine="0"/>
        <w:rPr>
          <w:rFonts w:ascii="Liberation Sans" w:hAnsi="Liberation Sans" w:cs="Liberation Sans"/>
          <w:color w:val="auto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от </w:t>
      </w:r>
      <w:r>
        <w:rPr>
          <w:rFonts w:ascii="Liberation Sans" w:hAnsi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«12» февраля 2024 г. № 38-П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contextualSpacing/>
        <w:ind w:left="4112" w:firstLine="708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/>
          <w:color w:val="auto"/>
          <w:sz w:val="28"/>
          <w:szCs w:val="28"/>
          <w:highlight w:val="none"/>
        </w:rPr>
      </w:r>
      <w:r/>
    </w:p>
    <w:p>
      <w:pPr>
        <w:pStyle w:val="837"/>
        <w:contextualSpacing/>
        <w:jc w:val="center"/>
        <w:rPr>
          <w:rFonts w:ascii="Liberation Sans" w:hAnsi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/>
          <w:b w:val="0"/>
          <w:bCs w:val="0"/>
          <w:color w:val="auto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7"/>
        <w:contextualSpacing/>
        <w:jc w:val="center"/>
        <w:rPr>
          <w:rFonts w:ascii="Liberation Sans" w:hAnsi="Liberation Sans"/>
          <w:b/>
          <w:color w:val="auto"/>
          <w:sz w:val="28"/>
          <w:szCs w:val="28"/>
        </w:rPr>
      </w:pPr>
      <w:r>
        <w:rPr>
          <w:rFonts w:ascii="Liberation Sans" w:hAnsi="Liberation Sans"/>
          <w:b/>
          <w:color w:val="auto"/>
          <w:sz w:val="28"/>
          <w:szCs w:val="28"/>
        </w:rPr>
        <w:t xml:space="preserve">ИЗМЕНЕНИЯ,</w:t>
      </w:r>
      <w:r>
        <w:rPr>
          <w:color w:val="auto"/>
        </w:rPr>
      </w:r>
      <w:r/>
    </w:p>
    <w:p>
      <w:pPr>
        <w:pStyle w:val="837"/>
        <w:contextualSpacing/>
        <w:jc w:val="center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которые вносятся </w:t>
      </w:r>
      <w:r>
        <w:rPr>
          <w:rFonts w:ascii="Liberation Sans" w:hAnsi="Liberation Sans"/>
          <w:color w:val="auto"/>
          <w:sz w:val="28"/>
          <w:szCs w:val="28"/>
        </w:rPr>
        <w:t xml:space="preserve">в Административный регламент </w:t>
      </w:r>
      <w:r>
        <w:rPr>
          <w:rFonts w:ascii="Liberation Sans" w:hAnsi="Liberation Sans"/>
          <w:bCs/>
          <w:color w:val="auto"/>
          <w:spacing w:val="-3"/>
          <w:sz w:val="28"/>
          <w:szCs w:val="28"/>
        </w:rPr>
        <w:t xml:space="preserve">по предоставлению муниципальной услуги  </w:t>
      </w:r>
      <w:r>
        <w:rPr>
          <w:rFonts w:ascii="Liberation Sans" w:hAnsi="Liberation Sans"/>
          <w:color w:val="auto"/>
          <w:sz w:val="28"/>
          <w:szCs w:val="28"/>
        </w:rPr>
        <w:t xml:space="preserve">«Предварительное согласование предоставления земельного участка», утвержденный постановлением Администрации Красноселькупского района от</w:t>
      </w:r>
      <w:r>
        <w:rPr>
          <w:rFonts w:ascii="Liberation Sans" w:hAnsi="Liberation Sans"/>
          <w:b/>
          <w:color w:val="auto"/>
          <w:sz w:val="28"/>
          <w:szCs w:val="28"/>
        </w:rPr>
        <w:t xml:space="preserve"> </w:t>
      </w:r>
      <w:r>
        <w:rPr>
          <w:rFonts w:ascii="Liberation Sans" w:hAnsi="Liberation Sans"/>
          <w:color w:val="auto"/>
          <w:sz w:val="28"/>
          <w:szCs w:val="28"/>
        </w:rPr>
        <w:t xml:space="preserve">23.12.2021 № 103-П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1</w:t>
      </w:r>
      <w:r>
        <w:rPr>
          <w:rFonts w:ascii="Liberation Sans" w:hAnsi="Liberation Sans"/>
          <w:color w:val="auto"/>
          <w:sz w:val="28"/>
          <w:szCs w:val="28"/>
        </w:rPr>
        <w:t xml:space="preserve">. Дополнить подраздел 2.6 пунктом 2.6.1.1 в следующей редакции: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Style w:val="857"/>
          <w:rFonts w:ascii="Liberation Sans" w:hAnsi="Liberation Sans" w:cs="Arial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«2.6.1.1. </w:t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Заявление о предоставлении муниципальной услуги и документы, указанные в п</w:t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ункте</w:t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 2.</w:t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6.2</w:t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 могут быть направлены в уполномоченный орган в форме электронных документов посредством электронной почты уполномоченного органа, Единого портала, по почте способом, позволяющим подтвердить факт и дату отправления, через  многофункциональный центр.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Style w:val="857"/>
          <w:rFonts w:ascii="Liberation Sans" w:hAnsi="Liberation Sans" w:cs="Arial"/>
          <w:color w:val="auto"/>
          <w:sz w:val="28"/>
          <w:szCs w:val="28"/>
        </w:rPr>
      </w:pP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Заявителем, при оформлении заявления о предоставлении муни</w:t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ципальной услуги, вне зависимости от способа подачи такого заявления, может быть выбран канал взаимодействия с уполномоченным органом в процессе предоставления муниципальной услуги (получения уведомлений) и способ получения результата муниципальной услуги:</w:t>
      </w:r>
      <w:r>
        <w:rPr>
          <w:rFonts w:ascii="Liberation Sans" w:hAnsi="Liberation Sans" w:cs="Arial"/>
          <w:color w:val="auto"/>
          <w:sz w:val="28"/>
          <w:szCs w:val="28"/>
        </w:rPr>
        <w:br w:type="textWrapping" w:clear="all"/>
      </w: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электронной форме, в том числе с использованием Единого портала (с момента реализации технической возможности);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Style w:val="857"/>
          <w:rFonts w:ascii="Liberation Sans" w:hAnsi="Liberation Sans" w:cs="Arial"/>
          <w:color w:val="auto"/>
          <w:sz w:val="28"/>
          <w:szCs w:val="28"/>
        </w:rPr>
      </w:pP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МФЦ (с момента вступления в силу соответствующего соглашения о взаимодействии);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Style w:val="857"/>
          <w:rFonts w:ascii="Liberation Sans" w:hAnsi="Liberation Sans" w:cs="Arial"/>
          <w:color w:val="auto"/>
          <w:sz w:val="28"/>
          <w:szCs w:val="28"/>
        </w:rPr>
      </w:pPr>
      <w:r>
        <w:rPr>
          <w:rStyle w:val="857"/>
          <w:rFonts w:ascii="Liberation Sans" w:hAnsi="Liberation Sans" w:cs="Arial"/>
          <w:color w:val="auto"/>
          <w:sz w:val="28"/>
          <w:szCs w:val="28"/>
        </w:rPr>
        <w:t xml:space="preserve">Иные способы (заказное письмо, электронная почта и т.д.)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</w:rPr>
        <w:t xml:space="preserve">В заявлении указывается а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бонентский номер для связи с гражданином и (или) направления ему короткого текстового сообщения либо сведения об отсутствии у гражданина абонентского номера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, либо сведения об отсутствии у гражданина абонентского номера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.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Уведомления о ходе предоставления государственной (муниципальной) услуги направляются на Единый портал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».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2.  Дополнить пункт 2.8.3 подраздела 2.8 подпунктом 5 следующего содержания: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color w:val="auto"/>
          <w:highlight w:val="none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«5) В случае отказа в приеме доку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ментов у заявителя или в предос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т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а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 и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 доступной для заявителя форме.».</w:t>
      </w:r>
      <w:r>
        <w:rPr>
          <w:color w:val="auto"/>
        </w:rPr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3. Пункт 2.13.8 подраздела 2.13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  изложить в следующей редакции: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ind w:left="0" w:right="0" w:firstLine="708"/>
        <w:jc w:val="both"/>
        <w:spacing w:before="0" w:after="0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2.13.8. 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2020 года № 40.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firstLine="708"/>
        <w:jc w:val="both"/>
        <w:rPr>
          <w:rFonts w:ascii="Liberation Sans" w:hAnsi="Liberation Sans" w:cs="Liberation Sans"/>
          <w:color w:val="auto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4.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 Пункт  2.13.10 подраздела 2.13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  изложить в следующей редакции: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before="0" w:after="0"/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«2.13.10.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 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На парковке общего пол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 размещена в государственной информационной системе «Единая централизованная цифровая платформа в социальной сфере». Указанные места для парковки не должны занимать иные транспортные средства, за исключением случаев, предусмотренных правилами дорожного дви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  <w:t xml:space="preserve">жения.».</w:t>
      </w:r>
      <w:r>
        <w:rPr>
          <w:rFonts w:ascii="Liberation Sans" w:hAnsi="Liberation Sans" w:eastAsia="Verdana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5. Пункт 8 подраздела 2.14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 дополнить подпунктом 8.2 следующего содержания: 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«</w:t>
      </w:r>
      <w:r>
        <w:rPr>
          <w:color w:val="auto"/>
        </w:rPr>
      </w:r>
      <w:r/>
    </w:p>
    <w:tbl>
      <w:tblPr>
        <w:tblW w:w="9911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6123"/>
        <w:gridCol w:w="1417"/>
        <w:gridCol w:w="1520"/>
      </w:tblGrid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37"/>
              <w:contextualSpacing/>
              <w:jc w:val="center"/>
              <w:tabs>
                <w:tab w:val="left" w:pos="0" w:leader="none"/>
              </w:tabs>
              <w:rPr>
                <w:rFonts w:ascii="Liberation Sans" w:hAnsi="Liberation Sans"/>
                <w:bCs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color w:val="auto"/>
                <w:sz w:val="28"/>
                <w:szCs w:val="28"/>
              </w:rPr>
              <w:t xml:space="preserve">8.2.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vAlign w:val="center"/>
            <w:textDirection w:val="lrTb"/>
            <w:noWrap w:val="false"/>
          </w:tcPr>
          <w:p>
            <w:pPr>
              <w:pStyle w:val="861"/>
              <w:contextualSpacing/>
              <w:jc w:val="both"/>
              <w:spacing w:before="0" w:beforeAutospacing="0" w:after="0" w:afterAutospacing="0"/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  <w:shd w:val="clear" w:color="auto" w:fill="ffffff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/>
                <w:color w:val="auto"/>
                <w:sz w:val="28"/>
                <w:szCs w:val="28"/>
              </w:rPr>
              <w:t xml:space="preserve"> 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1"/>
              <w:contextualSpacing/>
              <w:jc w:val="center"/>
              <w:spacing w:before="0" w:beforeAutospacing="0" w:after="0" w:afterAutospacing="0"/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  <w:shd w:val="clear" w:color="auto" w:fill="ffffff"/>
              </w:rPr>
              <w:t xml:space="preserve">да/нет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861"/>
              <w:contextualSpacing/>
              <w:jc w:val="center"/>
              <w:spacing w:before="0" w:beforeAutospacing="0" w:after="0" w:afterAutospacing="0"/>
              <w:rPr>
                <w:rFonts w:ascii="Liberation Sans" w:hAnsi="Liberation Sans"/>
                <w:color w:val="auto"/>
                <w:sz w:val="28"/>
                <w:szCs w:val="28"/>
              </w:rPr>
            </w:pPr>
            <w:r>
              <w:rPr>
                <w:rFonts w:ascii="Liberation Sans" w:hAnsi="Liberation Sans"/>
                <w:color w:val="auto"/>
                <w:sz w:val="28"/>
                <w:szCs w:val="28"/>
                <w:shd w:val="clear" w:color="auto" w:fill="ffffff"/>
              </w:rPr>
              <w:t xml:space="preserve">да</w:t>
            </w:r>
            <w:r>
              <w:rPr>
                <w:color w:val="auto"/>
              </w:rPr>
            </w:r>
            <w:r/>
          </w:p>
        </w:tc>
      </w:tr>
    </w:tbl>
    <w:p>
      <w:pPr>
        <w:pStyle w:val="837"/>
        <w:contextualSpacing/>
        <w:jc w:val="right"/>
        <w:rPr>
          <w:rFonts w:ascii="Liberation Sans" w:hAnsi="Liberation Sans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.»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6. Подраздел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2.15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 дополнить пунктами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 2.15.6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и 2.15.7 </w:t>
      </w:r>
      <w:r>
        <w:rPr>
          <w:rFonts w:ascii="Liberation Sans" w:hAnsi="Liberation Sans"/>
          <w:bCs/>
          <w:color w:val="auto"/>
          <w:sz w:val="28"/>
          <w:szCs w:val="28"/>
        </w:rPr>
        <w:t xml:space="preserve">следующего содержания:</w:t>
      </w:r>
      <w:r>
        <w:rPr>
          <w:color w:val="auto"/>
        </w:rPr>
      </w:r>
      <w:r/>
    </w:p>
    <w:p>
      <w:pPr>
        <w:pStyle w:val="862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bCs/>
          <w:color w:val="auto"/>
          <w:sz w:val="28"/>
          <w:szCs w:val="28"/>
        </w:rPr>
        <w:t xml:space="preserve">«2.15.6. 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color w:val="auto"/>
        </w:rPr>
      </w:r>
      <w:r/>
    </w:p>
    <w:p>
      <w:pPr>
        <w:pStyle w:val="861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- 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книги обращений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,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размещенной в месте предоставления муниципальной услуги;</w:t>
      </w:r>
      <w:r>
        <w:rPr>
          <w:color w:val="auto"/>
        </w:rPr>
      </w:r>
      <w:r/>
    </w:p>
    <w:p>
      <w:pPr>
        <w:pStyle w:val="861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- по номеру телефона:8(34932)2-33-03;</w:t>
      </w:r>
      <w:r>
        <w:rPr>
          <w:color w:val="auto"/>
        </w:rPr>
      </w:r>
      <w:r/>
    </w:p>
    <w:p>
      <w:pPr>
        <w:pStyle w:val="861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- по адресу электронной почты: </w:t>
      </w:r>
      <w:r>
        <w:rPr>
          <w:rStyle w:val="863"/>
          <w:rFonts w:ascii="Liberation Sans" w:hAnsi="Liberation Sans"/>
          <w:color w:val="auto"/>
          <w:sz w:val="28"/>
          <w:szCs w:val="28"/>
        </w:rPr>
        <w:t xml:space="preserve">umi@krasnoselkupsky.yanao.ru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;</w:t>
      </w:r>
      <w:r>
        <w:rPr>
          <w:color w:val="auto"/>
        </w:rPr>
      </w:r>
      <w:r/>
    </w:p>
    <w:p>
      <w:pPr>
        <w:pStyle w:val="861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color w:val="auto"/>
        </w:rPr>
      </w:r>
      <w:r/>
    </w:p>
    <w:p>
      <w:pPr>
        <w:pStyle w:val="861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2.15.7. 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 клиентских сегментов и их типовых потребностей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,</w:t>
      </w:r>
      <w:r>
        <w:rPr>
          <w:rFonts w:ascii="Liberation Sans" w:hAnsi="Liberation Sans"/>
          <w:color w:val="auto"/>
          <w:sz w:val="28"/>
          <w:szCs w:val="28"/>
          <w:shd w:val="clear" w:color="auto" w:fill="ffffff"/>
        </w:rPr>
        <w:t xml:space="preserve"> оптимизация процесса не проводится.</w:t>
      </w:r>
      <w:r>
        <w:rPr>
          <w:rFonts w:ascii="Liberation Sans" w:hAnsi="Liberation Sans"/>
          <w:color w:val="auto"/>
          <w:sz w:val="28"/>
          <w:szCs w:val="28"/>
        </w:rPr>
        <w:t xml:space="preserve">».</w:t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bCs/>
          <w:color w:val="auto"/>
          <w:sz w:val="28"/>
          <w:szCs w:val="28"/>
        </w:rPr>
      </w:pPr>
      <w:r>
        <w:rPr>
          <w:rFonts w:ascii="Liberation Sans" w:hAnsi="Liberation Sans"/>
          <w:bCs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37"/>
        <w:contextualSpacing/>
        <w:ind w:firstLine="708"/>
        <w:jc w:val="both"/>
        <w:rPr>
          <w:rFonts w:ascii="Liberation Sans" w:hAnsi="Liberation Sans"/>
          <w:bCs/>
          <w:color w:val="auto"/>
          <w:sz w:val="28"/>
          <w:szCs w:val="28"/>
        </w:rPr>
      </w:pPr>
      <w:r>
        <w:rPr>
          <w:rFonts w:ascii="Liberation Sans" w:hAnsi="Liberation Sans"/>
          <w:bCs/>
          <w:color w:val="auto"/>
          <w:sz w:val="28"/>
          <w:szCs w:val="28"/>
        </w:rPr>
      </w:r>
      <w:r>
        <w:rPr>
          <w:color w:val="auto"/>
        </w:rPr>
      </w:r>
      <w:r/>
    </w:p>
    <w:sectPr>
      <w:footnotePr/>
      <w:endnotePr/>
      <w:type w:val="nextPage"/>
      <w:pgSz w:w="11906" w:h="16838" w:orient="portrait"/>
      <w:pgMar w:top="1134" w:right="567" w:bottom="993" w:left="1276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imSun">
    <w:panose1 w:val="02000603000000000000"/>
  </w:font>
  <w:font w:name="Liberation Sans">
    <w:panose1 w:val="020B0604020202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37"/>
      </w:pPr>
    </w:lvl>
    <w:lvl w:ilvl="2">
      <w:start w:val="0"/>
      <w:numFmt w:val="decimal"/>
      <w:isLgl w:val="false"/>
      <w:suff w:val="tab"/>
      <w:lvlText w:val=""/>
      <w:lvlJc w:val="left"/>
      <w:pPr>
        <w:pStyle w:val="837"/>
      </w:pPr>
    </w:lvl>
    <w:lvl w:ilvl="3">
      <w:start w:val="0"/>
      <w:numFmt w:val="decimal"/>
      <w:isLgl w:val="false"/>
      <w:suff w:val="tab"/>
      <w:lvlText w:val=""/>
      <w:lvlJc w:val="left"/>
      <w:pPr>
        <w:pStyle w:val="837"/>
      </w:pPr>
    </w:lvl>
    <w:lvl w:ilvl="4">
      <w:start w:val="0"/>
      <w:numFmt w:val="decimal"/>
      <w:isLgl w:val="false"/>
      <w:suff w:val="tab"/>
      <w:lvlText w:val=""/>
      <w:lvlJc w:val="left"/>
      <w:pPr>
        <w:pStyle w:val="837"/>
      </w:pPr>
    </w:lvl>
    <w:lvl w:ilvl="5">
      <w:start w:val="0"/>
      <w:numFmt w:val="decimal"/>
      <w:isLgl w:val="false"/>
      <w:suff w:val="tab"/>
      <w:lvlText w:val=""/>
      <w:lvlJc w:val="left"/>
      <w:pPr>
        <w:pStyle w:val="837"/>
      </w:pPr>
    </w:lvl>
    <w:lvl w:ilvl="6">
      <w:start w:val="0"/>
      <w:numFmt w:val="decimal"/>
      <w:isLgl w:val="false"/>
      <w:suff w:val="tab"/>
      <w:lvlText w:val=""/>
      <w:lvlJc w:val="left"/>
      <w:pPr>
        <w:pStyle w:val="837"/>
      </w:pPr>
    </w:lvl>
    <w:lvl w:ilvl="7">
      <w:start w:val="0"/>
      <w:numFmt w:val="decimal"/>
      <w:isLgl w:val="false"/>
      <w:suff w:val="tab"/>
      <w:lvlText w:val=""/>
      <w:lvlJc w:val="left"/>
      <w:pPr>
        <w:pStyle w:val="837"/>
      </w:pPr>
    </w:lvl>
    <w:lvl w:ilvl="8">
      <w:start w:val="0"/>
      <w:numFmt w:val="decimal"/>
      <w:isLgl w:val="false"/>
      <w:suff w:val="tab"/>
      <w:lvlText w:val=""/>
      <w:lvlJc w:val="left"/>
      <w:pPr>
        <w:pStyle w:val="83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8.%1."/>
      <w:lvlJc w:val="left"/>
      <w:pPr>
        <w:pStyle w:val="83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37"/>
      </w:pPr>
    </w:lvl>
    <w:lvl w:ilvl="2">
      <w:start w:val="0"/>
      <w:numFmt w:val="decimal"/>
      <w:isLgl w:val="false"/>
      <w:suff w:val="tab"/>
      <w:lvlText w:val=""/>
      <w:lvlJc w:val="left"/>
      <w:pPr>
        <w:pStyle w:val="837"/>
      </w:pPr>
    </w:lvl>
    <w:lvl w:ilvl="3">
      <w:start w:val="0"/>
      <w:numFmt w:val="decimal"/>
      <w:isLgl w:val="false"/>
      <w:suff w:val="tab"/>
      <w:lvlText w:val=""/>
      <w:lvlJc w:val="left"/>
      <w:pPr>
        <w:pStyle w:val="837"/>
      </w:pPr>
    </w:lvl>
    <w:lvl w:ilvl="4">
      <w:start w:val="0"/>
      <w:numFmt w:val="decimal"/>
      <w:isLgl w:val="false"/>
      <w:suff w:val="tab"/>
      <w:lvlText w:val=""/>
      <w:lvlJc w:val="left"/>
      <w:pPr>
        <w:pStyle w:val="837"/>
      </w:pPr>
    </w:lvl>
    <w:lvl w:ilvl="5">
      <w:start w:val="0"/>
      <w:numFmt w:val="decimal"/>
      <w:isLgl w:val="false"/>
      <w:suff w:val="tab"/>
      <w:lvlText w:val=""/>
      <w:lvlJc w:val="left"/>
      <w:pPr>
        <w:pStyle w:val="837"/>
      </w:pPr>
    </w:lvl>
    <w:lvl w:ilvl="6">
      <w:start w:val="0"/>
      <w:numFmt w:val="decimal"/>
      <w:isLgl w:val="false"/>
      <w:suff w:val="tab"/>
      <w:lvlText w:val=""/>
      <w:lvlJc w:val="left"/>
      <w:pPr>
        <w:pStyle w:val="837"/>
      </w:pPr>
    </w:lvl>
    <w:lvl w:ilvl="7">
      <w:start w:val="0"/>
      <w:numFmt w:val="decimal"/>
      <w:isLgl w:val="false"/>
      <w:suff w:val="tab"/>
      <w:lvlText w:val=""/>
      <w:lvlJc w:val="left"/>
      <w:pPr>
        <w:pStyle w:val="837"/>
      </w:pPr>
    </w:lvl>
    <w:lvl w:ilvl="8">
      <w:start w:val="0"/>
      <w:numFmt w:val="decimal"/>
      <w:isLgl w:val="false"/>
      <w:suff w:val="tab"/>
      <w:lvlText w:val=""/>
      <w:lvlJc w:val="left"/>
      <w:pPr>
        <w:pStyle w:val="83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7"/>
    <w:next w:val="837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7"/>
    <w:next w:val="837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7"/>
    <w:next w:val="837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7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next w:val="837"/>
    <w:link w:val="837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838">
    <w:name w:val="Заголовок 3"/>
    <w:basedOn w:val="837"/>
    <w:next w:val="837"/>
    <w:link w:val="842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839">
    <w:name w:val="Основной шрифт абзаца"/>
    <w:next w:val="839"/>
    <w:link w:val="837"/>
    <w:uiPriority w:val="1"/>
    <w:semiHidden/>
    <w:unhideWhenUsed/>
  </w:style>
  <w:style w:type="table" w:styleId="840">
    <w:name w:val="Обычная таблица"/>
    <w:next w:val="840"/>
    <w:link w:val="837"/>
    <w:uiPriority w:val="99"/>
    <w:semiHidden/>
    <w:unhideWhenUsed/>
    <w:tblPr/>
  </w:style>
  <w:style w:type="numbering" w:styleId="841">
    <w:name w:val="Нет списка"/>
    <w:next w:val="841"/>
    <w:link w:val="837"/>
    <w:uiPriority w:val="99"/>
    <w:semiHidden/>
    <w:unhideWhenUsed/>
  </w:style>
  <w:style w:type="character" w:styleId="842">
    <w:name w:val="Заголовок 3 Знак"/>
    <w:next w:val="842"/>
    <w:link w:val="838"/>
    <w:uiPriority w:val="9"/>
    <w:semiHidden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843">
    <w:name w:val="ConsPlusNormal"/>
    <w:next w:val="843"/>
    <w:link w:val="844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44">
    <w:name w:val="ConsPlusNormal Знак"/>
    <w:next w:val="844"/>
    <w:link w:val="843"/>
    <w:rPr>
      <w:rFonts w:ascii="Arial" w:hAnsi="Arial" w:eastAsia="Times New Roman" w:cs="Arial"/>
      <w:sz w:val="20"/>
      <w:szCs w:val="20"/>
      <w:lang w:eastAsia="ru-RU"/>
    </w:rPr>
  </w:style>
  <w:style w:type="paragraph" w:styleId="845">
    <w:name w:val="Верхний колонтитул"/>
    <w:basedOn w:val="837"/>
    <w:next w:val="845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>
    <w:name w:val="Верхний колонтитул Знак"/>
    <w:next w:val="846"/>
    <w:link w:val="84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7">
    <w:name w:val="Основной текст"/>
    <w:basedOn w:val="837"/>
    <w:next w:val="847"/>
    <w:link w:val="848"/>
    <w:uiPriority w:val="99"/>
    <w:semiHidden/>
    <w:unhideWhenUsed/>
    <w:pPr>
      <w:spacing w:after="120"/>
    </w:pPr>
  </w:style>
  <w:style w:type="character" w:styleId="848">
    <w:name w:val="Основной текст Знак"/>
    <w:next w:val="848"/>
    <w:link w:val="84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9">
    <w:name w:val="Основной текст (2)_"/>
    <w:next w:val="849"/>
    <w:link w:val="850"/>
    <w:rPr>
      <w:sz w:val="26"/>
      <w:szCs w:val="26"/>
      <w:shd w:val="clear" w:color="auto" w:fill="ffffff"/>
    </w:rPr>
  </w:style>
  <w:style w:type="paragraph" w:styleId="850">
    <w:name w:val="Основной текст (2)"/>
    <w:basedOn w:val="837"/>
    <w:next w:val="850"/>
    <w:link w:val="849"/>
    <w:pPr>
      <w:jc w:val="center"/>
      <w:spacing w:line="322" w:lineRule="exact"/>
      <w:shd w:val="clear" w:color="auto" w:fill="ffffff"/>
      <w:widowControl w:val="off"/>
    </w:pPr>
    <w:rPr>
      <w:rFonts w:ascii="Calibri" w:hAnsi="Calibri" w:eastAsia="Calibri"/>
      <w:sz w:val="26"/>
      <w:szCs w:val="26"/>
    </w:rPr>
  </w:style>
  <w:style w:type="paragraph" w:styleId="851">
    <w:name w:val="Абзац списка,ТЗ список"/>
    <w:basedOn w:val="837"/>
    <w:next w:val="851"/>
    <w:link w:val="852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52">
    <w:name w:val="Абзац списка Знак,ТЗ список Знак"/>
    <w:next w:val="852"/>
    <w:link w:val="851"/>
    <w:uiPriority w:val="34"/>
    <w:rPr>
      <w:rFonts w:eastAsia="Times New Roman"/>
      <w:sz w:val="22"/>
      <w:szCs w:val="22"/>
    </w:rPr>
  </w:style>
  <w:style w:type="character" w:styleId="853">
    <w:name w:val="Основной текст_"/>
    <w:next w:val="853"/>
    <w:link w:val="854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854">
    <w:name w:val="Основной текст1"/>
    <w:basedOn w:val="837"/>
    <w:next w:val="854"/>
    <w:link w:val="853"/>
    <w:pPr>
      <w:ind w:firstLine="400"/>
      <w:shd w:val="clear" w:color="auto" w:fill="ffffff"/>
      <w:widowControl w:val="off"/>
    </w:pPr>
    <w:rPr>
      <w:sz w:val="28"/>
      <w:szCs w:val="28"/>
    </w:rPr>
  </w:style>
  <w:style w:type="character" w:styleId="855">
    <w:name w:val="Заголовок №3_"/>
    <w:next w:val="855"/>
    <w:link w:val="856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856">
    <w:name w:val="Заголовок №3"/>
    <w:basedOn w:val="837"/>
    <w:next w:val="856"/>
    <w:link w:val="855"/>
    <w:pPr>
      <w:jc w:val="center"/>
      <w:spacing w:after="320"/>
      <w:shd w:val="clear" w:color="auto" w:fill="ffffff"/>
      <w:widowControl w:val="off"/>
      <w:outlineLvl w:val="2"/>
    </w:pPr>
    <w:rPr>
      <w:b/>
      <w:bCs/>
      <w:sz w:val="28"/>
      <w:szCs w:val="28"/>
    </w:rPr>
  </w:style>
  <w:style w:type="character" w:styleId="857">
    <w:name w:val="apple-style-span"/>
    <w:next w:val="857"/>
    <w:link w:val="837"/>
  </w:style>
  <w:style w:type="paragraph" w:styleId="858">
    <w:name w:val="Абзац списка;ТЗ список"/>
    <w:basedOn w:val="837"/>
    <w:next w:val="858"/>
    <w:link w:val="859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59">
    <w:name w:val="Абзац списка Знак;ТЗ список Знак"/>
    <w:next w:val="859"/>
    <w:link w:val="858"/>
    <w:uiPriority w:val="34"/>
    <w:rPr>
      <w:rFonts w:eastAsia="Times New Roman"/>
      <w:sz w:val="22"/>
      <w:szCs w:val="22"/>
    </w:rPr>
  </w:style>
  <w:style w:type="table" w:styleId="860">
    <w:name w:val="Сетка таблицы"/>
    <w:basedOn w:val="840"/>
    <w:next w:val="860"/>
    <w:link w:val="837"/>
    <w:uiPriority w:val="59"/>
    <w:tblPr/>
  </w:style>
  <w:style w:type="paragraph" w:styleId="861">
    <w:name w:val="Обычный (веб)"/>
    <w:basedOn w:val="837"/>
    <w:next w:val="861"/>
    <w:link w:val="837"/>
    <w:uiPriority w:val="99"/>
    <w:unhideWhenUsed/>
    <w:pPr>
      <w:spacing w:before="100" w:beforeAutospacing="1" w:after="100" w:afterAutospacing="1"/>
    </w:pPr>
  </w:style>
  <w:style w:type="paragraph" w:styleId="862">
    <w:name w:val="docdata,docy,v5,6135,bqiaagaaeyqcaaagiaiaaanefwaabwwxaaaaaaaaaaaaaaaaaaaaaaaaaaaaaaaaaaaaaaaaaaaaaaaaaaaaaaaaaaaaaaaaaaaaaaaaaaaaaaaaaaaaaaaaaaaaaaaaaaaaaaaaaaaaaaaaaaaaaaaaaaaaaaaaaaaaaaaaaaaaaaaaaaaaaaaaaaaaaaaaaaaaaaaaaaaaaaaaaaaaaaaaaaaaaaaaaaaaaaaa"/>
    <w:basedOn w:val="837"/>
    <w:next w:val="862"/>
    <w:link w:val="837"/>
    <w:pPr>
      <w:spacing w:before="100" w:beforeAutospacing="1" w:after="100" w:afterAutospacing="1"/>
    </w:pPr>
  </w:style>
  <w:style w:type="character" w:styleId="863">
    <w:name w:val="1049,bqiaagaaeyqcaaagiaiaaaoaawaaby4daaaaaaaaaaaaaaaaaaaaaaaaaaaaaaaaaaaaaaaaaaaaaaaaaaaaaaaaaaaaaaaaaaaaaaaaaaaaaaaaaaaaaaaaaaaaaaaaaaaaaaaaaaaaaaaaaaaaaaaaaaaaaaaaaaaaaaaaaaaaaaaaaaaaaaaaaaaaaaaaaaaaaaaaaaaaaaaaaaaaaaaaaaaaaaaaaaaaaaaa"/>
    <w:next w:val="863"/>
    <w:link w:val="837"/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table" w:styleId="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revision>8</cp:revision>
  <dcterms:created xsi:type="dcterms:W3CDTF">2023-12-19T13:37:00Z</dcterms:created>
  <dcterms:modified xsi:type="dcterms:W3CDTF">2024-02-12T09:52:58Z</dcterms:modified>
  <cp:version>917504</cp:version>
</cp:coreProperties>
</file>