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header4.xml" ContentType="application/vnd.openxmlformats-officedocument.wordprocessingml.head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header3.xml" ContentType="application/vnd.openxmlformats-officedocument.wordprocessingml.header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before="0" w:beforeAutospacing="0" w:after="0" w:afterAutospacing="0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0" w:name="_MON_1722757704"/>
      <w:r>
        <w:rPr>
          <w:rFonts w:ascii="Liberation Serif" w:hAnsi="Liberation Serif" w:eastAsia="Liberation Serif" w:cs="Liberation Serif"/>
          <w:sz w:val="28"/>
          <w:highlight w:val="white"/>
        </w:rPr>
      </w:r>
      <w:bookmarkEnd w:id="0"/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00" cy="733425"/>
                <wp:effectExtent l="0" t="0" r="0" b="0"/>
                <wp:docPr id="1" name="Рисунок 1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9734380" name="" hidden="0"/>
                        <pic:cNvPicPr/>
                        <pic:nvPr isPhoto="0" userDrawn="0"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09599" cy="7334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.0pt;height:57.8pt;mso-wrap-distance-left:0.0pt;mso-wrap-distance-top:0.0pt;mso-wrap-distance-right:0.0pt;mso-wrap-distance-bottom:0.0pt;" stroked="f">
                <v:path textboxrect="0,0,0,0"/>
                <v:imagedata r:id="rId14" o:title=""/>
              </v:shape>
            </w:pict>
          </mc:Fallback>
        </mc:AlternateContent>
      </w:r>
      <w:r>
        <w:rPr>
          <w:highlight w:val="white"/>
        </w:rPr>
      </w:r>
      <w:r/>
    </w:p>
    <w:p>
      <w:pPr>
        <w:pStyle w:val="947"/>
        <w:jc w:val="center"/>
        <w:spacing w:before="0" w:beforeAutospacing="0" w:after="0" w:afterAutospacing="0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b/>
          <w:bCs/>
          <w:color w:val="000000" w:themeColor="text1"/>
          <w:sz w:val="28"/>
          <w:szCs w:val="28"/>
          <w:highlight w:val="white"/>
        </w:rPr>
        <w:t xml:space="preserve">АДМИНИСТРАЦИЯ КРАСНОСЕЛЬКУПСКОГО РАЙОНА</w:t>
      </w:r>
      <w:r>
        <w:rPr>
          <w:highlight w:val="white"/>
        </w:rPr>
      </w:r>
      <w:r/>
    </w:p>
    <w:p>
      <w:pPr>
        <w:pStyle w:val="935"/>
        <w:numPr>
          <w:ilvl w:val="0"/>
          <w:numId w:val="0"/>
        </w:numPr>
        <w:jc w:val="center"/>
        <w:spacing w:before="0" w:beforeAutospacing="0" w:after="0" w:afterAutospacing="0"/>
        <w:tabs>
          <w:tab w:val="left" w:pos="180" w:leader="none"/>
        </w:tabs>
        <w:rPr>
          <w:rFonts w:ascii="Liberation Serif" w:hAnsi="Liberation Serif" w:eastAsia="Liberation Serif" w:cs="Liberation Serif"/>
          <w:b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bCs/>
          <w:color w:val="000000" w:themeColor="text1"/>
          <w:sz w:val="28"/>
          <w:highlight w:val="white"/>
        </w:rPr>
        <w:t xml:space="preserve">ПОСТАНОВЛЕНИЕ</w:t>
      </w:r>
      <w:r>
        <w:rPr>
          <w:highlight w:val="white"/>
        </w:rPr>
      </w:r>
      <w:r/>
    </w:p>
    <w:p>
      <w:pPr>
        <w:spacing w:before="0" w:beforeAutospacing="0" w:after="0" w:afterAutospacing="0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highlight w:val="white"/>
        </w:rPr>
      </w:r>
      <w:r>
        <w:rPr>
          <w:highlight w:val="white"/>
        </w:rPr>
      </w:r>
      <w:r/>
    </w:p>
    <w:p>
      <w:pPr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«27» сентября 2023 г.     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ab/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ab/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ab/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ab/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ab/>
        <w:t xml:space="preserve">                               № 339-П</w:t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с. Красноселькуп</w:t>
      </w:r>
      <w:r>
        <w:rPr>
          <w:highlight w:val="white"/>
        </w:rPr>
      </w:r>
      <w:r/>
    </w:p>
    <w:p>
      <w:pPr>
        <w:pStyle w:val="1024"/>
        <w:jc w:val="center"/>
        <w:spacing w:before="0" w:beforeAutospacing="0" w:after="0" w:afterAutospacing="0" w:line="240" w:lineRule="auto"/>
        <w:tabs>
          <w:tab w:val="clear" w:pos="4677" w:leader="none"/>
          <w:tab w:val="clear" w:pos="9355" w:leader="none"/>
          <w:tab w:val="right" w:pos="9638" w:leader="none"/>
        </w:tabs>
        <w:rPr>
          <w:rFonts w:ascii="Liberation Serif" w:hAnsi="Liberation Serif" w:eastAsia="Liberation Serif" w:cs="Liberation Serif"/>
          <w:b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/>
          <w:sz w:val="28"/>
          <w:highlight w:val="white"/>
        </w:rPr>
      </w:r>
      <w:r>
        <w:rPr>
          <w:highlight w:val="white"/>
        </w:rPr>
      </w:r>
      <w:r/>
    </w:p>
    <w:p>
      <w:pPr>
        <w:pStyle w:val="1024"/>
        <w:jc w:val="center"/>
        <w:spacing w:before="0" w:beforeAutospacing="0" w:after="0" w:afterAutospacing="0" w:line="240" w:lineRule="auto"/>
        <w:tabs>
          <w:tab w:val="clear" w:pos="4677" w:leader="none"/>
          <w:tab w:val="clear" w:pos="9355" w:leader="none"/>
          <w:tab w:val="right" w:pos="9638" w:leader="none"/>
        </w:tabs>
        <w:rPr>
          <w:rFonts w:ascii="Liberation Serif" w:hAnsi="Liberation Serif" w:eastAsia="Liberation Serif" w:cs="Liberation Serif"/>
          <w:b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pStyle w:val="1024"/>
        <w:jc w:val="center"/>
        <w:spacing w:before="0" w:beforeAutospacing="0" w:after="0" w:afterAutospacing="0" w:line="240" w:lineRule="auto"/>
        <w:tabs>
          <w:tab w:val="clear" w:pos="4677" w:leader="none"/>
          <w:tab w:val="clear" w:pos="9355" w:leader="none"/>
          <w:tab w:val="right" w:pos="9638" w:leader="none"/>
        </w:tabs>
        <w:rPr>
          <w:rFonts w:ascii="Liberation Serif" w:hAnsi="Liberation Serif" w:eastAsia="Liberation Serif" w:cs="Liberation Serif"/>
          <w:b/>
          <w:color w:val="000000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8"/>
          <w:highlight w:val="white"/>
        </w:rPr>
        <w:t xml:space="preserve">Об утверждении схемы электроснабжения</w:t>
      </w:r>
      <w:r>
        <w:rPr>
          <w:highlight w:val="white"/>
        </w:rPr>
      </w:r>
      <w:r/>
    </w:p>
    <w:p>
      <w:pPr>
        <w:pStyle w:val="1024"/>
        <w:jc w:val="center"/>
        <w:spacing w:before="0" w:beforeAutospacing="0" w:after="0" w:afterAutospacing="0" w:line="240" w:lineRule="auto"/>
        <w:tabs>
          <w:tab w:val="clear" w:pos="4677" w:leader="none"/>
          <w:tab w:val="clear" w:pos="9355" w:leader="none"/>
          <w:tab w:val="right" w:pos="9638" w:leader="none"/>
        </w:tabs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8"/>
          <w:highlight w:val="white"/>
        </w:rPr>
        <w:t xml:space="preserve">муниципального округа Красноселькупский район Ямало-Ненецкого автономного округа на период до 2038 года </w:t>
      </w:r>
      <w:r>
        <w:rPr>
          <w:highlight w:val="white"/>
        </w:rPr>
      </w:r>
      <w:r/>
    </w:p>
    <w:p>
      <w:pPr>
        <w:pStyle w:val="1024"/>
        <w:ind w:firstLine="709"/>
        <w:jc w:val="both"/>
        <w:spacing w:before="0" w:beforeAutospacing="0" w:after="0" w:afterAutospacing="0" w:line="240" w:lineRule="auto"/>
        <w:tabs>
          <w:tab w:val="clear" w:pos="4677" w:leader="none"/>
          <w:tab w:val="clear" w:pos="9355" w:leader="none"/>
          <w:tab w:val="right" w:pos="9638" w:leader="none"/>
        </w:tabs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highlight w:val="white"/>
        </w:rPr>
      </w:r>
      <w:r>
        <w:rPr>
          <w:highlight w:val="white"/>
        </w:rPr>
      </w:r>
      <w:r/>
    </w:p>
    <w:p>
      <w:pPr>
        <w:pStyle w:val="1024"/>
        <w:ind w:firstLine="709"/>
        <w:jc w:val="both"/>
        <w:spacing w:before="0" w:beforeAutospacing="0" w:after="0" w:afterAutospacing="0" w:line="240" w:lineRule="auto"/>
        <w:tabs>
          <w:tab w:val="clear" w:pos="4677" w:leader="none"/>
          <w:tab w:val="clear" w:pos="9355" w:leader="none"/>
          <w:tab w:val="right" w:pos="9638" w:leader="none"/>
        </w:tabs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pStyle w:val="1024"/>
        <w:ind w:firstLine="709"/>
        <w:jc w:val="both"/>
        <w:spacing w:before="0" w:beforeAutospacing="0" w:after="0" w:afterAutospacing="0" w:line="240" w:lineRule="auto"/>
        <w:tabs>
          <w:tab w:val="clear" w:pos="4677" w:leader="none"/>
          <w:tab w:val="clear" w:pos="9355" w:leader="none"/>
          <w:tab w:val="right" w:pos="9638" w:leader="none"/>
        </w:tabs>
        <w:rPr>
          <w:rFonts w:ascii="Liberation Serif" w:hAnsi="Liberation Serif" w:eastAsia="Liberation Serif" w:cs="Liberation Serif"/>
          <w:color w:val="000000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Руководствуясь Федеральным законом от 26.03.2003 № 35-ФЗ «Об электроэнергетике», </w:t>
      </w:r>
      <w:r>
        <w:rPr>
          <w:rFonts w:ascii="Liberation Serif" w:hAnsi="Liberation Serif" w:eastAsia="Liberation Serif" w:cs="Liberation Serif"/>
          <w:sz w:val="28"/>
          <w:szCs w:val="26"/>
          <w:highlight w:val="white"/>
        </w:rPr>
        <w:t xml:space="preserve">постановлением Правительства Российской Федерации от 17.10.2009 № 823 «О схемах и программах перспективного развития электроэнергетики»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, Уставом муниципального округа Красноселькупский район Ямало-Ненецкого автономного округа, Администрация Красноселькупского района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8"/>
          <w:highlight w:val="white"/>
        </w:rPr>
        <w:t xml:space="preserve">постановляет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:</w:t>
      </w:r>
      <w:r>
        <w:rPr>
          <w:highlight w:val="white"/>
        </w:rPr>
      </w:r>
      <w:r/>
    </w:p>
    <w:p>
      <w:pPr>
        <w:pStyle w:val="1024"/>
        <w:ind w:firstLine="709"/>
        <w:jc w:val="both"/>
        <w:spacing w:before="0" w:beforeAutospacing="0" w:after="0" w:afterAutospacing="0" w:line="240" w:lineRule="auto"/>
        <w:tabs>
          <w:tab w:val="clear" w:pos="4677" w:leader="none"/>
          <w:tab w:val="clear" w:pos="9355" w:leader="none"/>
          <w:tab w:val="right" w:pos="9638" w:leader="none"/>
        </w:tabs>
        <w:rPr>
          <w:rFonts w:ascii="Liberation Serif" w:hAnsi="Liberation Serif" w:eastAsia="Liberation Serif" w:cs="Liberation Serif"/>
          <w:color w:val="000000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1. Утвердить прилагаемую схему электроснабжения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муниципального округа Красноселькупский район Ямало-Ненецкого автономного округа на период до 2038 года.</w:t>
      </w:r>
      <w:r>
        <w:rPr>
          <w:highlight w:val="white"/>
        </w:rPr>
      </w:r>
      <w:r/>
    </w:p>
    <w:p>
      <w:pPr>
        <w:pStyle w:val="1024"/>
        <w:ind w:firstLine="709"/>
        <w:jc w:val="both"/>
        <w:spacing w:before="0" w:beforeAutospacing="0" w:after="0" w:afterAutospacing="0" w:line="240" w:lineRule="auto"/>
        <w:tabs>
          <w:tab w:val="clear" w:pos="4677" w:leader="none"/>
          <w:tab w:val="clear" w:pos="9355" w:leader="none"/>
          <w:tab w:val="right" w:pos="9638" w:leader="none"/>
        </w:tabs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2. Определить гарантирующей организацией в области электроснабжения на территории села Красноселькуп – Общество с ограниченной ответственностью Энергетическая компания «Тепло-Водо-Электро-Сервис», на территории сел Толька и Ратт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а –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Общество с ограниченной ответственностью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«Ямал-Энерго».</w:t>
      </w:r>
      <w:r>
        <w:rPr>
          <w:highlight w:val="white"/>
        </w:rPr>
      </w:r>
      <w:r/>
    </w:p>
    <w:p>
      <w:pPr>
        <w:pStyle w:val="1024"/>
        <w:ind w:firstLine="709"/>
        <w:jc w:val="both"/>
        <w:spacing w:before="0" w:beforeAutospacing="0" w:after="0" w:afterAutospacing="0" w:line="240" w:lineRule="auto"/>
        <w:tabs>
          <w:tab w:val="clear" w:pos="4677" w:leader="none"/>
          <w:tab w:val="clear" w:pos="9355" w:leader="none"/>
        </w:tabs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3. </w:t>
      </w:r>
      <w:r>
        <w:rPr>
          <w:rFonts w:ascii="Liberation Serif" w:hAnsi="Liberation Serif" w:eastAsia="Liberation Serif" w:cs="Liberation Serif"/>
          <w:color w:val="000000" w:themeColor="text1"/>
          <w:sz w:val="28"/>
          <w:highlight w:val="white"/>
        </w:rPr>
        <w:t xml:space="preserve">Опубликовать настоящее постановление в газете «Северный край» и разместить на официальном сайте муниципального округа Красноселькупский район Ямало-Ненецкого автономного округа.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shd w:val="clear" w:color="auto" w:fill="ffffff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4. Настоящее постановление вступает в силу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со дня его опубликования.</w:t>
      </w:r>
      <w:r>
        <w:rPr>
          <w:highlight w:val="white"/>
        </w:rPr>
      </w:r>
      <w:r/>
    </w:p>
    <w:p>
      <w:pPr>
        <w:jc w:val="both"/>
        <w:spacing w:before="0" w:beforeAutospacing="0" w:after="0" w:afterAutospacing="0" w:line="240" w:lineRule="auto"/>
        <w:shd w:val="clear" w:color="auto" w:fill="ffffff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highlight w:val="white"/>
        </w:rPr>
      </w:r>
      <w:r>
        <w:rPr>
          <w:highlight w:val="white"/>
        </w:rPr>
      </w:r>
      <w:r/>
    </w:p>
    <w:p>
      <w:pPr>
        <w:jc w:val="both"/>
        <w:spacing w:before="0" w:beforeAutospacing="0" w:after="0" w:afterAutospacing="0" w:line="240" w:lineRule="auto"/>
        <w:shd w:val="clear" w:color="auto" w:fill="ffffff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highlight w:val="white"/>
        </w:rPr>
      </w:r>
      <w:r>
        <w:rPr>
          <w:highlight w:val="white"/>
        </w:rPr>
      </w:r>
      <w:r/>
    </w:p>
    <w:p>
      <w:pPr>
        <w:jc w:val="both"/>
        <w:spacing w:before="0" w:beforeAutospacing="0" w:after="0" w:afterAutospacing="0" w:line="240" w:lineRule="auto"/>
        <w:shd w:val="clear" w:color="auto" w:fill="ffffff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highlight w:val="white"/>
        </w:rPr>
      </w:r>
      <w:r>
        <w:rPr>
          <w:highlight w:val="white"/>
        </w:rPr>
      </w:r>
      <w:r/>
    </w:p>
    <w:p>
      <w:pPr>
        <w:spacing w:before="0" w:beforeAutospacing="0" w:after="0" w:afterAutospacing="0" w:line="240" w:lineRule="auto"/>
        <w:tabs>
          <w:tab w:val="left" w:pos="8647" w:leader="none"/>
        </w:tabs>
        <w:rPr>
          <w:rFonts w:ascii="Liberation Serif" w:hAnsi="Liberation Serif" w:eastAsia="Liberation Serif" w:cs="Liberation Serif"/>
          <w:sz w:val="28"/>
          <w:highlight w:val="white"/>
        </w:rPr>
        <w:sectPr>
          <w:headerReference w:type="default" r:id="rId9"/>
          <w:headerReference w:type="first" r:id="rId10"/>
          <w:footerReference w:type="first" r:id="rId13"/>
          <w:footnotePr/>
          <w:endnotePr/>
          <w:type w:val="nextPage"/>
          <w:pgSz w:w="11906" w:h="16838" w:orient="portrait"/>
          <w:pgMar w:top="1134" w:right="567" w:bottom="1134" w:left="1701" w:header="709" w:footer="709" w:gutter="0"/>
          <w:cols w:num="1" w:sep="0" w:space="708" w:equalWidth="1"/>
          <w:docGrid w:linePitch="360"/>
          <w:titlePg/>
        </w:sect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Глава Красноселькупского района                                                        Ю.В. Фишер</w:t>
      </w:r>
      <w:r>
        <w:rPr>
          <w:highlight w:val="white"/>
        </w:rPr>
      </w:r>
      <w:r/>
    </w:p>
    <w:p>
      <w:pPr>
        <w:ind w:left="5244" w:right="0" w:firstLine="0"/>
        <w:spacing w:before="0" w:beforeAutospacing="0" w:after="0" w:afterAutospacing="0"/>
        <w:tabs>
          <w:tab w:val="left" w:pos="8647" w:leader="none"/>
        </w:tabs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Приложение</w:t>
      </w:r>
      <w:r>
        <w:rPr>
          <w:highlight w:val="white"/>
        </w:rPr>
      </w:r>
      <w:r/>
    </w:p>
    <w:p>
      <w:pPr>
        <w:ind w:left="5244" w:right="0"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ind w:left="5244" w:right="0" w:firstLine="0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highlight w:val="white"/>
        </w:rPr>
        <w:t xml:space="preserve">УТВЕРЖДЕНА</w:t>
      </w:r>
      <w:r>
        <w:rPr>
          <w:highlight w:val="white"/>
        </w:rPr>
      </w:r>
      <w:r/>
    </w:p>
    <w:p>
      <w:pPr>
        <w:ind w:left="5244" w:right="0" w:firstLine="0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highlight w:val="white"/>
        </w:rPr>
        <w:t xml:space="preserve">постановлением Администрации</w:t>
      </w:r>
      <w:r>
        <w:rPr>
          <w:highlight w:val="white"/>
        </w:rPr>
      </w:r>
      <w:r/>
    </w:p>
    <w:p>
      <w:pPr>
        <w:ind w:left="5244" w:right="0" w:firstLine="0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highlight w:val="white"/>
        </w:rPr>
        <w:t xml:space="preserve">Красноселькупского района</w:t>
      </w:r>
      <w:r>
        <w:rPr>
          <w:highlight w:val="white"/>
        </w:rPr>
      </w:r>
      <w:r/>
    </w:p>
    <w:p>
      <w:pPr>
        <w:ind w:left="5244" w:right="0" w:firstLine="0"/>
        <w:spacing w:before="0" w:beforeAutospacing="0" w:after="0" w:afterAutospacing="0" w:line="240" w:lineRule="auto"/>
        <w:rPr>
          <w:rFonts w:ascii="Liberation Serif" w:hAnsi="Liberation Serif" w:cs="Liberation Serif"/>
          <w:color w:val="000000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highlight w:val="white"/>
        </w:rPr>
        <w:t xml:space="preserve">от «27» сентября 2023 года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№ </w:t>
      </w:r>
      <w:r>
        <w:rPr>
          <w:rFonts w:ascii="Liberation Serif" w:hAnsi="Liberation Serif" w:cs="Liberation Serif"/>
          <w:sz w:val="28"/>
          <w:szCs w:val="28"/>
          <w:highlight w:val="none"/>
        </w:rPr>
        <w:t xml:space="preserve">339-П</w:t>
      </w:r>
      <w:r>
        <w:rPr>
          <w:rFonts w:ascii="Liberation Serif" w:hAnsi="Liberation Serif" w:cs="Liberation Serif"/>
          <w:sz w:val="28"/>
          <w:szCs w:val="28"/>
          <w:highlight w:val="white"/>
        </w:rPr>
      </w:r>
      <w:r>
        <w:rPr>
          <w:rFonts w:ascii="Liberation Serif" w:hAnsi="Liberation Serif" w:cs="Liberation Serif"/>
          <w:sz w:val="28"/>
          <w:szCs w:val="28"/>
        </w:rPr>
      </w:r>
    </w:p>
    <w:p>
      <w:pPr>
        <w:ind w:left="552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highlight w:val="white"/>
        </w:rPr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247900" cy="2790825"/>
                <wp:effectExtent l="0" t="0" r="0" b="0"/>
                <wp:docPr id="2" name="Рисунок 11" descr="Gerb-Krasnoselkupskiy-rayon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8472012" name="Picture 1" descr="Gerb-Krasnoselkupskiy-rayon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2247899" cy="27908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177.0pt;height:219.8pt;mso-wrap-distance-left:0.0pt;mso-wrap-distance-top:0.0pt;mso-wrap-distance-right:0.0pt;mso-wrap-distance-bottom:0.0pt;" stroked="f">
                <v:path textboxrect="0,0,0,0"/>
                <v:imagedata r:id="rId15" o:title=""/>
              </v:shape>
            </w:pict>
          </mc:Fallback>
        </mc:AlternateContent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СХЕМА ЭЛЕКТРОСНАБЖЕНИЯ </w:t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МУНИЦИПАЛЬНОГО ОКРУГА</w:t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КРАСНОСЕЛЬКУПСКИЙ РАЙОН </w:t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ЯМАЛО-НЕНЕЦКОГО АВТОНОМНОГО ОКРУГА</w:t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НА</w:t>
      </w: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 ПЕРИОД </w:t>
      </w: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Д</w:t>
      </w: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О 2038 ГОДА</w:t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2023 год</w:t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Style w:val="956"/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  <w:lang w:val="en-US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Style w:val="956"/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  <w:lang w:val="en-US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Style w:val="956"/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Том 1. СЕЛО КРАСНОСЕЛЬКУП</w:t>
      </w:r>
      <w:r>
        <w:rPr>
          <w:rFonts w:ascii="Liberation Serif" w:hAnsi="Liberation Serif" w:eastAsia="Liberation Serif" w:cs="Liberation Serif"/>
          <w:b/>
          <w:highlight w:val="white"/>
        </w:rPr>
      </w:r>
      <w:bookmarkStart w:id="2" w:name="_Toc118727546"/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Style w:val="956"/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  <w:lang w:val="en-US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Style w:val="956"/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  <w:lang w:val="en-US"/>
        </w:rPr>
        <w:t xml:space="preserve">I</w:t>
      </w:r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  <w:lang w:val="ru-RU"/>
        </w:rPr>
        <w:t xml:space="preserve">. </w:t>
      </w:r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</w:rPr>
        <w:t xml:space="preserve">Существующее положение в сфере производства, </w:t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</w:rPr>
        <w:t xml:space="preserve">передачи и потребления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 электроэнергии</w:t>
      </w:r>
      <w:bookmarkEnd w:id="2"/>
      <w:r>
        <w:rPr>
          <w:highlight w:val="white"/>
        </w:rPr>
      </w:r>
      <w:r/>
    </w:p>
    <w:p>
      <w:pPr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tabs>
          <w:tab w:val="left" w:pos="1276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1.1. Система электроснабжения муниципального округа Красноселькупский район децентрализованая (изолированная энергосистема) и не имеет подключения к единой энергетической системе России.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потребителей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осуществляет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ГПЭС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ООО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Энергетическая компания «Тепло-Водо-Электро-Сервис» (далее - ООО ЭК «ТВЭС»)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Электроснабжение потребителей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осуществляется от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ЗРУ-6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ГПЭС-70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ЗРУ-6 кВ ДЭС-71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расположенн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промышленно-коммунальной зоне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ЗРУ-6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ГПЭС-70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оборудована семью ГПУ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Mitsubishi GS16R2-PTK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1500кВт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общей мощностью 10,5 МВт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резервной ДГУ 1000 кВт общей мощностью 7,4 МВт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ЗРУ-6 кВ ДЭС-71 оборудована восьмью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ДГУ ДГ-72М 800 кВт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ГПЭС-70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отход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ВЛ-6 кВ Л-70-2, ВЛ-6 кВ Л-7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-1, ВЛ-6 кВ Л-7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Трасса ВЛ находятся в удовлетворительном состоянии, опоры деревянные и железобетонные.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Потребителями электроэнергии села являются жилые и общественные здания, промышленные объекты и объекты коммунальной инфраструктуры.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источников электроснабжения электроэнергия по воздушным линиями электропередачи (ЛЭП) 6 кВ передается на понизительные трансформаторные подстанции, от них по ВЛ-0,4 и КЛ-0,4 кВ поступает потребителям.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Протяженность ВЛ 6 кВ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составляет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16,2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км, ВЛ 0,4 кВ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27,4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Средний процент износа основного оборудо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вания распределительных сетей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0,4 кВ превышает 50 %, большая часть оборудования нуждается в модернизации и обновлении. Воздушные ЛЭП в пределах селитебной территории нуждаются в замене на кабельные линии.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Часть ТП имеет по одному трансформатору, что не обеспечивает надежного электроснабжения потребителей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второй и первой категории надежности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Современный расход электроэнергии на одного человека составляет в среднем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2081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кВт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×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 в год. Современный укрупненный показатель удельной расчетной коммунально-бытовой нагрузки составляет в среднем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0,38 кВт/чел.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1.2. </w:t>
      </w:r>
      <w:bookmarkStart w:id="3" w:name="_Toc118727547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Анализ существующей структуры электрос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набжения напряжением 6-20 кВ</w:t>
      </w:r>
      <w:bookmarkEnd w:id="3"/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ЗРУ-6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ГПЭС-70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отходят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четыре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фидера напряжением 6,3 кВ.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емой электроснабжения с. Красноселькуп не предусмотрена параллельная работа аварийных источников с энергосистемой. По этой причине применяются блокировочные устройства между коммутационными аппаратами, исключающие возможность одновременной подачи напряжени</w:t>
      </w:r>
      <w:bookmarkStart w:id="4" w:name="_GoBack"/>
      <w:r>
        <w:rPr>
          <w:rFonts w:ascii="Liberation Serif" w:hAnsi="Liberation Serif" w:eastAsia="Liberation Serif" w:cs="Liberation Serif"/>
          <w:sz w:val="28"/>
          <w:highlight w:val="white"/>
        </w:rPr>
      </w:r>
      <w:bookmarkEnd w:id="4"/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 в сеть.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Потребителями электрической энергии являются жилые и общественные здания, водопроводные сооружения, кабельные АТС и объекты наружного освещения.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источников электроснабжения электрическая энергия по ВЛ-6 кВ передается на понизительные трансформаторные подстанции, от них по ВЛ-0,4 кВ, КЛ-0,4 кВ поступает потребителям.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селе установлено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понизительных 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рансформаторных подстанций 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/0,4 кВ.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ансформаторы имеют разный год ввода в эксплуатацию и разную степень износа.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1.3. Распределительные пункты (РП) на территории с. Красноселькуп отсутствуют.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jc w:val="lef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1.4. </w:t>
      </w:r>
      <w:bookmarkStart w:id="6" w:name="_Toc118727549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Т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рансформаторные подстанции (ТП)</w:t>
      </w:r>
      <w:bookmarkEnd w:id="6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iCs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_Ref116390210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сведения 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ТП и КТП на </w:t>
      </w:r>
      <w:r>
        <w:rPr>
          <w:rFonts w:ascii="Liberation Serif" w:hAnsi="Liberation Serif" w:eastAsia="Liberation Serif" w:cs="Liberation Serif"/>
          <w:iCs/>
          <w:color w:val="000000" w:themeColor="text1"/>
          <w:sz w:val="28"/>
          <w:szCs w:val="24"/>
          <w:highlight w:val="white"/>
        </w:rPr>
        <w:t xml:space="preserve">территории </w:t>
      </w:r>
      <w:r>
        <w:rPr>
          <w:rFonts w:ascii="Liberation Serif" w:hAnsi="Liberation Serif" w:eastAsia="Liberation Serif" w:cs="Liberation Serif"/>
          <w:iCs/>
          <w:color w:val="000000" w:themeColor="text1"/>
          <w:sz w:val="28"/>
          <w:szCs w:val="24"/>
          <w:highlight w:val="white"/>
        </w:rPr>
        <w:t xml:space="preserve">с. Красносельк</w:t>
      </w:r>
      <w:r>
        <w:rPr>
          <w:rFonts w:ascii="Liberation Serif" w:hAnsi="Liberation Serif" w:eastAsia="Liberation Serif" w:cs="Liberation Serif"/>
          <w:iCs/>
          <w:color w:val="000000" w:themeColor="text1"/>
          <w:sz w:val="28"/>
          <w:szCs w:val="24"/>
          <w:highlight w:val="white"/>
        </w:rPr>
        <w:t xml:space="preserve">уп</w:t>
      </w:r>
      <w:r>
        <w:rPr>
          <w:highlight w:val="white"/>
        </w:rPr>
      </w:r>
      <w:r/>
    </w:p>
    <w:p>
      <w:pPr>
        <w:pStyle w:val="954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i w:val="0"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i w:val="0"/>
          <w:color w:val="000000" w:themeColor="text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pStyle w:val="954"/>
        <w:ind w:left="0" w:right="0" w:firstLine="0"/>
        <w:jc w:val="right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i w:val="0"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7" w:name="_Ref116390210"/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end"/>
      </w:r>
      <w:bookmarkEnd w:id="7"/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. Перечень ТП и КТП на территории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с. Красноселькуп</w:t>
      </w:r>
      <w:r>
        <w:rPr>
          <w:highlight w:val="white"/>
        </w:rPr>
      </w:r>
      <w:r/>
    </w:p>
    <w:p>
      <w:pPr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tbl>
      <w:tblPr>
        <w:tblStyle w:val="982"/>
        <w:tblW w:w="5000" w:type="pct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shd w:val="clear" w:color="auto" w:fill="ffffff" w:themeFill="background1"/>
        <w:tblLook w:val="01E0" w:firstRow="1" w:lastRow="1" w:firstColumn="1" w:lastColumn="1" w:noHBand="0" w:noVBand="0"/>
      </w:tblPr>
      <w:tblGrid>
        <w:gridCol w:w="1105"/>
        <w:gridCol w:w="1527"/>
        <w:gridCol w:w="1731"/>
        <w:gridCol w:w="1066"/>
        <w:gridCol w:w="1409"/>
        <w:gridCol w:w="1346"/>
        <w:gridCol w:w="1454"/>
      </w:tblGrid>
      <w:tr>
        <w:trPr>
          <w:trHeight w:val="485"/>
          <w:tblHeader/>
        </w:trPr>
        <w:tc>
          <w:tcPr>
            <w:shd w:val="clear" w:color="auto" w:fill="ffffff" w:themeFill="background1"/>
            <w:tcW w:w="110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 ТП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Наименование фидера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Тип трансформатора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Год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Номинальная мощность, </w:t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br/>
              <w:t xml:space="preserve">S ном, кВА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Фактическая нагрузка, кВА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Коэффициент загрузки Кз</w:t>
            </w:r>
            <w:r>
              <w:rPr>
                <w:highlight w:val="white"/>
              </w:rPr>
            </w:r>
            <w:r/>
          </w:p>
        </w:tc>
      </w:tr>
      <w:tr>
        <w:trPr>
          <w:trHeight w:val="188"/>
          <w:tblHeader/>
        </w:trPr>
        <w:tc>
          <w:tcPr>
            <w:shd w:val="clear" w:color="ffffff" w:fill="ffffff" w:themeFill="background1"/>
            <w:tcW w:w="110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52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73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06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34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5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9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ТМ-400-10(6)/0,4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313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78,13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ТМ-250-10(6)/0,4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1985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76,00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ТМ-160-10(6)/0,4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2004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68,75</w:t>
            </w:r>
            <w:r>
              <w:rPr>
                <w:highlight w:val="white"/>
              </w:rPr>
            </w:r>
            <w:r/>
          </w:p>
        </w:tc>
      </w:tr>
      <w:tr>
        <w:trPr>
          <w:trHeight w:val="199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ТМ-250-10(6)/0,4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234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93,60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378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1990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265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41,98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11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1999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55,56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ТМ-400-10(6)/0,4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1995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50,75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9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ТМ-250-10(6)/0,4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145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58,00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ТМ-250-10(6)/0,4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171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68,40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ТМ-250-10(6)/0,4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2002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50,00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59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ТМ-400-10(6)/0,4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54,00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ТМ-400-10(6)/0,4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49,25</w:t>
            </w:r>
            <w:r>
              <w:rPr>
                <w:highlight w:val="white"/>
              </w:rPr>
            </w:r>
            <w:r/>
          </w:p>
        </w:tc>
      </w:tr>
      <w:tr>
        <w:trPr>
          <w:trHeight w:val="16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ТМ-400-10(6)/0,4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56,25</w:t>
            </w:r>
            <w:r>
              <w:rPr>
                <w:highlight w:val="white"/>
              </w:rPr>
            </w:r>
            <w:r/>
          </w:p>
        </w:tc>
      </w:tr>
      <w:tr>
        <w:trPr>
          <w:trHeight w:val="138"/>
        </w:trPr>
        <w:tc>
          <w:tcPr>
            <w:shd w:val="clear" w:color="ffffff" w:fill="ffffff" w:themeFill="background1"/>
            <w:tcW w:w="1105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527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731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06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09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34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141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54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22,38</w:t>
            </w:r>
            <w:r>
              <w:rPr>
                <w:highlight w:val="white"/>
              </w:rPr>
            </w:r>
            <w:r/>
          </w:p>
        </w:tc>
      </w:tr>
      <w:tr>
        <w:trPr>
          <w:trHeight w:val="192"/>
        </w:trPr>
        <w:tc>
          <w:tcPr>
            <w:shd w:val="clear" w:color="ffffff" w:fill="ffffff" w:themeFill="background1"/>
            <w:tcW w:w="1105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527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731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</w:t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1000</w:t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06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09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34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54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</w:tr>
      <w:tr>
        <w:trPr>
          <w:trHeight w:val="185"/>
        </w:trPr>
        <w:tc>
          <w:tcPr>
            <w:shd w:val="clear" w:color="ffffff" w:fill="ffffff" w:themeFill="background1"/>
            <w:tcW w:w="1105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527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731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</w:t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1000</w:t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06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09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34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54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</w:tr>
      <w:tr>
        <w:trPr>
          <w:trHeight w:val="219"/>
        </w:trPr>
        <w:tc>
          <w:tcPr>
            <w:shd w:val="clear" w:color="ffffff" w:fill="ffffff" w:themeFill="background1"/>
            <w:tcW w:w="1105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527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731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sz w:val="20"/>
                <w:highlight w:val="white"/>
              </w:rPr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</w:t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1000</w:t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-10(6)/0,</w:t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06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2021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09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  <w:lang w:val="ru-RU"/>
              </w:rPr>
              <w:t xml:space="preserve">1000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34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  <w:lang w:val="ru-RU"/>
              </w:rPr>
              <w:t xml:space="preserve">600,00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54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  <w:lang w:val="ru-RU"/>
              </w:rPr>
              <w:t xml:space="preserve">60,00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5"/>
        </w:trPr>
        <w:tc>
          <w:tcPr>
            <w:shd w:val="clear" w:color="ffffff" w:fill="ffffff" w:themeFill="background1"/>
            <w:tcW w:w="1105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527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731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06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1981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09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34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54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186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1996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18"/>
        </w:trPr>
        <w:tc>
          <w:tcPr>
            <w:shd w:val="clear" w:color="ffffff" w:fill="ffffff" w:themeFill="background1"/>
            <w:tcW w:w="1105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527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731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ТМ-160-10(6)/0,4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06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1983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09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34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54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93,75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9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1996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394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62,54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1999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386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61,27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1982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388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61,59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6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385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61,11</w:t>
            </w:r>
            <w:r>
              <w:rPr>
                <w:highlight w:val="white"/>
              </w:rPr>
            </w:r>
            <w:r/>
          </w:p>
        </w:tc>
      </w:tr>
      <w:tr>
        <w:trPr>
          <w:trHeight w:val="198"/>
        </w:trPr>
        <w:tc>
          <w:tcPr>
            <w:shd w:val="clear" w:color="ffffff" w:fill="ffffff" w:themeFill="background1"/>
            <w:tcW w:w="1105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№19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527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731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ТМ-250-10(6)/0,4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06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/>
              </w:rPr>
              <w:t xml:space="preserve">1985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09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34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54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ТМ-400-10(6)/0,4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1997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363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90,75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ТМ-250-10(6)/0,4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2002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94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37,60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9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ТМ-250-10(6)/0,4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1983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25,60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6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ТМ-400-10(6)/0,4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2004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119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29,75</w:t>
            </w:r>
            <w:r>
              <w:rPr>
                <w:highlight w:val="white"/>
              </w:rPr>
            </w:r>
            <w:r/>
          </w:p>
        </w:tc>
      </w:tr>
      <w:tr>
        <w:trPr>
          <w:trHeight w:val="198"/>
        </w:trPr>
        <w:tc>
          <w:tcPr>
            <w:shd w:val="clear" w:color="ffffff" w:fill="ffffff" w:themeFill="background1"/>
            <w:tcW w:w="1105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527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731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06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2007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09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34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54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50,00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0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ТМ-160-10(6)/0,4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22,50</w:t>
            </w:r>
            <w:r>
              <w:rPr>
                <w:highlight w:val="white"/>
              </w:rPr>
            </w:r>
            <w:r/>
          </w:p>
        </w:tc>
      </w:tr>
      <w:tr>
        <w:trPr>
          <w:trHeight w:val="113"/>
        </w:trPr>
        <w:tc>
          <w:tcPr>
            <w:shd w:val="clear" w:color="auto" w:fill="ffffff" w:themeFill="background1"/>
            <w:tcW w:w="1105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527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731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06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09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346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 w:themeFill="background1"/>
            <w:tcW w:w="1454" w:type="dxa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23,81</w:t>
            </w:r>
            <w:r>
              <w:rPr>
                <w:highlight w:val="white"/>
              </w:rPr>
            </w:r>
            <w:r/>
          </w:p>
        </w:tc>
      </w:tr>
      <w:tr>
        <w:trPr>
          <w:trHeight w:val="210"/>
        </w:trPr>
        <w:tc>
          <w:tcPr>
            <w:shd w:val="clear" w:color="ffffff" w:fill="ffffff" w:themeFill="background1"/>
            <w:tcW w:w="1105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№39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527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731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ТМ-630-10(6)/0,4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06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2017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09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34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88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54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14,00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195"/>
        </w:trPr>
        <w:tc>
          <w:tcPr>
            <w:shd w:val="clear" w:color="ffffff" w:fill="ffffff" w:themeFill="background1"/>
            <w:tcW w:w="1105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527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731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ТМ-</w:t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1000</w:t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-10(6)/0,</w:t>
            </w: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06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2020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09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1000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346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320,00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 w:themeFill="background1"/>
            <w:tcW w:w="1454" w:type="dxa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Cs/>
                <w:sz w:val="20"/>
                <w:szCs w:val="20"/>
                <w:highlight w:val="white"/>
                <w:lang w:val="ru-RU" w:eastAsia="ru-RU"/>
              </w:rPr>
              <w:t xml:space="preserve">32,00</w:t>
            </w:r>
            <w:r>
              <w:rPr>
                <w:highlight w:val="white"/>
              </w:rPr>
            </w:r>
            <w:r/>
          </w:p>
        </w:tc>
      </w:tr>
    </w:tbl>
    <w:p>
      <w:pPr>
        <w:pStyle w:val="934"/>
        <w:numPr>
          <w:ilvl w:val="0"/>
          <w:numId w:val="0"/>
        </w:numPr>
        <w:ind w:left="0" w:firstLine="0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jc w:val="lef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1.5. </w:t>
      </w:r>
      <w:bookmarkStart w:id="8" w:name="_Toc118727550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Линии, соединяющи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е центры питания (ЦП) с РП и ТП</w:t>
      </w:r>
      <w:bookmarkEnd w:id="8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Система электроснабжения муниципального округа Красноселькупский район децентрализованая (изолированная энергосистема) и не имеет подключения к единой энергетической системе России.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Центрами питания (ЦП) для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напряжению 6 кВ являются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ЗРУ-6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ГПЭС-70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ЗРУ-6 кВ ДЭС-71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Линии, соединяющие центры питания (ЦП) с ТП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представлены на макетах и в электронной модели, являющихся неотъемлемой частью Схемы 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Характеристика воздушных линий электропередач в с. Красноселькуп представлена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_Ref118727511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szCs w:val="24"/>
          <w:highlight w:val="non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Однолинейная схема электроснабжения с. Красноселькуп представлена на рисунке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_Ref118727519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none"/>
          <w:lang w:eastAsia="ru-RU"/>
        </w:rPr>
        <w:t xml:space="preserve">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хема электроснабжения с. Красноселькуп представлена на рисунках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_Ref118727519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</w:t>
        <w:fldChar w:fldCharType="end"/>
        <w:t xml:space="preserve"> и Рисунок 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none"/>
          <w:lang w:eastAsia="ru-RU"/>
        </w:rPr>
      </w: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none"/>
          <w:lang w:eastAsia="ru-RU"/>
        </w:rPr>
      </w:r>
      <w:r/>
    </w:p>
    <w:p>
      <w:pPr>
        <w:contextualSpacing/>
        <w:ind w:left="0" w:right="0"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none"/>
          <w:lang w:eastAsia="ru-RU"/>
        </w:rPr>
        <w:sectPr>
          <w:headerReference w:type="default" r:id="rId11"/>
          <w:footnotePr/>
          <w:endnotePr/>
          <w:type w:val="nextPage"/>
          <w:pgSz w:w="11906" w:h="16838" w:orient="portrait"/>
          <w:pgMar w:top="1134" w:right="567" w:bottom="1134" w:left="1701" w:header="709" w:footer="709" w:gutter="0"/>
          <w:pgNumType w:start="1"/>
          <w:cols w:num="1" w:sep="0" w:space="708" w:equalWidth="1"/>
          <w:docGrid w:linePitch="360"/>
          <w:titlePg/>
        </w:sectPr>
      </w:pPr>
      <w:r>
        <w:rPr>
          <w:highlight w:val="none"/>
        </w:rPr>
      </w:r>
      <w:r>
        <w:rPr>
          <w:highlight w:val="none"/>
        </w:rPr>
      </w:r>
      <w:r/>
    </w:p>
    <w:p>
      <w:pPr>
        <w:pStyle w:val="954"/>
        <w:ind w:left="0" w:right="0" w:firstLine="0"/>
        <w:jc w:val="right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i w:val="0"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9" w:name="_Ref118727511"/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end"/>
      </w:r>
      <w:bookmarkEnd w:id="9"/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Характеристика воздушных линий электропередач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с. Красноселькуп</w:t>
      </w:r>
      <w:r>
        <w:rPr>
          <w:highlight w:val="white"/>
        </w:rPr>
      </w:r>
      <w:r/>
    </w:p>
    <w:p>
      <w:pPr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tbl>
      <w:tblPr>
        <w:tblW w:w="5086" w:type="pct"/>
        <w:tblInd w:w="-9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531"/>
        <w:gridCol w:w="851"/>
        <w:gridCol w:w="1418"/>
        <w:gridCol w:w="1222"/>
        <w:gridCol w:w="3312"/>
        <w:gridCol w:w="999"/>
        <w:gridCol w:w="1412"/>
        <w:gridCol w:w="706"/>
        <w:gridCol w:w="706"/>
        <w:gridCol w:w="712"/>
        <w:gridCol w:w="1411"/>
        <w:gridCol w:w="1427"/>
      </w:tblGrid>
      <w:tr>
        <w:trPr>
          <w:jc w:val="center"/>
          <w:trHeight w:val="70"/>
          <w:tblHeader/>
        </w:trPr>
        <w:tc>
          <w:tcPr>
            <w:shd w:val="clear" w:color="auto" w:fill="auto"/>
            <w:tcW w:w="53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Номер фидера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Напряжение, 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Начало линии (РП №, ТП №)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Конец линии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Длина, 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Кол-во цепей (одноцепн. -двуцепн.)</w:t>
            </w:r>
            <w:r>
              <w:rPr>
                <w:highlight w:val="white"/>
              </w:rPr>
            </w:r>
            <w:r/>
          </w:p>
        </w:tc>
        <w:tc>
          <w:tcPr>
            <w:gridSpan w:val="3"/>
            <w:shd w:val="clear" w:color="auto" w:fill="auto"/>
            <w:tcW w:w="21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Тип опоры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Марка провода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Год ввода в эксплуатацию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460"/>
          <w:tblHeader/>
        </w:trPr>
        <w:tc>
          <w:tcPr>
            <w:tcW w:w="53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855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142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122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3326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100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1418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 шт.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 шт.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мет. шт.</w:t>
            </w:r>
            <w:r>
              <w:rPr>
                <w:highlight w:val="white"/>
              </w:rPr>
            </w:r>
            <w:r/>
          </w:p>
        </w:tc>
        <w:tc>
          <w:tcPr>
            <w:tcW w:w="141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1427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156"/>
          <w:tblHeader/>
        </w:trPr>
        <w:tc>
          <w:tcPr>
            <w:tcW w:w="53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W w:w="85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W w:w="142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W w:w="122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tcW w:w="33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tcW w:w="100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tcW w:w="141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  <w:tc>
          <w:tcPr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</w:t>
            </w:r>
            <w:r>
              <w:rPr>
                <w:highlight w:val="white"/>
              </w:rPr>
            </w:r>
            <w:r/>
          </w:p>
        </w:tc>
        <w:tc>
          <w:tcPr>
            <w:tcW w:w="142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Эл. станция 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5278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АС-95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1982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Эл. станция 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24, № 10, № 26 с отходными линиями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4584,0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АС-95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highlight w:val="white"/>
              </w:rPr>
            </w:pPr>
            <w:r>
              <w:rPr>
                <w:highlight w:val="white"/>
              </w:rPr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Эл. станция 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none"/>
                <w:lang w:eastAsia="ru-RU"/>
              </w:rPr>
            </w:pPr>
            <w:r>
              <w:rPr>
                <w:highlight w:val="white"/>
              </w:rPr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none"/>
                <w:lang w:eastAsia="ru-RU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584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АС-95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2017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467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Эл. станция 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227,0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АС-95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1995</w:t>
            </w:r>
            <w:r>
              <w:rPr>
                <w:highlight w:val="white"/>
              </w:rPr>
            </w:r>
            <w:r/>
          </w:p>
        </w:tc>
      </w:tr>
      <w:tr>
        <w:trPr>
          <w:trHeight w:val="158"/>
        </w:trPr>
        <w:tc>
          <w:tcPr>
            <w:shd w:val="clear" w:color="ffffff" w:fill="ffffff"/>
            <w:tcW w:w="53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85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42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Эл. станция 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3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12 </w:t>
            </w:r>
            <w:r>
              <w:rPr>
                <w:highlight w:val="white"/>
              </w:rPr>
            </w:r>
            <w:r/>
          </w:p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 отходными линиями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0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4355,0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АС-95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4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лет Победы 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749,0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1989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лет Победы 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656,0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лет Победы 32а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338,0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Артезианская скважина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60,0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1999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21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Брусничная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701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1996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19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газовый участок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111,0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Комсомольская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585,0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2001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Нагорная 23, Полярная 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350,0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2013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Нагорная 63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395,0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ОАО «Ростелеком»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732,0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Полярная 39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772,0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Строителей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657,0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1995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Энтузиастов, Полярная 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401,0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13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Геологоразведчиков 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380,0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АС-70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Полярная 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520,0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жилой сектор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2045,0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А-50/ 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жилой дом на берегу р. Таз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150,0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23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коптильный цех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472,0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2006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23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Нагорная 6а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246,0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23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Набережная 10б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1100,0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21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кот. Совхоз «Полярный»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220,0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21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Нагорная 28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1039,0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vertAlign w:val="baselin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vertAlign w:val="baseline"/>
                <w:lang w:eastAsia="ru-RU"/>
              </w:rPr>
              <w:t xml:space="preserve">КТП № 21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vertAlign w:val="baselin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vertAlign w:val="baseline"/>
                <w:lang w:eastAsia="ru-RU"/>
              </w:rPr>
              <w:t xml:space="preserve">склады МУП «Энергия»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vertAlign w:val="baselin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vertAlign w:val="baseline"/>
                <w:lang w:eastAsia="ru-RU"/>
              </w:rPr>
              <w:t xml:space="preserve">450,0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21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Полярная 1а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600,0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1991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36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теплица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173,0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1985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19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ООО «Автодор»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231,0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1985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склады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436,0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Котельная № 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30,0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А-95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none"/>
                <w:lang w:eastAsia="ru-RU"/>
              </w:rPr>
              <w:t xml:space="preserve">Т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 № 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Ленина 7, 70 лет Октября 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453,0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КТП № 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ОАО «Северстроймонтаж»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200,00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2007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КТП № 36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Пром.зона № 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142,00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1985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КТП № 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Пилорама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247,00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1981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70 лет Октября 13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276,0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2002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Сайготина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1136,0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27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Авиаторов 3а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372,0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27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РОВД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51,0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27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none"/>
                <w:lang w:eastAsia="ru-RU"/>
              </w:rPr>
              <w:t xml:space="preserve">от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Дизельной-объекты РТО полетов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932,0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29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ПАКУ № 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122,0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26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ПАКУ № 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124,0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none"/>
                <w:lang w:eastAsia="ru-RU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Мамонова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none"/>
                <w:lang w:eastAsia="ru-RU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285,0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2017</w:t>
            </w:r>
            <w:r>
              <w:rPr>
                <w:highlight w:val="white"/>
              </w:rPr>
            </w:r>
            <w:r/>
          </w:p>
        </w:tc>
      </w:tr>
      <w:tr>
        <w:trPr>
          <w:trHeight w:val="151"/>
        </w:trPr>
        <w:tc>
          <w:tcPr>
            <w:shd w:val="clear" w:color="ffffff" w:fill="ffffff"/>
            <w:tcW w:w="53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46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85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2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33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33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Сидорова 5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00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354,0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47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33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Ленина 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65,0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2007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48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18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ПАКУ № 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114,0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49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Ленина 2б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205,0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Полярная 9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184,0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18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Полярная 16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612,0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ТП № 11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Ленина 14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248,0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35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Полярная 3, терр. ЦРБ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542,0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1988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18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none"/>
                <w:lang w:eastAsia="ru-RU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Авиаторов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none"/>
                <w:lang w:eastAsia="ru-RU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417,0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55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32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none"/>
                <w:lang w:eastAsia="ru-RU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Мамонова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none"/>
                <w:lang w:eastAsia="ru-RU"/>
              </w:rPr>
              <w:t xml:space="preserve">, 17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none"/>
                <w:lang w:eastAsia="ru-RU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none"/>
                <w:lang w:eastAsia="ru-RU"/>
              </w:rPr>
              <w:t xml:space="preserve">319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trHeight w:val="89"/>
        </w:trPr>
        <w:tc>
          <w:tcPr>
            <w:shd w:val="clear" w:color="ffffff" w:fill="ffffff"/>
            <w:tcW w:w="53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56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85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2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30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332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кормокухня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00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615,0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57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31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пожарная часть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270,0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2005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58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7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Ленина 5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87,0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1989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59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7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д/с «Буратино»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193,0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1989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60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11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Советская 11, Советская 18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542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,0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2007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</w:tr>
      <w:tr>
        <w:trPr>
          <w:jc w:val="center"/>
          <w:trHeight w:val="70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61</w:t>
            </w: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31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  <w:t xml:space="preserve">Ленина 20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20,0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2003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</w:tr>
      <w:tr>
        <w:trPr>
          <w:jc w:val="center"/>
          <w:trHeight w:val="74"/>
        </w:trPr>
        <w:tc>
          <w:tcPr>
            <w:shd w:val="clear" w:color="auto" w:fill="auto"/>
            <w:tcW w:w="53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62</w:t>
            </w: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</w:r>
            <w:r/>
          </w:p>
        </w:tc>
        <w:tc>
          <w:tcPr>
            <w:shd w:val="clear" w:color="auto" w:fill="auto"/>
            <w:tcW w:w="85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2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2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7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3326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  <w:t xml:space="preserve">Северный 5а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00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422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,0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70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auto" w:fill="auto"/>
            <w:tcW w:w="142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2014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</w:tr>
      <w:tr>
        <w:trPr>
          <w:trHeight w:val="0"/>
        </w:trPr>
        <w:tc>
          <w:tcPr>
            <w:shd w:val="clear" w:color="ffffff" w:fill="ffffff"/>
            <w:tcW w:w="53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63</w:t>
            </w: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</w:r>
            <w:r/>
          </w:p>
        </w:tc>
        <w:tc>
          <w:tcPr>
            <w:shd w:val="clear" w:color="ffffff" w:fill="ffffff"/>
            <w:tcW w:w="85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ffffff" w:fill="ffffff"/>
            <w:tcW w:w="142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ffffff" w:fill="ffffff"/>
            <w:tcW w:w="12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7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ffffff" w:fill="ffffff"/>
            <w:tcW w:w="3326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д/д «Родничок»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ffffff" w:fill="ffffff"/>
            <w:tcW w:w="100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500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,0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ж. б.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ffffff" w:fill="ffffff"/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СИП2А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  <w:tc>
          <w:tcPr>
            <w:shd w:val="clear" w:color="ffffff" w:fill="ffffff"/>
            <w:tcW w:w="14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  <w:t xml:space="preserve">2013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r>
            <w:r/>
          </w:p>
        </w:tc>
      </w:tr>
      <w:tr>
        <w:trPr>
          <w:trHeight w:val="155"/>
        </w:trPr>
        <w:tc>
          <w:tcPr>
            <w:shd w:val="clear" w:color="ffffff" w:fill="ffffff"/>
            <w:tcW w:w="53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64</w:t>
            </w: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</w:r>
            <w:r/>
          </w:p>
        </w:tc>
        <w:tc>
          <w:tcPr>
            <w:shd w:val="clear" w:color="ffffff" w:fill="ffffff"/>
            <w:tcW w:w="85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2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3326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ГСМ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00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1100,0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1985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trHeight w:val="0"/>
        </w:trPr>
        <w:tc>
          <w:tcPr>
            <w:shd w:val="clear" w:color="ffffff" w:fill="ffffff"/>
            <w:tcW w:w="53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65</w:t>
            </w: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</w:r>
            <w:r/>
          </w:p>
        </w:tc>
        <w:tc>
          <w:tcPr>
            <w:shd w:val="clear" w:color="ffffff" w:fill="ffffff"/>
            <w:tcW w:w="85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2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3326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ПВО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00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55,0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trHeight w:val="0"/>
        </w:trPr>
        <w:tc>
          <w:tcPr>
            <w:shd w:val="clear" w:color="ffffff" w:fill="ffffff"/>
            <w:tcW w:w="53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66</w:t>
            </w: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</w:r>
            <w:r/>
          </w:p>
        </w:tc>
        <w:tc>
          <w:tcPr>
            <w:shd w:val="clear" w:color="ffffff" w:fill="ffffff"/>
            <w:tcW w:w="85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2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3326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КРЭБ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00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518,0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  <w:tr>
        <w:trPr>
          <w:trHeight w:val="0"/>
        </w:trPr>
        <w:tc>
          <w:tcPr>
            <w:shd w:val="clear" w:color="ffffff" w:fill="ffffff"/>
            <w:tcW w:w="53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  <w:t xml:space="preserve">67</w:t>
            </w:r>
            <w:r>
              <w:rPr>
                <w:rFonts w:ascii="Liberation Serif" w:hAnsi="Liberation Serif" w:eastAsia="Liberation Serif" w:cs="Liberation Serif"/>
                <w:sz w:val="20"/>
                <w:highlight w:val="white"/>
              </w:rPr>
            </w:r>
            <w:r/>
          </w:p>
        </w:tc>
        <w:tc>
          <w:tcPr>
            <w:shd w:val="clear" w:color="ffffff" w:fill="ffffff"/>
            <w:tcW w:w="85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2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№ 6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3326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взлетно-посадочная полоса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00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3500,0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дер.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70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А-50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  <w:tc>
          <w:tcPr>
            <w:shd w:val="clear" w:color="ffffff" w:fill="ffffff"/>
            <w:tcW w:w="1427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2007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r>
            <w:r/>
          </w:p>
        </w:tc>
      </w:tr>
    </w:tbl>
    <w:p>
      <w:pPr>
        <w:pStyle w:val="934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ectPr>
          <w:headerReference w:type="default" r:id="rId12"/>
          <w:footnotePr/>
          <w:endnotePr/>
          <w:type w:val="nextPage"/>
          <w:pgSz w:w="16838" w:h="11906" w:orient="landscape"/>
          <w:pgMar w:top="1135" w:right="680" w:bottom="1275" w:left="1701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4"/>
          <w:highlight w:val="white"/>
        </w:rPr>
      </w:r>
      <w:r>
        <w:rPr>
          <w:rFonts w:ascii="Liberation Serif" w:hAnsi="Liberation Serif" w:eastAsia="Liberation Serif" w:cs="Liberation Serif"/>
          <w:b/>
          <w:bCs/>
          <w:sz w:val="28"/>
          <w:szCs w:val="20"/>
          <w:highlight w:val="whit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338570" cy="5799914"/>
                <wp:effectExtent l="0" t="0" r="0" b="0"/>
                <wp:docPr id="3" name="Рисунок 1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9999710" name="Снимепмиомок.JPG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flipH="0" flipV="0">
                          <a:off x="0" y="0"/>
                          <a:ext cx="8338569" cy="57999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656.6pt;height:456.7pt;mso-wrap-distance-left:0.0pt;mso-wrap-distance-top:0.0pt;mso-wrap-distance-right:0.0pt;mso-wrap-distance-bottom:0.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/>
          <w:sz w:val="24"/>
          <w:highlight w:val="white"/>
        </w:rPr>
      </w:r>
      <w:bookmarkStart w:id="10" w:name="_Ref118727519"/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szCs w:val="24"/>
          <w:highlight w:val="white"/>
        </w:rPr>
        <w:sectPr>
          <w:footnotePr/>
          <w:endnotePr/>
          <w:type w:val="nextPage"/>
          <w:pgSz w:w="16838" w:h="11906" w:orient="landscape"/>
          <w:pgMar w:top="1135" w:right="709" w:bottom="1275" w:left="1673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end"/>
      </w:r>
      <w:bookmarkEnd w:id="10"/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Однолинейная схема электроснабжения с. Красноселькуп</w:t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szCs w:val="24"/>
          <w:highlight w:val="none"/>
        </w:rPr>
      </w:pPr>
      <w:r>
        <w:rPr>
          <w:highlight w:val="none"/>
        </w:rPr>
      </w:r>
      <w:r>
        <w:rPr>
          <w:highlight w:val="non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szCs w:val="24"/>
          <w:highlight w:val="none"/>
        </w:rPr>
      </w:pPr>
      <w:r>
        <w:rPr>
          <w:highlight w:val="white"/>
        </w:rPr>
      </w:r>
      <w:r>
        <w:rPr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7925" cy="8492378"/>
                <wp:effectExtent l="0" t="0" r="0" b="0"/>
                <wp:docPr id="4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083025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flipH="0" flipV="0">
                          <a:off x="0" y="0"/>
                          <a:ext cx="6007925" cy="84923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3.1pt;height:668.7pt;mso-wrap-distance-left:0.0pt;mso-wrap-distance-top:0.0pt;mso-wrap-distance-right:0.0pt;mso-wrap-distance-bottom:0.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highlight w:val="non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Схема электроснабжения с. </w:t>
      </w: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none"/>
          <w:lang w:eastAsia="ru-RU"/>
        </w:rPr>
        <w:t xml:space="preserve">Красноселькуп</w:t>
      </w: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szCs w:val="24"/>
          <w:highlight w:val="none"/>
        </w:rPr>
        <w:sectPr>
          <w:footnotePr/>
          <w:endnotePr/>
          <w:type w:val="nextPage"/>
          <w:pgSz w:w="11906" w:h="16838" w:orient="portrait"/>
          <w:pgMar w:top="1134" w:right="708" w:bottom="1389" w:left="1702" w:header="709" w:footer="709" w:gutter="0"/>
          <w:cols w:num="1" w:sep="0" w:space="708" w:equalWidth="1"/>
          <w:docGrid w:linePitch="360"/>
        </w:sectPr>
      </w:pPr>
      <w:r>
        <w:rPr>
          <w:highlight w:val="none"/>
        </w:rPr>
      </w:r>
      <w:r>
        <w:rPr>
          <w:highlight w:val="non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4"/>
          <w:szCs w:val="24"/>
          <w:highlight w:val="white"/>
        </w:rPr>
      </w:pPr>
      <w:r>
        <w:rPr>
          <w:highlight w:val="none"/>
        </w:rPr>
      </w:r>
      <w:r>
        <w:rPr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125031" cy="5748045"/>
                <wp:effectExtent l="0" t="0" r="0" b="0"/>
                <wp:docPr id="5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205054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8125031" cy="57480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639.8pt;height:452.6pt;mso-wrap-distance-left:0.0pt;mso-wrap-distance-top:0.0pt;mso-wrap-distance-right:0.0pt;mso-wrap-distance-bottom:0.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Схема электроснабжения с. </w:t>
      </w: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none"/>
          <w:lang w:eastAsia="ru-RU"/>
        </w:rPr>
        <w:t xml:space="preserve">Красноселькуп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jc w:val="lef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sectPr>
          <w:footnotePr/>
          <w:endnotePr/>
          <w:type w:val="nextPage"/>
          <w:pgSz w:w="16838" w:h="11906" w:orient="landscape"/>
          <w:pgMar w:top="1135" w:right="709" w:bottom="1275" w:left="1673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jc w:val="lef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bookmarkStart w:id="11" w:name="_Toc11872755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1.6. Ли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нии, соединяющие ТП между собой</w:t>
      </w:r>
      <w:bookmarkEnd w:id="1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ЗРУ-6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ГПЭС-70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 трансформаторным подстанциям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ТП 6/0,4 кВ проложены линии электропередачи 6 кВ, как воздушные, так и кабельные. Протяжённость линий 6 кВ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составляет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16,2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Линии, соединяющие центры питания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между собой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представлены на макетах и в электронной модели, являющихся неотъемлемой частью Схемы 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1.7. </w:t>
      </w:r>
      <w:bookmarkStart w:id="12" w:name="_Toc11872755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Питающие линии промышленных предприятий, находящихся на террит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ории муниципального образования</w:t>
      </w:r>
      <w:bookmarkEnd w:id="1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Питающие линии промышленных предприятий, находящихся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входят в перечень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участков линий электропередач 6 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представлены на макетах и в электронной модели, являющихся неотъемлемой частью Схемы 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1.8. </w:t>
      </w:r>
      <w:bookmarkStart w:id="13" w:name="_Toc118727553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Резервы и дефициты ЦП 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электроприемников потребителей</w:t>
      </w:r>
      <w:bookmarkEnd w:id="13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Сведения о резервах и дефицитах ЦП и приёмников потребителей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в таблице 3.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14" w:name="_Ref116560977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bookmarkEnd w:id="14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 Сведения о резервах и дефицитах ЦП и приёмников потребителей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842"/>
        <w:gridCol w:w="1744"/>
        <w:gridCol w:w="1941"/>
        <w:gridCol w:w="1382"/>
        <w:gridCol w:w="1321"/>
        <w:gridCol w:w="1407"/>
      </w:tblGrid>
      <w:tr>
        <w:trPr>
          <w:trHeight w:val="695"/>
          <w:tblHeader/>
        </w:trPr>
        <w:tc>
          <w:tcPr>
            <w:shd w:val="clear" w:color="000000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фидера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74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Диспетчерское наименование ВЛ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Диспетчерское наименование КТП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Номинальная мощность, S ном, кВА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Фактическая нагрузка, кВА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Коэффициент загрузки Кз</w:t>
            </w:r>
            <w:r>
              <w:rPr>
                <w:highlight w:val="white"/>
              </w:rPr>
            </w:r>
            <w:r/>
          </w:p>
        </w:tc>
      </w:tr>
      <w:tr>
        <w:trPr>
          <w:trHeight w:val="143"/>
          <w:tblHeader/>
        </w:trPr>
        <w:tc>
          <w:tcPr>
            <w:shd w:val="clear" w:color="000000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74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4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8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2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0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с. Красноселькуп, Фидер №1, Электростанция - ТП №6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ВЛ 6 кВ Л-70-1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70-1-1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313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78,13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70-1-3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70-1-6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68,75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с. Красноселькуп, Фидер №2, Электростанция - КТП№ 24, №10, №26 с отходными линиями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ВЛ 6 кВ Л-70-2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234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93,6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378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70-2-11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265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41,98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55,56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70-2-26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50,75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70-2-27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145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70-2-29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171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68,4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70-2-31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70-2-33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49,25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56,25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70-2-38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141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22,38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70-2-40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70-2-41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70-2-45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с. Красноселькуп, Фидер №4, Электростанция - ТП№12 с отходными линиями Фидер№4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ВЛ 6 кВ Л-70-4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93,75</w:t>
            </w:r>
            <w:r>
              <w:rPr>
                <w:highlight w:val="white"/>
              </w:rPr>
            </w:r>
            <w:r/>
          </w:p>
        </w:tc>
      </w:tr>
      <w:tr>
        <w:trPr>
          <w:trHeight w:val="118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70-4-34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70-4-14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394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62,54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386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61,27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388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61,59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70-4-17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385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61,11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70-4-21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363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90,75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70-4-23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37,6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25,6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29,75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70-4-36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22,5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87"/>
        </w:trPr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non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70-4-37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8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3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4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23,81</w:t>
            </w:r>
            <w:r>
              <w:rPr>
                <w:highlight w:val="white"/>
              </w:rPr>
            </w:r>
            <w:r/>
          </w:p>
        </w:tc>
      </w:tr>
      <w:tr>
        <w:trPr>
          <w:trHeight w:val="115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4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70-4-39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8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2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0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</w:tr>
      <w:tr>
        <w:trPr>
          <w:trHeight w:val="87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74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4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КТП 70-4-42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8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2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0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н/д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Дефициты по ЦП в системе 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отсутствуют.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1.9.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5" w:name="_Toc118727554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Безопасность и над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ежность систем электроснабжения</w:t>
      </w:r>
      <w:bookmarkEnd w:id="15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Надежность – свойство, которое 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олжно учитываться при исследова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нии, создании, функционировании и прогнозировании перспективного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развития. Однако в отличие от элементной надежности пути обеспечения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надёжности сложных систем не очевидны и в каждом отдельном случае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обусловлены особенностями исследуемой системы. По мере усложнения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 становится более сложной и оценка их надёжности. Классические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показатели надёжности элементов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простых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систем такие, как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время безотказной работы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в течение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заданного промежутка времени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целый ряд других, применительно 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многим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сложным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системам, лиш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ены практического смысла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сложной системы задача оценки надёжности формулируется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предположении известных, полученн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 статистическими методами ха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рактеристик интенсивности отказов её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элементов и восстановлений в те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чение определённого времени: матема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тического ожидания и дисперсии,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закона распределения времени между отказами и др. В самом общем виде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под отказом сложной системы понимается событие,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огда выходной объ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ём информации снижается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уровня, меньше допустимого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Однако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известно, что многие сложные системы могут выполнять практически все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свои функции при условии, что некоторая часть их элементов и связей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между ними находится в нерабочем (и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 отличающемся в пределах допу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стимых норм от рабочего) состоянии.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Например, отказ отдельных элементов в системах энергетики может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вообще не отразиться на работе потребителей. Но в этих случаях речь идет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 об отказе системы, а лишь о возможном снижении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показателей эффек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тивности её работы.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Сосредоточивая внимание на самом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факте отказа, классические еди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ничные показатели надёжности 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асто не позволяют установить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следствия отказа и влияние его на конечный эффект функционирования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системы. Поэтому для выработки обо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снованных рекомендаций по обес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печению требуемого уровня надёжности сложных систем необходимы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научные исследования, соизмеримые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своим масштабам разработке ос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новной идее построения системы. Относительно недавно появились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предложения по прогнозированию уровня надёжности оказываемых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услуг при управлении единой национа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льной (общероссийской) электри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ческой сетью (ЕНЭС) и территориальными сетевыми организациями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(ТСО)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основе комплексных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оказателей, применяемых зарубеж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ными эне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ргокомпаниями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где в качестве индикаторов системной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надежности используются: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System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среднее число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перерывов электроснабжения в расчёте на одного конечного потребителя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(клиента), которые он испытывает в течение года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число потребителей, для которых наблюдались перерывы (отказы)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 – обще число потребителей энергокомпании.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System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Duration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индекс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длительности перерывов (отключений)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конечных потре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бителей в течение года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Т – среднегодовое время простоя потребителей энергокомпании.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Customer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Duration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продолжительность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отключений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отдельных случаях – среднее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время восстановления или среднее время простоя в течение года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Relative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Network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Reconstruction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Efficiency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относительная эффективность реконструкции сети,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характеризующая, насколько улуч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шится SAIFI после реконструкции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сравнению с ситуацией до рекон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струкции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=(1-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(0)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SAIFI(0) – среднее количество установившихся повреждений в год на одного потребителя до и после реконструкции соответственно.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ARAE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Recloser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Fpplicftion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Efficiency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средняя эффективность применения реклоузеров, характеризующая среднюю эффективность применения реклоузеров, то есть, наско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лько удалось улучшить SAIFI кажд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ого фидера реконструированной сети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сравнению с ситуацией до рекон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струкции в пересчёте на один реклоузер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ARAE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=(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)/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F – количество фидеров, вход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ящих в реконструированную сеть,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R – 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личество установленных в процессе реконструкции реклоузеров.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Customer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средняя частота отключения одного потребителя.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Momentary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мгновенный индекс средней частоты отключений.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LOEE (Loss of Energy Expectation)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математическое ожидание годово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объёма ограничений потребителей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электрической энергии из-за ава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рийных длительных ремонтов оборудования (см. EUE).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EUE (Expected Unserved Energy) – математическое ожидание годового объёма ограничений потребителей в электрической энергии М[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W] из-за аварийных длительных ремонтов оборудования (см. LOEE).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LOLE (Loss of Load Expectation) – ожидаемое число суток в году, когда происходит потеря нагрузки или среднее чи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сло суток в году, когда возника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 дефицит мощности.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LOLH (Loss of Load Hours) – среднее число часов дефицита мощности или длительность потери нагрузки в часах.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LOLP (Loss of Load Probability) – вероятность потери нагрузки; вероятность дефицита мощности на малом (заданном) интервале времени, как правило, в период максимальной нагрузки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LOLP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вероятность состояния отказа системы – доля времени, в течение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которого систем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 находится в состоянии отказа;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– параметр модели.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LCOE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Levelized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Cost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Electricity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средняя расчётная (нормированная) себестоимость производства электр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оэнергии на протяжении жизненно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цикла электростанции (включая все возможные инвестиции, затраты и доходы).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LOLD (Loss of Load Duration) – продолжительность потери нагрузки.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LOLF (Loss of Load Frequency)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потери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нагрузки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MTBFO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Mean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time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between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forced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outages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среднее время между вынужденными отключениями.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Несмотря на множество предложенных показателей, они позволяют лишь в среднем оценить состоян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ие СЭС на основе не всегда достаточной и достоверной ретроспективной информации. Применение их в целях оценки и (или) прогнозирования функционирования системы на более коротких интервалах, в разных режимах и при переменной структуре практически невозможно.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 под надёжностью СЭС можно понимать и степень соответствия возможных или фактически достигнутых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результатов B требуемым для вы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полнения стоящих перед ней задач. Тогда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{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↑}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R – событие, заключающееся в выполнении СЭС заданных функций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(задач) в заданном объёме, с соблюдением всех установленных нормативов;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нижний и верхний пределы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необходимого результата функцио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нирования СЭС.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выражению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оценивается надёжность одноцелевой (простой)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системы или обобщённый результат 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ункционирования многоцелевой 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стемы (например, РГ, ВИЭ). Возможно также определение вероятности 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степени соответствия результатов 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ребуемым для выполнения соответ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ствующих задач: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{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↑}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необходимости оценки надёжно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сти многоцелевой системы с пред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ставлением результатов выполнения каждой из n целей в отдельности,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обобщённая надёжность СЭС может быть представлена как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3552825</wp:posOffset>
                </wp:positionH>
                <wp:positionV relativeFrom="paragraph">
                  <wp:posOffset>3175</wp:posOffset>
                </wp:positionV>
                <wp:extent cx="19050" cy="571500"/>
                <wp:effectExtent l="0" t="0" r="19050" b="19050"/>
                <wp:wrapNone/>
                <wp:docPr id="6" name="Прямая соединительная линия 3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9050" cy="57150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5" o:spid="_x0000_s5" style="position:absolute;left:0;text-align:left;z-index:251661312;mso-wrap-distance-left:9.0pt;mso-wrap-distance-top:0.0pt;mso-wrap-distance-right:9.0pt;mso-wrap-distance-bottom:0.0pt;visibility:visible;" from="279.8pt,0.2pt" to="281.2pt,45.2pt" filled="f" strokecolor="#000000" strokeweight="0.50pt">
                <v:stroke dashstyle="solid"/>
              </v:line>
            </w:pict>
          </mc:Fallback>
        </mc:AlternateConten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2547620</wp:posOffset>
                </wp:positionH>
                <wp:positionV relativeFrom="paragraph">
                  <wp:posOffset>20955</wp:posOffset>
                </wp:positionV>
                <wp:extent cx="19050" cy="571500"/>
                <wp:effectExtent l="0" t="0" r="19050" b="19050"/>
                <wp:wrapNone/>
                <wp:docPr id="7" name="Прямая соединительная линия 2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9050" cy="571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6" o:spid="_x0000_s6" style="position:absolute;left:0;text-align:left;z-index:251659264;mso-wrap-distance-left:9.0pt;mso-wrap-distance-top:0.0pt;mso-wrap-distance-right:9.0pt;mso-wrap-distance-bottom:0.0pt;visibility:visible;" from="200.6pt,1.6pt" to="202.1pt,46.6pt" filled="f" strokecolor="#000000" strokeweight="0.50pt">
                <v:stroke dashstyle="solid"/>
              </v:line>
            </w:pict>
          </mc:Fallback>
        </mc:AlternateConten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highlight w:val="white"/>
        </w:rPr>
      </w:r>
      <w:r/>
    </w:p>
    <w:p>
      <w:pPr>
        <w:contextualSpacing/>
        <w:spacing w:before="0" w:beforeAutospacing="0" w:after="0" w:afterAutospacing="0" w:line="240" w:lineRule="auto"/>
        <w:tabs>
          <w:tab w:val="left" w:pos="3345" w:leader="none"/>
          <w:tab w:val="center" w:pos="4818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B↓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B↑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нижний и верхний пределы необходимого результата фун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ционирования СЭС при решении i-й задачи;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возможны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или фактиче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ский результат функционирования СЭС для выполнения i-й задачи.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Надёжность – составная час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ть и основная характеристика эф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фективности функционирования СЭС. Результат функционирования – группа случайных событий, число котор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 равно числу целей (задач)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ставленных перед конкретной СЭС. Зде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сь возможен анализ следующих со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бытий: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выполнение СЭС всех n поставленных задач;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выполнение СЭС ряда наиболее важных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k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задач;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выполнение СЭС не менее заданного числа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задач и др.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Показатели надёжности могут бы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ть определены вероятностями осу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ществления соответствующих событий: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k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их математическим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ожиданиями и дисперсиями, а при нал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ичии достаточного количества ин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формации – функциями распределения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ероятностей результатов функцио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общем виде формула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представляется как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 </w:t>
      </w:r>
      <w:r>
        <w:rPr>
          <w:rFonts w:ascii="Liberation Serif" w:hAnsi="Liberation Serif" w:eastAsia="Liberation Serif" w:cs="Liberation Serif"/>
          <w:highlight w:val="whit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2623525</wp:posOffset>
                </wp:positionH>
                <wp:positionV relativeFrom="paragraph">
                  <wp:posOffset>-71189</wp:posOffset>
                </wp:positionV>
                <wp:extent cx="76200" cy="590550"/>
                <wp:effectExtent l="0" t="0" r="19050" b="19050"/>
                <wp:wrapNone/>
                <wp:docPr id="8" name="Левая круглая скобка 6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76199" cy="590549"/>
                        </a:xfrm>
                        <a:prstGeom prst="leftBracket">
                          <a:avLst>
                            <a:gd name="adj" fmla="val 8333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" o:spid="_x0000_s7" o:spt="85" type="#_x0000_t85" style="position:absolute;z-index:251665408;o:allowoverlap:true;o:allowincell:true;mso-position-horizontal-relative:text;margin-left:206.6pt;mso-position-horizontal:absolute;mso-position-vertical-relative:text;margin-top:-5.6pt;mso-position-vertical:absolute;width:6.0pt;height:46.5pt;mso-wrap-distance-left:9.0pt;mso-wrap-distance-top:0.0pt;mso-wrap-distance-right:9.0pt;mso-wrap-distance-bottom:0.0pt;visibility:visible;" filled="f" strokecolor="#000000" strokeweight="0.50pt">
                <v:stroke dashstyle="solid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highlight w:val="whit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3628707</wp:posOffset>
                </wp:positionH>
                <wp:positionV relativeFrom="paragraph">
                  <wp:posOffset>-71189</wp:posOffset>
                </wp:positionV>
                <wp:extent cx="85725" cy="609600"/>
                <wp:effectExtent l="0" t="0" r="28575" b="19050"/>
                <wp:wrapNone/>
                <wp:docPr id="9" name="Правая круглая скобка 7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85725" cy="609599"/>
                        </a:xfrm>
                        <a:prstGeom prst="rightBracket">
                          <a:avLst>
                            <a:gd name="adj" fmla="val 8333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" o:spid="_x0000_s8" o:spt="86" type="#_x0000_t86" style="position:absolute;z-index:251666432;o:allowoverlap:true;o:allowincell:true;mso-position-horizontal-relative:text;margin-left:285.7pt;mso-position-horizontal:absolute;mso-position-vertical-relative:text;margin-top:-5.6pt;mso-position-vertical:absolute;width:6.8pt;height:48.0pt;mso-wrap-distance-left:9.0pt;mso-wrap-distance-top:0.0pt;mso-wrap-distance-right:9.0pt;mso-wrap-distance-bottom:0.0pt;visibility:visible;" filled="f" strokecolor="#000000" strokeweight="0.50pt">
                <v:stroke dashstyle="solid"/>
              </v:shape>
            </w:pict>
          </mc:Fallback>
        </mc:AlternateContent>
      </w:r>
      <w:r>
        <w:rPr>
          <w:highlight w:val="white"/>
        </w:rPr>
      </w:r>
      <w:r/>
    </w:p>
    <w:p>
      <w:pPr>
        <w:contextualSpacing/>
        <w:spacing w:before="0" w:beforeAutospacing="0" w:after="0" w:afterAutospacing="0" w:line="240" w:lineRule="auto"/>
        <w:tabs>
          <w:tab w:val="left" w:pos="3345" w:leader="none"/>
          <w:tab w:val="center" w:pos="4818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  <w:t xml:space="preserve"> 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  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 – вероятность выполнения СЭС всех функций.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Проверка и подтверждение требова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ний к результатам B функциониро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вания СЭС осуществляется на основе 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ормативных значений соответствую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щих показателей надёжности. Правиль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ность их выбора (критерий досто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верности подтверждения надёжности СЭС) оценивается вероятностью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нормативное и фактическое значения показателя надёжности.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функционал, значение которого соответствует показателю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эффективности, вычисленному при условии, что отказы элементов имеют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интенсивности, соответствующие заданным (расчётным) характеристикам,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то, что все элементы абсолютно надёжны (интенсивности отказов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элементов равны нулю), показатель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дёжности сложной системы определится разностью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откуда видно снижение эффективности системы из-за отказов её элементов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сравнению с идеальной системой, э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лементы которой абсолютно надёж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ны. Поскольку идеальной системы не су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ществует, такая оценка эффектив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ности может быть использована только дл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 сравнения вариантов (по полно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 и точности исходной информации, структурным особенностям, качеству управляющих алгоритмов и т. п.).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Безопасность – один из важнейш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их показателей качества и эффек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тивности функционирования системы. Другие комплексные показатели, такие, как надёжность, стоимость могут в полной мере применяться для оценки того или иного варианта созд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ания или функционирования систе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мы, тогда как меры по обеспечению безопасности предпринимаются уже на этапе разработки системы. В последние годы термин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безопасность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получил широкое распространение, поскольку защита от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многочислен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ных угроз всего населения Земли и отдельного индивидуума выходит на первое место в системе приоритетов человечества, потеснив проблемы повышения производительности труда и создания новых технологий.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Внутренняя безопасность – характеристика цел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остности системы,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казатель ее гомеостаза. Она определяет способность системы поддерживать свое нормальное функционирование в ус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ловиях внешних и внутренних воз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действий.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Внешняя безопасность – способность системы взаимодействовать со средой без нарушения гомеостаза. Другими словами, воздействие системы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среду не приводит к необратимы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 изменениям или нарушениям важ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нейших параметров, характеризующих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состояние среды, принятое за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пустимое.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Живучесть способность СЭС (подсистемы, объ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екта, элемента) в 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елом сохранять свойства, необходимы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для выполнения требуемых функ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ций, при наличии воздействий, не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редусмотренных условиями нормал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ьной эксплуатации. Это способность её полностью или в ограниченном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объеме выполнять свои функции при нарушении работоспособного состояния и восстанавливать их полностью или частично за допустимый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(нормированный) период времени. Для объектов электроэнергетики – это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способность полностью или в огра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ниченном (договорном или нормиро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ванном) объёме выполнять свои фу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нкции при воздействиях, не преду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смотренных условиями нормальной э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ксплуатации, а при нарушении 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ботоспособного состояния – восстанав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ливать его за технологически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пустимый период времени. Живучесть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определяется также активной ре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акцией системы на возмущения за счёт рационально организованной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структуры, выбором целесообразных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режимов функционирования, не 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опускающих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каскадного развития аварий, ограничивая глубину (тяжесть)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 с возможностью массового нарушения режима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потребителей.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Свойство управляемости заключается в приспособленности СЭС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предупреждению и обнаружению выхода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значений параметров за допусти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мую область и возврату их в эту область средствами управления за конечный промежуток вр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емени. Управляемость обеспечива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 возможность эффективного управления режимом объекта энергетики,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максимально возможную безотказность и восстанавливаемость его, что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предполагает наличие достаточных ресурсов и технических средств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осуществления соответствующего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при одном и том же внешнем воздействии (или при внутренних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отказах элементов) управление системой возможно в вариантах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…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γ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 показатель эффективности системы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значениями функцио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нала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соответствующими вариантам управления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…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γ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Тогда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величина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y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представляющая сравнитель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ную оценку вариантов управления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y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получения абсолютной оценки качества управления необходима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информация об идеальном его варианте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при котором эффективность мак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симальна, но этот вариант (также, как и его показатели) в общем случае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остаётся неизвестным.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Помеха – воздействие, искажающее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сигнал, несущий полезную инфор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мацию и вызывающее нежелательное искажающее воздейс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твие на электро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установку или на результаты измерений.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Тогда помехозащищённость – спо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собность ослаблять действие случайных или несанкционированных помех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 счёт дополнительных средств защиты объекта для выполнения им своих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функций в пределах технологических регламентов.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значение показателя эффектив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ности R соответствует функциони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рованию системы в условиях помех с заданными характеристиками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относится к работе системы без помех, показатель помехозащищённости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аналогично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и показыв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ает, насколько изменяется эффек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тивность системы под влиянием помех с заданными параметрами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Устойчиво способность – свойство 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бъекта энергетики непрерывно со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хранять устойчивость в течение некоторого времени до выхода значений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параметров за допустимую область без повреждения объекта. В теории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устойчивость – характеристикой того, что стабильно и стремится сохранить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своё равновесное состояние во времени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Устойчивость электрической 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стемы – способность сохранять состояни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равновесия в период нормально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режима работы, при его возмущениях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 аварийных условиях, возвра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щаясь в исходный режим после снятия возмущений или режим близкий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нему, допустимый по условиям эксплуатации ЭЭС, 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сли возмущающее воз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действие не снято.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Экономичность – совокупность экономических характеристик объекта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энергетики, его технологии, эксплуатации и организационно-технических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структур, обеспечивающих экономичес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кую целесообразность использова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ния данного объекта в данных условиях. Научно обоснованный минимум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суммарных инвестиционных и эксплуатационных расходов энергосистемы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или её элементов (электростанций, электрических сетей и др.), включая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ущерб от нарушений электроснабжения, представляют экономический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терий надежности. Экономическая эффективность повышения надежности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потребителей опред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еляется разностью изменения сум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марного ущерба от отказов (или изменения режимов) в системе затрат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осуществление мероприятий по повышению надежности.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Среди множества свойств энергообъектов и влияния их на надёжность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выделяются внешние (входные), вну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тренние и производные от них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Внешние представляют собой: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ресурсоёмкость, влияющую на надёжность через затраты ресурсов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её обеспечение;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ресурсозависимость, характериз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ующую влияние ресурса (первично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энергоносителя) на создание, функционирование, развитие и ликвидацию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(утилизацию) объекта энергетики, особен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 в условиях хозяйственной,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литической или другого вида нестабильности;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ресурсообеспеченность, обеспеч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ивающую гарантии поставки ресур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 в условиях природных, техногенных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социально-экономических возму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свойству ресурсообеспеченности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относится также обеспечение нор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мальных и аварийных режимов функц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ионирования системы генерирующи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ми мощностями, трудовыми и финансовыми ресурсами.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основным внутренним свойствам объектов энергетики относятся: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производительность, маневренность, ине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рционность, адаптивность, управ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ляемость, надёжность, наблюдаемость, избыточность и ряд других.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качестве выходного свойства объекта энергетики выступает технико-экономический ущерб как от внезапных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(или) плановых нарушений элек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троснабжения, так и от управления режимами генерации и потребления.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Вместе с тем, наряду с надёжностью уже рассматрива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ются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вопросы живучести систем энерге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В этих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работах отмечалось, что в ЭЭС возраста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 цена отдельных аварий и повы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шается её уязвимость в целом. Оценка живучести в значительной степени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стойкостью элементов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(объектов) ЭЭС к внешним воздей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ствиям и возможностями их восстановления.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обеспечения возможности управления структурой современные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ЭЭС (СЭС) должны обладать свойством гибкости, которое рассматривается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как способность с необходимой скоростью изменять свою структуру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обеспечения нормального развития, 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также функционирования при воз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можных возмущениях и при оптимизации режимов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Один из источников гибкости в СЭС – управление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спросом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Это механизм изменения потребления э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лектроэнергии конечными потреби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телями относительно их нормального профиля нагрузки в ответ на ценовые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сигналы ЭЭС или прямые команды СО.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Такими сигналами могут быть из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менение цен на электроэнергию во времени; стимулирующие выплаты,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предусмотренные для снижения потребл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ения в периоды высоких цен оптового рынка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моменты, когда системная надёжность находится под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угрозой. Управление спросом наряду с традиционной, распределённой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возобновляемой генерацией, а также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копителями энергии способно ока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зывать услуги по регулированию и восстановлению частоты, обеспечивая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системную гибкость.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Усиление негативного влияния чрезвычайных ситуаций природного,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техногенного, экономического и политич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еского характера потребовали 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тивизации исследований, связанных с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обеспечением энергетической без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опасности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Таким образом, сложилось пространство свойств ЭЭС,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непосредственно связанных с надёжностью.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Создание, развитие и эксплуатация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интеллектуальных ЭЭС с активно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адаптивной сетью (ИЭС ААС) сопрово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ждается массовым внедрением циф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ровых технологий, обеспечивающих 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ункционирование большого количе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ства датчиков сбора, обработки и инфо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рмационного обмена по вертикаль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ным и горизонтальным уровням ЭЭС, свя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занного с режимами сети, состоя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нием основного и вспомогательного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оборудования. ИЭС ААС характери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зуются наличием интеллектуальных сис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оценки,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текущей и прогнозиро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вания будущей ситуации, быстродейств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ующих автоматических и автомати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зированных исполнительных органов упр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авления элементами системы в ре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альном масштабе времени.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1.10.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6" w:name="_Toc118727555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Существующие технические и технологические проблемы в системах электроснабжени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я выделенного класса напряжения</w:t>
      </w:r>
      <w:bookmarkEnd w:id="16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системе 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имеются следующие проблемы: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средний процент износа основного оборудования распределительных сетей 6/0,4 кВ превышает 50 %, большая часть оборудования нуждает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ся в модернизации и обновлении;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воздушные ЛЭП в пределах селитебной территории нуждаются в замене на кабельные линии;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часть ТП имеет по одному трансформатору, что не обеспечивает надежного электроснабжения потребителей.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  <w:t xml:space="preserve">II</w:t>
      </w:r>
      <w:r>
        <w:rPr>
          <w:rFonts w:ascii="Liberation Serif" w:hAnsi="Liberation Serif" w:eastAsia="Liberation Serif" w:cs="Liberation Serif"/>
          <w:b/>
          <w:sz w:val="28"/>
          <w:highlight w:val="white"/>
          <w:lang w:val="ru-RU"/>
        </w:rPr>
        <w:t xml:space="preserve">.</w:t>
      </w:r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  <w:t xml:space="preserve"> </w:t>
      </w:r>
      <w:bookmarkStart w:id="17" w:name="_Toc118727556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Балансы производства и потребления электроэнергии</w:t>
      </w:r>
      <w:bookmarkEnd w:id="17"/>
      <w:r>
        <w:rPr>
          <w:highlight w:val="white"/>
        </w:rPr>
      </w:r>
      <w:r/>
    </w:p>
    <w:p>
      <w:pPr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bookmarkStart w:id="18" w:name="_Toc118727557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2.1. Фактический баланс по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требления электрической энергии.</w:t>
      </w:r>
      <w:bookmarkEnd w:id="18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Фактические балансы потребления электрической энергии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годы представлены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_Ref116551037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19" w:name="_Ref116551037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4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bookmarkEnd w:id="19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Фактические балансы потребления электрической эне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ргии на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территории с. Красноселькуп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777"/>
        <w:gridCol w:w="5102"/>
        <w:gridCol w:w="1250"/>
        <w:gridCol w:w="1248"/>
        <w:gridCol w:w="1250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5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показателя</w:t>
            </w:r>
            <w:r>
              <w:rPr>
                <w:highlight w:val="white"/>
              </w:rPr>
            </w:r>
            <w:r/>
          </w:p>
        </w:tc>
        <w:tc>
          <w:tcPr>
            <w:gridSpan w:val="3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4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Суммарное поступление за год, кВт×ч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248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4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50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2019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2020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 г.</w:t>
            </w:r>
            <w:r>
              <w:rPr>
                <w:highlight w:val="white"/>
              </w:rPr>
            </w:r>
            <w:r/>
          </w:p>
        </w:tc>
      </w:tr>
      <w:tr>
        <w:trPr>
          <w:trHeight w:val="166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Выработано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27 374 096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19 563 019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22 005 857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Отпущено на собственные и технологические нужды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1 171 255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909 000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1 083 424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Отпуск (факт), в т. ч.: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26 202 842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18 654 019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20 922 433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смежным сетевым организациям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полезный отпуск конечным потребителям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22 327 632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16 514 399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16 433 978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Потери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3 875 210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2 139 620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4 224 996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5.1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15%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20%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норматив потерь - 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</w:tbl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2.2. </w:t>
      </w:r>
      <w:bookmarkStart w:id="20" w:name="_Toc118727558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Структурны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й баланс электрической мощности</w:t>
      </w:r>
      <w:bookmarkEnd w:id="20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_Ref116552467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приведена структура потребления электрической энергии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годы.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21" w:name="_Ref116552467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5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bookmarkEnd w:id="21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С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труктура потребления электрической энергии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Красноселькуп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годы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762"/>
        <w:gridCol w:w="5189"/>
        <w:gridCol w:w="1226"/>
        <w:gridCol w:w="1225"/>
        <w:gridCol w:w="1225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показателя</w:t>
            </w:r>
            <w:r>
              <w:rPr>
                <w:highlight w:val="white"/>
              </w:rPr>
            </w:r>
            <w:r/>
          </w:p>
        </w:tc>
        <w:tc>
          <w:tcPr>
            <w:gridSpan w:val="3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90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Суммарное поступление за год, кВт×ч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262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694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2019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2020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 г.</w:t>
            </w:r>
            <w:r>
              <w:rPr>
                <w:highlight w:val="white"/>
              </w:rPr>
            </w:r>
            <w:r/>
          </w:p>
        </w:tc>
      </w:tr>
      <w:tr>
        <w:trPr>
          <w:trHeight w:val="151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Полезный отпуск конечным потребителям, всего, в т.ч.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22 327 632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16 514 399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16 433 978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население, потребители, приравненные к населению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10 432 170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8 137 812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7 855 323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бюджетные организации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3 118 884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2 556 592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3 592 358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прочие потребители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3 121 245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1 881 759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1 463 057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9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1.4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9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внутрицеховые нужды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5 655 334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3 938 237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3 523 240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2.3. </w:t>
      </w:r>
      <w:bookmarkStart w:id="22" w:name="_Toc118727559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Потер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и электрической энергии в сетях</w:t>
      </w:r>
      <w:bookmarkEnd w:id="2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Фактические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потери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электрической энергии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электрических сетях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годы представлены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_Ref116552617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23" w:name="_Ref116552617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6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bookmarkEnd w:id="23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Фактические потери электрической энергии в электрических сетях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Красноселькуп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годы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1049"/>
        <w:gridCol w:w="3525"/>
        <w:gridCol w:w="1685"/>
        <w:gridCol w:w="1683"/>
        <w:gridCol w:w="1685"/>
      </w:tblGrid>
      <w:tr>
        <w:trPr>
          <w:trHeight w:val="227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показателя</w:t>
            </w:r>
            <w:r>
              <w:rPr>
                <w:highlight w:val="white"/>
              </w:rPr>
            </w:r>
            <w:r/>
          </w:p>
        </w:tc>
        <w:tc>
          <w:tcPr>
            <w:gridSpan w:val="3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2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Суммарное поступление за год, кВт×ч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249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5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31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2019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2020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 г.</w:t>
            </w:r>
            <w:r>
              <w:rPr>
                <w:highlight w:val="white"/>
              </w:rPr>
            </w:r>
            <w:r/>
          </w:p>
        </w:tc>
      </w:tr>
      <w:tr>
        <w:trPr>
          <w:trHeight w:val="165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1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Потери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3 875 210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2 139 620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4 224 996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7"/>
        </w:trPr>
        <w:tc>
          <w:tcPr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5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1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15%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20%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7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4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2*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1831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норматив потерь - 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</w:tbl>
    <w:p>
      <w:pPr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0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0"/>
          <w:szCs w:val="24"/>
          <w:highlight w:val="white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spacing w:val="-1"/>
          <w:sz w:val="20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0"/>
          <w:szCs w:val="24"/>
          <w:highlight w:val="white"/>
          <w:lang w:eastAsia="ru-RU"/>
        </w:rPr>
        <w:t xml:space="preserve">св</w:t>
      </w:r>
      <w:r>
        <w:rPr>
          <w:rFonts w:ascii="Liberation Serif" w:hAnsi="Liberation Serif" w:eastAsia="Liberation Serif" w:cs="Liberation Serif"/>
          <w:spacing w:val="-1"/>
          <w:sz w:val="20"/>
          <w:szCs w:val="24"/>
          <w:highlight w:val="white"/>
          <w:lang w:eastAsia="ru-RU"/>
        </w:rPr>
        <w:t xml:space="preserve">едения об утверждённых нормативах потерь в электрических сетях при передаче электрической энергии потребителям отсутствуют.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2.4. </w:t>
      </w:r>
      <w:bookmarkStart w:id="24" w:name="_Toc118727560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Существующие нормативы потребления электрической энергии для населения в эле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ментах территориального деления</w:t>
      </w:r>
      <w:bookmarkEnd w:id="2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Существующие 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ормативы потребления коммунальной услуги по электроснабжению в жилых помещениях многоквартирных домов и жилых домах, в том числе общежитиях квартирного типа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(утверждены </w:t>
      </w:r>
      <w:hyperlink w:tooltip="#sub_0" w:anchor="sub_0" w:history="1">
        <w:r>
          <w:rPr>
            <w:rFonts w:ascii="Liberation Serif" w:hAnsi="Liberation Serif" w:eastAsia="Liberation Serif" w:cs="Liberation Serif"/>
            <w:spacing w:val="-1"/>
            <w:sz w:val="28"/>
            <w:szCs w:val="24"/>
            <w:highlight w:val="white"/>
            <w:lang w:eastAsia="ru-RU"/>
          </w:rPr>
          <w:t xml:space="preserve">постановлением</w:t>
        </w:r>
      </w:hyperlink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Правительства Ямало-Ненецкого автономного округа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 04.08.2016 № 748-П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_Ref116552826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spacing w:val="-1"/>
          <w:sz w:val="28"/>
          <w:szCs w:val="24"/>
          <w:highlight w:val="white"/>
          <w:lang w:eastAsia="ru-RU"/>
        </w:rPr>
        <w:t xml:space="preserve">Таблица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7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25" w:name="_Ref116552826"/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Таблица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7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end"/>
      </w:r>
      <w:bookmarkEnd w:id="25"/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. Существующие нормативы потребления электрической энергии для населения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Красноселькуп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36" w:type="pct"/>
        <w:tblInd w:w="-6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tblBorders>
        <w:tblLayout w:type="fixed"/>
        <w:tblLook w:val="0000" w:firstRow="0" w:lastRow="0" w:firstColumn="0" w:lastColumn="0" w:noHBand="0" w:noVBand="0"/>
      </w:tblPr>
      <w:tblGrid>
        <w:gridCol w:w="499"/>
        <w:gridCol w:w="3793"/>
        <w:gridCol w:w="1193"/>
        <w:gridCol w:w="1361"/>
        <w:gridCol w:w="530"/>
        <w:gridCol w:w="530"/>
        <w:gridCol w:w="530"/>
        <w:gridCol w:w="530"/>
        <w:gridCol w:w="740"/>
      </w:tblGrid>
      <w:tr>
        <w:trPr>
          <w:jc w:val="center"/>
          <w:trHeight w:val="20"/>
          <w:tblHeader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Категория жилых помещений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Единица измерения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Количество комнат в жилом помещении</w:t>
            </w:r>
            <w:r>
              <w:rPr>
                <w:highlight w:val="white"/>
              </w:rPr>
            </w:r>
            <w:r/>
          </w:p>
        </w:tc>
        <w:tc>
          <w:tcPr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286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Норматив потребления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286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количество человек, проживающих в помещении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 и более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не оборудованные в установленном порядке стационарными электроплитами для приготовления пищи, электроотопительными,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115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261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118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квартирные дома, жилые дома, общежития квартирного типа, оборудованные в установленном порядке стационарными электроплитами для приготовления пищи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111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тирные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или электронагревательными установками для целей горячего водоснабжения, в отопительный период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или электронагревательными установками для целей горячего водоснабжения, вне отопительного периода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артирные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 электронагревательными установками для целей горячего водоснабжения, в отопительный период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498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526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326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545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337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рные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 электронагревательными установками для целей горячего водоснабжения, вне отопительного периода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оборудованные в установленном порядке стационарными электроплитами, электроотопительными или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362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392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412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425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264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оборудованные в установленном порядке стационарными электроплитами,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504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312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534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331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554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343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265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199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Существующие нормативы потребления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коммунальных услуг и нормативов потребления коммунальных ресурсов в целях содержания общего имущества в многоквартирном доме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утверждены Постановлением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Правительства Ямало-Ненецкого автономного округа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04.08.2016 № 748-П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приведены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_Ref116553275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8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8"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26" w:name="_Ref116553275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8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bookmarkEnd w:id="26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Существующие нормативы потребления коммунальных услуг и нормативов потребления коммунальных ресурсов в целях содержания общего имущества в многоквартирном доме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                          с. Красноселькуп </w:t>
      </w:r>
      <w:r>
        <w:rPr>
          <w:highlight w:val="white"/>
        </w:rPr>
      </w:r>
      <w:r/>
    </w:p>
    <w:p>
      <w:pPr>
        <w:contextualSpacing/>
        <w:ind w:firstLine="708"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6263"/>
        <w:gridCol w:w="1276"/>
        <w:gridCol w:w="1560"/>
      </w:tblGrid>
      <w:tr>
        <w:trPr>
          <w:trHeight w:val="20"/>
          <w:tblHeader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N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br/>
              <w:t xml:space="preserve">п/п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63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Категория многоквартирных домов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Единица измерения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Норматив потребления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  <w:tblHeader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63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63" w:type="dxa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не оборудованные лифтами и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86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1,97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2.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63" w:type="dxa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оборудованные лифтами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86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3,98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63" w:type="dxa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не оборудованные лифтами и оборудованные электроотопительными и (или) электронагревательными установками для целей горячего водоснабжения, в отопительный период </w:t>
            </w:r>
            <w:hyperlink w:tooltip="#sub_3111" w:anchor="sub_3111" w:history="1">
              <w:r>
                <w:rPr>
                  <w:rStyle w:val="984"/>
                  <w:rFonts w:ascii="Liberation Serif" w:hAnsi="Liberation Serif" w:eastAsia="Liberation Serif" w:cs="Liberation Serif"/>
                  <w:sz w:val="20"/>
                  <w:szCs w:val="20"/>
                  <w:highlight w:val="white"/>
                </w:rPr>
                <w:t xml:space="preserve">*</w:t>
              </w:r>
            </w:hyperlink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86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4.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63" w:type="dxa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не оборудованные лифтами и оборудованные электроотопительными и (или) электронагревательными установками для целей горячего водоснабжения, вне отопительного периода</w:t>
            </w:r>
            <w:hyperlink w:tooltip="#sub_3111" w:anchor="sub_3111" w:history="1">
              <w:r>
                <w:rPr>
                  <w:rStyle w:val="984"/>
                  <w:rFonts w:ascii="Liberation Serif" w:hAnsi="Liberation Serif" w:eastAsia="Liberation Serif" w:cs="Liberation Serif"/>
                  <w:sz w:val="20"/>
                  <w:szCs w:val="20"/>
                  <w:highlight w:val="white"/>
                </w:rPr>
                <w:t xml:space="preserve">*</w:t>
              </w:r>
            </w:hyperlink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86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63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Общежития, не оборудованные лифтами и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кВт-ч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1,97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66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263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Общежития, оборудованные лифтами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кВт-ч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tcW w:w="156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3,98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2.5. </w:t>
      </w:r>
      <w:bookmarkStart w:id="27" w:name="_Toc11872756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Существующая система коммерческого учета и планы по установке прибор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ов учета</w:t>
      </w:r>
      <w:bookmarkEnd w:id="27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системе электроснабжения учёт отпуска электрической энергии имеется на всех центрах питания.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учета электрической энергии, потребляемой гражданами, а также на границе раздела объектов электросетевого хозяйства и внутридомовых инженерных систем многоквартирного дома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приборы учета класса точности 2,0 и выше.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многоквартирных домах на границе раздела объектов электросетевого хозяйства и внутридомовых инженерных систем устан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овлены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коллективные (общедомовые) приборы учета класса точности 1,0 и выше.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учета электрической энергии, потребляемой потребителями, с максимальной мощностью менее 670 кВт,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приборы учета класса точности 1,0 и выше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учета электрической энергии, потребляемой потребителями с максимальной мощностью не менее 670 кВт,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приборы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учета, позволяющие измерять почасовые объемы потребления электрической энергии, класса точности 0,5S и выше, обеспечивающие хранение данных о почасовых объемах потребления электрической энергии за последние 120 дней и более или включенные в систему учета.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Класс точности измерительных трансформаторов, используемых в измерительных комплексах для установки (подключения) приборов учета, не ниже 0,5.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 также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измерительны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трансформатор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напряжения класса точности 1,0 для установки (подключения) приборов учета класса точности 2,0.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Приборы учета установ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границах балансовой принадлежности объектов электроэнергетики (энергопринимающих устройств), а также в ины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 местах, с соблюдением установленных законодательством Российской Федерации требований к местам установки приборов учета. При отсутствии технической возможности установки прибора учета на границе балансовой принадлежности объектов электроэнергетики прибор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установлены в местах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максимально приближенн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 границ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балансовой принадлежности, в котор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име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тся техническ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возможност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установки. При этом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расчёта за потреблённую электрическую энергию учитываются потери на участке электрической сети от границы раздела балансовой принадлежности до местонахождения прибора учёта.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Сведения 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план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установке приборов учета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отсутствуют.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III.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28" w:name="_Toc118727562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Электронная модель схемы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электроснабжения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End w:id="28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3.1. Универсальным инструментом разработки перспективных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схем электроснабжения является их электронная модель.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Электронная модель схем электроснабжения – единая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информационная система, включающая в себя базы данных,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программное и техническое обеспечение, предназначенная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хранения, мониторинга и актуализации информации о технико-экономическом состоянии централизованных систем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электроснабжения, осуществления их оперативно-диспетчерского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управления.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Задачи, решаемые электронной моделью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графическо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представлени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объектов электроснабжения, с привязкой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топографической основе МО и полным описанием связности объектов;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паспортизации объектов электроснабжения;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описания единиц административного деления земельных участков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возможностью формирования и генерации пространственных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технологических запросов и отчетов по системе электроснабжения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административно-территориальных разрезах;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расчетов режима сетей выше 1 до 35 кВ и компенсации токов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замыкания на землю;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расчетов токов короткого замыкания;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расчета балансов электроснабжения;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расчета показателей надежности;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построения графиков для разработки и анализа сценариев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перспективного развития.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.2. </w:t>
      </w:r>
      <w:bookmarkStart w:id="29" w:name="_Toc118727563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Графическое представление существующих объектов системы электроснабжения с привязкой к топографической основе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населенного пункта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и полн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ым описанием связности объектов</w:t>
      </w:r>
      <w:bookmarkEnd w:id="29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Пример графического представления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существующих объектов системы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с привязкой к топографической основе населённого пункта представлен на рисунке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_Ref116553614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jc w:val="center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z w:val="28"/>
          <w:highlight w:val="whit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6806" cy="3743325"/>
                <wp:effectExtent l="0" t="0" r="6350" b="0"/>
                <wp:docPr id="10" name="Рисунок 10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7026986" name="Снимок.JPG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80528" cy="37582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9.0pt;height:294.8pt;mso-wrap-distance-left:0.0pt;mso-wrap-distance-top:0.0pt;mso-wrap-distance-right:0.0pt;mso-wrap-distance-bottom:0.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highlight w:val="white"/>
        </w:rPr>
      </w:r>
      <w:r/>
    </w:p>
    <w:p>
      <w:pPr>
        <w:pStyle w:val="954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i w:val="0"/>
          <w:color w:val="000000"/>
          <w:spacing w:val="-1"/>
          <w:sz w:val="24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4"/>
          <w:highlight w:val="white"/>
        </w:rPr>
      </w:r>
      <w:bookmarkStart w:id="30" w:name="_Ref116553614"/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end"/>
      </w:r>
      <w:bookmarkEnd w:id="30"/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Пример графического представления существующих объектов системы электроснабжения с привязкой к топографической основе населённого пункта</w:t>
      </w:r>
      <w:r>
        <w:rPr>
          <w:highlight w:val="white"/>
        </w:rPr>
      </w:r>
      <w:r/>
    </w:p>
    <w:p>
      <w:pPr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3.3. </w:t>
      </w:r>
      <w:bookmarkStart w:id="31" w:name="_Toc11872756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Описание объектов существующей системы электроснабжения</w:t>
      </w:r>
      <w:bookmarkEnd w:id="3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Электронная модель отражает объекты электрической сети по видам и с отражением их характеристик: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трансформаторные подстанции (ТП), в том числе трансформаторы;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распределительные пункты (РП);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линии, соединяющие центры питания (ЦП) с РП и ТП;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линии, соединяющие ТП между собой;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питающие линии промышленных предприятий, находящихся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населенного пункта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распределительные сети, кроме ведомственных сетей и сетей промышленных предприятий.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генераторы, реакторы, конденсаторы в электрических сетях;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выключатели, выключатели нагрузки, разъединители ПС, ТП, РП и линий;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оборудование релейной защиты и автоматики (РЗА), установленные на ПС, РП.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3.4.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2" w:name="_Toc118727565"/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Составление</w:t>
      </w:r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 шаблонов пользовательских форм (генератор форм элек</w:t>
      </w:r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тронных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таблиц Microsoft Excel)</w:t>
      </w:r>
      <w:bookmarkEnd w:id="3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аблон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пользовательских форм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построены с помощью VBA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создать форму в Excel, добавив в книгу элементы управления содержимым, такие как кнопки, флажки, списки и поля со списками. После этого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можно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заполнить эту форму в приложении Excel и при желании распечатать 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1. Отображение вкладки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Разработчик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меню Excel выберите элемент Параметры.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разделе Разработка выберите Представление.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разделе Показывать на ленте установите флажок Вкладка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Разработчик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2. Добавление и форматирование элементов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управления содержимым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вкладке Разработчик выберите элемент управления, который хотите добавить.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листе щелкните место, куда нужно вставить элемент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Чтобы задать свойства элемента управления, щелкните его, удерживая нажатой клавишу CONTROL, и выберите пункт Формат элемента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окне Формат объекта задайте такие свойства элемента управления, как шрифт, выравнивание и цвет.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Повторите действия 1–4 для каждого добавляемого элемента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3. Защита листа, содержащего форму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меню Сервис наведите указатель на пункт Защита и выберите команду Защитить лист.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Выберите нужные параметры защиты.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Сохраните и закройте книгу.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4. Проверка формы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необходимости вы можете проверить форму, прежде чем распространять 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Защитите форму, как указано в описании шага 3.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Откройте форму еще раз, заполните ее обычным способом и сохраните как копию.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3.5. </w:t>
      </w:r>
      <w:bookmarkStart w:id="33" w:name="_Toc118727566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Пол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учени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е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реестра объектов моделей</w:t>
      </w:r>
      <w:bookmarkEnd w:id="33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режиме работы окна семантической информации Ответ или База предусмотрен экспорт соответствующего набор записей в лист Microsoft Excel для последующего анализа.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экспорта данных в Microsoft 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окне семантической информации на вкладке Ответ или База нажмите кнопку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highlight w:val="white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диалоговом окне Экспорт в Microsoft Excel из списка Шаблоны отчетов выберите нужный шаблон, при экспорте в Excel используются либо такие же шаблоны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как и для печатных отчетов, либо шаблоны на основе файлов шаблонов Excel (формата xlt)</w:t>
      </w:r>
      <w:r>
        <w:rPr>
          <w:rFonts w:ascii="Liberation Serif" w:hAnsi="Liberation Serif" w:eastAsia="Liberation Serif" w:cs="Liberation Serif"/>
          <w:highlight w:val="white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не устраивают существующие шаблоны, то нужно нажать кнопку Новый и создать новый шаблон;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строке Путь к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ниге Excel нажмите кнопку Обзор..., укажите полный путь до него, затем: для экспорта в книгу Excel из списка тип файла выберите Книга Excel (*.xls); для экспорта в электронную таблицу ODS из списка тип файла выберите Электронная таблица OpenOffice (*.ods);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строке Имя листа укажите имя листа, на котором будут размещены данные, например Лист1;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нажмите кнопку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Сохранить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после чего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начнет процедуру экспорта, о чем будет информировать индикатор процесса. Процедуру экспорта можно прервать, нажав кнопку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Отмена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панели этого индикатора.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3.6. </w:t>
      </w:r>
      <w:bookmarkStart w:id="34" w:name="_Toc118727567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Получени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е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сводных форм в виде эле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ктронных таблиц Microsoft Excel.</w:t>
      </w:r>
      <w:bookmarkEnd w:id="34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Имея исходную таблицу в формате EXCEL, для создания Сводной таблицы достаточно выделить любую ячейку исходной таблицы и в меню Работа с таблицами/ Конструктор/ Сервис выбрать пункт Сводная таблица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появившемся окне нажмем ОК, согласившись с тем, что Сводная таблица будет размещена на отдельном листе.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отдельном листе появится заготовка Сводной таблицы и Список полей, размещенный справа от листа (отображается только когда активная ячейка находится в диапазоне ячеек Сводной таблицы).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появившемся окне выбираем Названия строк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Списка полей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для этого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поставим галочку в Списке полей 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поля (поле и столбец - синонимы)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ячейки столбца имеют текстовый формат, то они автоматически попадут в область Названия строк Списка полей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ячейки столбца имеют числовой формат, то они автоматически попадут в раздел Списка полей Значения.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обавлени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фильтра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необходимы следующие действия: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выделите любое значение Сводной таблицы, нажмите пункт меню Работа со сводными таблицами/ Параметры/ Действия/ Очистить/ Очистить все;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ставим галочки в Списке полей 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полей;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переносим поле  из области Названия строк Списка полей в область Фильтр отчета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i w:val="0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i w:val="0"/>
          <w:spacing w:val="-1"/>
          <w:sz w:val="28"/>
          <w:szCs w:val="24"/>
          <w:highlight w:val="white"/>
          <w:lang w:val="en-US"/>
        </w:rPr>
        <w:t xml:space="preserve">IV</w:t>
      </w:r>
      <w:r>
        <w:rPr>
          <w:rFonts w:ascii="Liberation Serif" w:hAnsi="Liberation Serif" w:eastAsia="Liberation Serif" w:cs="Liberation Serif"/>
          <w:b/>
          <w:i w:val="0"/>
          <w:spacing w:val="-1"/>
          <w:sz w:val="28"/>
          <w:szCs w:val="24"/>
          <w:highlight w:val="white"/>
          <w:lang w:val="ru-RU"/>
        </w:rPr>
        <w:t xml:space="preserve">. </w:t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</w:rPr>
      </w:r>
      <w:bookmarkStart w:id="35" w:name="_Toc118727568"/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</w:rPr>
        <w:t xml:space="preserve">Перспективные показатели потребления электроэнергии по разным категориям пользователей</w:t>
      </w:r>
      <w:bookmarkEnd w:id="35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4.1. В рамках реализации инвестиционной программы в с. Красноселькуп с 2023 по 2027 годы планируются следующие мероприятия: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создание (приобретение) объекта генерации электрической энергии, мощн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остью 12 МВт в с. Красноселькуп;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внутриплощадочные работы и система выдачи электрической энергии;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 ВЛЗ 6 кВ  от Л-70-4 3хСИП3 1х95 протяжённостью 50м (участок до КТП 70-4-45)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В рамках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 разработка проектной документации строительства воздушной линии 6кВ;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2. строительство воздушной линии 6кВ м– 50м, провод 3хСИП3 1х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 ВЛЗ 6кВ Л-70-3 3хСИП3 1х95, протяжённостью 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30м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В рамках 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 разработка проектной документации строительства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ой линии 6кВ;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highlight w:val="non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2. строительство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линии 6кВ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 м.п., провод 3хСИП3 1х95.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  <w:rPr>
          <w:rFonts w:ascii="Liberation Serif" w:hAnsi="Liberation Serif" w:eastAsia="Liberation Serif" w:cs="Liberation Serif"/>
          <w:color w:val="000000"/>
          <w:highlight w:val="non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-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строительство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объекта «Воздушная линия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высокого напряжения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6,3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, с. Красноселькуп»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3хСИП3 1х95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протяженностью 403м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(участок от пересечения ул. Мамонова и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ул. 70 лет Октября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до ул. 70 лет Октября, д.3)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В рамках реализации данного мероприятия будет выполнено следующее:</w:t>
      </w:r>
      <w:r>
        <w:rPr>
          <w:rFonts w:ascii="Liberation Serif" w:hAnsi="Liberation Serif" w:eastAsia="Liberation Serif" w:cs="Liberation Serif"/>
          <w:color w:val="000000"/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 разработка проектной документации строительства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ой линии 6кВ;</w:t>
      </w:r>
      <w:r>
        <w:rPr>
          <w:rFonts w:ascii="Liberation Serif" w:hAnsi="Liberation Serif" w:eastAsia="Liberation Serif" w:cs="Liberation Serif"/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2. строительство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линии 6кВ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403 м.п., провод 3хСИП3 1х95.</w:t>
      </w:r>
      <w:r>
        <w:rPr>
          <w:rFonts w:ascii="Liberation Serif" w:hAnsi="Liberation Serif" w:eastAsia="Liberation Serif" w:cs="Liberation Serif"/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реконструкция объекта «Воздушная линия высокого напряжения 6,3 кВ.,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Красноселькуп, Фидер № 2, Электростанция - КТП № 24, № 10, № 26 с отходными линиями» – 70м (участок ул. Огнеборцев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В рамках 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 разработка проектной документации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реконструкции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воздушной линии 6кВ;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реконструкция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воздушной линии 6кВ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70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м.п., провод 3хСИП3 1х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 КЛ 6 кВ Л-70-1 в траншее из 2хАПвКсП 3х35-6 – 5500м (участок на Дальний Привод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В рамках 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разработка проектной документации строительства кабельной линии 6кВ;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расчистка трассы от леса 3х5500=22000м2;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строительство кабельной линии 6кВ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5500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- м.п. в траншее, кабель   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2хАПвКсП 3х35-6</w:t>
      </w:r>
      <w:r>
        <w:rPr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 КТП 70-4-44 - 100 кВА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В рамках 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 разработка проектной документации строительства КТП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00/6/0,4;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2. строительство КТП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/6/0,4.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 КТП 70-4-45 - 100 кВА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В рамках 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разработка проектной документации строительства КТП 100/6/0,4;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2. строительство КТП 100/6/0,4.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КТП 70-1-47 - 63 кВА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В рамках 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 разработка проектн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ой документации строительства КТП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63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/6/0,4;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2. строительство КТП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63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/6/0,4.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-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р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еконструкция объекта «Воздушная линия низкого напряжения 0,4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кВ, с. Красноселькуп»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– 170м (участок ул. Нагорная, 54-63)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В рамках 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jc w:val="both"/>
        <w:spacing w:after="0" w:line="240" w:lineRule="auto"/>
        <w:rPr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         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1.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разработка проектной документации реконструкции воздушной линии 0.4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  <w:rPr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2.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реконструкция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воздушной линии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170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м.п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-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реконструкция объекта «Воздушная линия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низкого напряжения 0,4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кВ,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с. Красноселькуп» – 298м (участок 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мкр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. К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униной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).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 В рамках 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1.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р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азработка проектной документации реконструкции воздушной линии 0.4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  <w:rPr>
          <w:highlight w:val="non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2.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реконструкция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воздушной линии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298 м.п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-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р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еконструкция объекта «Воздушная линия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низкого напряжения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0,4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с. Красноселькуп, КТП № 7 - д/д «Родничок»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– 500м (участок - бывший д/д «Родничок»)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В рамках 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  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1.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 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разработка проектной документации реконструкции воздушной линии 0.4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2.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реконструкция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воздушной линии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500 м.п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-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реконструкция объекта «Воздушная линия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низкого напряжения 0,4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кВ,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с. Красноселькуп» – 2022м (участок по пер. Северный)</w:t>
      </w:r>
      <w:r>
        <w:rPr>
          <w:rFonts w:ascii="Liberation Serif" w:hAnsi="Liberation Serif" w:eastAsia="Liberation Serif" w:cs="Liberation Serif"/>
          <w:color w:val="000000"/>
          <w:sz w:val="28"/>
          <w:szCs w:val="28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В рамках 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  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1.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 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разработка проектной документации реконструкции воздушной линии 0.4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</w:pP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2.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реконструкция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воздушной линии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2022 м.п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-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р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еконструкция объекта «Воздушная линия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низкого напряжения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0,4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8"/>
          <w:highlight w:val="white"/>
        </w:rPr>
        <w:t xml:space="preserve">, с. Красноселькуп» – 520м (участок ул. Нагорная, 1)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В рамках реализации данного мероприятия будет выполнено следующее: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  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1.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</w:rPr>
        <w:t xml:space="preserve"> 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разработка проектной документации реконструкции воздушной линии 0.4 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after="0" w:line="240" w:lineRule="auto"/>
        <w:rPr>
          <w:highlight w:val="non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8"/>
          <w:highlight w:val="white"/>
          <w:lang w:eastAsia="ru-RU"/>
        </w:rPr>
        <w:t xml:space="preserve">2.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реконструкция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воздушной линии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520 м.п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строительстве новой жилой застройки в селе необходимым мероприятием будет расширение и модернизация существующих трансформаторных подстанций 6/0,4 кВ, мощностей трансформаторов на которых недос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таточно для покрытия нагрузок потребителей, и сооружение новых квартальных трансформаторных подстанций 6/0,4 кВ. Подключение новых трансформаторных подстанций предусматривается по радиальной схеме.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селе необходимо провести мероприятия по внедрению энерго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сберегающих технологий на предприятиях, позволяющих при тех же технологических режимах значительно сократить потребление электроэнергии; осуществить работу по установке у потребителей приборов учета и систем регулирования всех видов энергии.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4.2. Электрические нагрузки. Проектная схема.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Электрические нагрузки жилищно-коммунального сектора определены по срокам проектирования на основе численности населения, принятой настоящим проектом,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Нормативов для определения расчетных электрических нагрузок зданий (квартир), коттеджей, микрорайонов (кварталов) застройки и элементов распределительной сети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утвержденных приказом Мин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истерства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лива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етики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Росси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йской Федерации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29.07.1999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№ 213. Указанные нормативы учитывают изменения и дополнения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Инструкции по проектированию электрических сетей РД 34.20.185-94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Согласно нормативам, укрупненный показатель расхода электроэнергии коммунально-бытовых потребителей принят на расчетный срок для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населенного пункта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 газовыми плитами – 2170 кВт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×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ч/чел в год, годовое число часов использования максимума электрической нагрузки – 5300. При этом укрупненный показатель удельной расчетной коммунально-бытовой нагрузки составляет в среднем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0,41 кВт/чел.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Максимальная нагрузка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расчетный срок составит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3,92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МВт.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Годовой расход электроэнергии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составит на расчетный срок около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32,26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млн. кВт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×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Рост электрических нагрузок на сроки проектирования обусловлен необходимостью создания комфортных условий для проживания населения и развития промышленности,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сельского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хозяйства и общественно-деловой инфраструктуры.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Покрытие электрических нагрузок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предусматривается от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децентрализованной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энергосистемы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села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за счет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ГПЭС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-70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V. </w:t>
      </w:r>
      <w:bookmarkStart w:id="36" w:name="_Toc118727569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Предложения по строительству, реконструкции и модерниз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ации объектов электроснабжения</w:t>
      </w:r>
      <w:bookmarkEnd w:id="36"/>
      <w:r>
        <w:rPr>
          <w:highlight w:val="white"/>
        </w:rPr>
      </w:r>
      <w:r/>
    </w:p>
    <w:p>
      <w:pPr>
        <w:contextualSpacing/>
        <w:ind w:left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5.1. </w:t>
      </w:r>
      <w:bookmarkStart w:id="37" w:name="_Toc118727570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 реконструируемых и предлагаемых к новому строительству электрических сетях, обеспечивающих перераспределение электрической нагрузки из зон с дефицитом в зоны с избытком электрических мощностей (использование существующих резервов)</w:t>
      </w:r>
      <w:bookmarkEnd w:id="37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Мероприятия по реконструкции и новому строительству электрических сетей, обеспечивающих перераспределение электрической нагрузки из зон с дефицитом в зоны с избытком электрических мощностей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не запланировано.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bookmarkStart w:id="38" w:name="_Toc11872757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5.2. 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с. Красноселькуп</w:t>
      </w:r>
      <w:bookmarkEnd w:id="38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соответствии с таблицей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_Ref116560977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отсутствуют. В связи с этим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реконстру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новое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строительств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электрических сет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обеспечивающих перераспр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еделение электрической нагрузки, не предусматривается.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9" w:name="_Toc11872757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5.3. Сведения об электрических сетях, предлагаемых к новому строительству для обеспечения перспективных приростов электрической нагрузки во вновь осваиваемых районах поселения под жилищную, комплексную или производственную застройку</w:t>
      </w:r>
      <w:bookmarkEnd w:id="39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Схемы прокладки электрических сетей,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предлагаемых к новому строительству для обеспечения перспективных приростов электрической нагрузки во вновь осваиваемых районах поселения под жилищную, комплексную или производственную застройку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представлены в электронной модели и макетах 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Схема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Перечень сетей электроснабжения,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предлагаемых к новому строительству для обеспечения перспективных приростов электрической нагрузки во вновь осваиваемых районах поселения под жилищную, комплексную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или производственную застройку, представлен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_Ref116563898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40" w:name="_Ref116563898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9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bookmarkEnd w:id="40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Перечень сетей электроснабжения, предлагаемых к новому строительству для обеспечения перспективных приростов электрической нагрузки во вновь осваиваемых районах поселения под жилищную, комплексную или производственную застройку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</w:r>
      <w:r>
        <w:rPr>
          <w:highlight w:val="white"/>
        </w:rPr>
      </w:r>
      <w:r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4A0" w:firstRow="1" w:lastRow="0" w:firstColumn="1" w:lastColumn="0" w:noHBand="0" w:noVBand="1"/>
      </w:tblPr>
      <w:tblGrid>
        <w:gridCol w:w="8220"/>
        <w:gridCol w:w="1418"/>
      </w:tblGrid>
      <w:tr>
        <w:trPr>
          <w:trHeight w:val="407"/>
          <w:tblHeader/>
        </w:trPr>
        <w:tc>
          <w:tcPr>
            <w:shd w:val="clear" w:color="auto" w:fill="auto"/>
            <w:tcW w:w="8220" w:type="dxa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Наименование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Срок </w:t>
            </w:r>
            <w:r>
              <w:rPr>
                <w:highlight w:val="white"/>
              </w:rPr>
            </w:r>
            <w:r/>
          </w:p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реализации</w:t>
            </w:r>
            <w:r>
              <w:rPr>
                <w:highlight w:val="white"/>
              </w:rPr>
            </w:r>
            <w:r/>
          </w:p>
        </w:tc>
      </w:tr>
      <w:tr>
        <w:trPr>
          <w:trHeight w:val="219"/>
          <w:tblHeader/>
        </w:trPr>
        <w:tc>
          <w:tcPr>
            <w:shd w:val="clear" w:color="ffffff" w:fill="ffffff"/>
            <w:tcW w:w="8220" w:type="dxa"/>
            <w:vAlign w:val="center"/>
            <w:vMerge w:val="restart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 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8220" w:type="dxa"/>
            <w:vAlign w:val="center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Строительство ВЛЗ 6 кВ  от Л-70-4 3хСИП3 1х95 протяжённостью 50м (участок до КТП 70-4-45)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 2025</w:t>
            </w:r>
            <w:r>
              <w:rPr>
                <w:highlight w:val="white"/>
              </w:rPr>
            </w:r>
            <w:r/>
          </w:p>
        </w:tc>
      </w:tr>
      <w:tr>
        <w:trPr>
          <w:trHeight w:val="137"/>
        </w:trPr>
        <w:tc>
          <w:tcPr>
            <w:shd w:val="clear" w:color="auto" w:fill="auto"/>
            <w:tcW w:w="8220" w:type="dxa"/>
            <w:vAlign w:val="center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Строительство ВЛЗ 6кВ Л-70-3 3хСИП3 1х95, протяжённостью 230м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 2026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  <w:u w:val="none"/>
              </w:rPr>
            </w:r>
            <w:r/>
          </w:p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</w:r>
            <w:r/>
          </w:p>
        </w:tc>
      </w:tr>
      <w:tr>
        <w:trPr>
          <w:trHeight w:val="303"/>
        </w:trPr>
        <w:tc>
          <w:tcPr>
            <w:shd w:val="clear" w:color="ffffff" w:fill="ffffff"/>
            <w:tcW w:w="8220" w:type="dxa"/>
            <w:vAlign w:val="center"/>
            <w:vMerge w:val="restart"/>
            <w:textDirection w:val="lrTb"/>
            <w:noWrap w:val="false"/>
          </w:tcPr>
          <w:p>
            <w:pPr>
              <w:spacing w:after="0" w:afterAutospacing="0" w:line="240" w:lineRule="auto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none"/>
              </w:rPr>
              <w:t xml:space="preserve">С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троительство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объекта «Воздушная линия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высокого напряжения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6,3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, с. Красноселькуп» </w:t>
            </w:r>
            <w:r>
              <w:rPr>
                <w:rFonts w:ascii="Liberation Serif" w:hAnsi="Liberation Serif" w:eastAsia="Liberation Serif" w:cs="Liberation Serif"/>
                <w:spacing w:val="-1"/>
                <w:sz w:val="20"/>
                <w:szCs w:val="24"/>
                <w:highlight w:val="white"/>
                <w:lang w:eastAsia="ru-RU"/>
              </w:rPr>
              <w:t xml:space="preserve">3хСИП3 1х95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протяженностью 403м (участок от пересечения ул. Мамонова и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ул. 70 лет Октября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до ул. 70 лет Октября, д.3)</w:t>
            </w:r>
            <w:r>
              <w:rPr>
                <w:sz w:val="20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 202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none"/>
                <w:u w:val="none"/>
              </w:rPr>
              <w:t xml:space="preserve">3</w:t>
            </w: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  <w:u w:val="none"/>
              </w:rPr>
            </w:r>
            <w:r/>
          </w:p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W w:w="8220" w:type="dxa"/>
            <w:vAlign w:val="center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Реконструкция объекта «Воздушная линия высокого напряжения 6,3 кВ., с. Красноселькуп, Фидер № 2, Электростанция - КТП № 24, № 10, № 26 с отходными линиями» – 70м (участок ул. Огнеборцев)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202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4</w:t>
            </w:r>
            <w:r>
              <w:rPr>
                <w:highlight w:val="white"/>
              </w:rPr>
            </w:r>
            <w:r/>
          </w:p>
        </w:tc>
      </w:tr>
      <w:tr>
        <w:trPr>
          <w:trHeight w:val="372"/>
        </w:trPr>
        <w:tc>
          <w:tcPr>
            <w:shd w:val="clear" w:color="auto" w:fill="auto"/>
            <w:tcW w:w="8220" w:type="dxa"/>
            <w:vAlign w:val="center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highlight w:val="white"/>
                <w:u w:val="non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Строительство КЛ 6 кВ Л-70-1 в траншее из 2хАПвКсП 3х35-6 – 5500м (участок на Дальний Привод)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W w:w="1418" w:type="dxa"/>
            <w:vAlign w:val="center"/>
            <w:textDirection w:val="lrTb"/>
            <w:noWrap/>
          </w:tcPr>
          <w:p>
            <w:pPr>
              <w:jc w:val="center"/>
              <w:rPr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2026</w:t>
            </w:r>
            <w:r>
              <w:rPr>
                <w:highlight w:val="white"/>
              </w:rPr>
            </w:r>
            <w:r/>
          </w:p>
        </w:tc>
      </w:tr>
      <w:tr>
        <w:trPr>
          <w:trHeight w:val="122"/>
        </w:trPr>
        <w:tc>
          <w:tcPr>
            <w:shd w:val="clear" w:color="ffffff" w:fill="ffffff"/>
            <w:tcW w:w="8220" w:type="dxa"/>
            <w:vAlign w:val="center"/>
            <w:vMerge w:val="restart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Реконструкция объекта «Воздушная линия низкого напряжения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, с. Красноселькуп»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– 170м (участок ул. Нагорная, 54-63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  <w:t xml:space="preserve">2023</w:t>
            </w:r>
            <w:r>
              <w:rPr>
                <w:highlight w:val="white"/>
              </w:rPr>
            </w:r>
            <w:r/>
          </w:p>
        </w:tc>
      </w:tr>
      <w:tr>
        <w:trPr>
          <w:trHeight w:val="152"/>
        </w:trPr>
        <w:tc>
          <w:tcPr>
            <w:shd w:val="clear" w:color="ffffff" w:fill="ffffff"/>
            <w:tcW w:w="8220" w:type="dxa"/>
            <w:vAlign w:val="center"/>
            <w:vMerge w:val="restart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Реконструкция объекта «Воздушная линия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низкого напряжения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, с. Красноселькуп»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, –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298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м (участок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мкр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.К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униной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)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  <w:t xml:space="preserve">2023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r>
            <w:r/>
          </w:p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r>
            <w:r/>
          </w:p>
        </w:tc>
      </w:tr>
      <w:tr>
        <w:trPr>
          <w:trHeight w:val="288"/>
        </w:trPr>
        <w:tc>
          <w:tcPr>
            <w:shd w:val="clear" w:color="ffffff" w:fill="ffffff"/>
            <w:tcW w:w="8220" w:type="dxa"/>
            <w:vAlign w:val="center"/>
            <w:vMerge w:val="restart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highlight w:val="yellow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Реконструкция объекта «Воздушная линия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низкого напряжения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0,4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sz w:val="20"/>
                <w:szCs w:val="28"/>
                <w:highlight w:val="white"/>
              </w:rPr>
              <w:t xml:space="preserve">с. Красноселькуп, КТП № 7 - д/д «Родничок»</w:t>
            </w:r>
            <w:r>
              <w:rPr>
                <w:rFonts w:ascii="Liberation Serif" w:hAnsi="Liberation Serif" w:eastAsia="Liberation Serif" w:cs="Liberation Serif"/>
                <w:spacing w:val="-1"/>
                <w:sz w:val="20"/>
                <w:szCs w:val="28"/>
                <w:highlight w:val="white"/>
                <w:lang w:eastAsia="ru-RU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– 500м (участок - бывший д/д «Родничок»)</w:t>
            </w:r>
            <w:r>
              <w:rPr>
                <w:sz w:val="20"/>
                <w:highlight w:val="yellow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  <w:t xml:space="preserve">2023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r>
            <w:r/>
          </w:p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r>
            <w:r/>
          </w:p>
        </w:tc>
      </w:tr>
      <w:tr>
        <w:trPr>
          <w:trHeight w:val="402"/>
        </w:trPr>
        <w:tc>
          <w:tcPr>
            <w:shd w:val="clear" w:color="ffffff" w:fill="ffffff"/>
            <w:tcW w:w="8220" w:type="dxa"/>
            <w:vAlign w:val="center"/>
            <w:vMerge w:val="restart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Реконструкция объекта «Воздушная линия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низкого напряжения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, с. Красноселькуп»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–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2022м (участок по пер. Северный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  <w:t xml:space="preserve">2025</w:t>
            </w:r>
            <w:r>
              <w:rPr>
                <w:highlight w:val="white"/>
              </w:rPr>
            </w:r>
            <w:r/>
          </w:p>
        </w:tc>
      </w:tr>
      <w:tr>
        <w:trPr>
          <w:trHeight w:val="0"/>
        </w:trPr>
        <w:tc>
          <w:tcPr>
            <w:shd w:val="clear" w:color="ffffff" w:fill="ffffff"/>
            <w:tcW w:w="8220" w:type="dxa"/>
            <w:vAlign w:val="center"/>
            <w:vMerge w:val="restart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Реконструкция объекта «Воздушная линия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низкого напряжения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, с. Красноселькуп»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–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520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м (участок ул. Нагорная, 1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418" w:type="dxa"/>
            <w:vAlign w:val="center"/>
            <w:vMerge w:val="restart"/>
            <w:textDirection w:val="lrTb"/>
            <w:noWrap/>
          </w:tcPr>
          <w:p>
            <w:pPr>
              <w:pStyle w:val="985"/>
              <w:jc w:val="center"/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8"/>
                <w:highlight w:val="white"/>
              </w:rPr>
              <w:t xml:space="preserve">2025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ля обеспечения перспективных приростов электрической нагрузки во вновь осваиваемых районах поселения под жилищную, комплексную или производственную застройку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предлагается строительство следующих объектов: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создание (приобретение) объекта генерации электрической энергии, мощностью 12 МВт в с. Красноселькуп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2026 год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внутриплощадочные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работы и система выдачи электрической энергии в 2023 году;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 КТП 70-4-44 - 100 кВА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2027 году;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 КТП 70-4-45 - 100 кВА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2025 году;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 КТП 70-1-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47 - 63 кВА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202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7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году;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5.4. </w:t>
      </w:r>
      <w:bookmarkStart w:id="41" w:name="_Toc118727573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об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электрических сетях, предлагаемых к новому строительству для обеспечения перспективных приростов электрической нагрузки в зонах с дефицитом электрической мощности с перераспределением электрической мощности от действующих объектов системы электроснабжения.</w:t>
      </w:r>
      <w:bookmarkEnd w:id="41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соответствии с таблицей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_Ref116560977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отсутствуют.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связи с этим перераспределение электрической нагрузки не предусматривается.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highlight w:val="white"/>
        </w:rPr>
      </w:r>
      <w:bookmarkStart w:id="42" w:name="_Toc11872757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5.5. Сведения об электрических сетях, предлагаемых к новому строительству для обеспечения нормативной надежности и безопасности электроснабжения</w:t>
      </w:r>
      <w:bookmarkEnd w:id="4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Электросетевым хозяйством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обеспечивается нормативная надёжность и безопасность электроснабжения. В связи с этим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ново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строительств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 электрических сетей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для обеспечения нормативной надежности и безопасности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потребителей не предусматривается.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5.6. </w:t>
      </w:r>
      <w:bookmarkStart w:id="43" w:name="_Toc11872757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об участках электрических сетей, обеспечивающих вывод электрической мощности от вновь строящихся и реконструируемых объектов системы электроснабжения</w:t>
      </w:r>
      <w:bookmarkEnd w:id="43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 и реконструкция объектов системы электроснабжения,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которых потребуется вывод электрической мощности, не предполагается.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5.7. </w:t>
      </w:r>
      <w:bookmarkStart w:id="44" w:name="_Toc118727576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 реконструируемых участках электрической сети с увеличением ее пропускной способности для обеспечения перспективных приростов электрической нагрузки</w:t>
      </w:r>
      <w:bookmarkEnd w:id="4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Мероприятия по реконструкции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участк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электрической сети с увеличением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пропускной способности для обеспечения перспективных приростов электрической нагрузки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 требуется.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ля обеспечения перспективных приростов электрической нагрузки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с. Красноселькуп требуется 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еконструкция существующей КТП 70-2-11 - 630 кВА с расширением до 2х трансформаторной ТП 2х630кВА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2023-2024 годах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5.8. </w:t>
      </w:r>
      <w:bookmarkStart w:id="45" w:name="_Toc118727577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 реконструируемых участках электрической сети, подлежащих замене в связи с исчерпанием эксплуатационного ресурса (при этом остаточный ресурс требуется определять по текущему состоянию).</w:t>
      </w:r>
      <w:bookmarkEnd w:id="45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Информация о реконструируемых участках электрической сети, подлежащих замене в связи с исчерпанием эксплуатационного ресурса, отсутствует.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5.9. </w:t>
      </w:r>
      <w:bookmarkStart w:id="46" w:name="_Toc118727578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 диспетчеризации, телемеханизации и автоматизированных системах управления режимами электроснабжения.</w:t>
      </w:r>
      <w:bookmarkEnd w:id="46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Автоматизированные 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стемы управления электроснабжением (АСУЭ) выполняют функции дистанционного контроля и управления распределением электроэнергии на предприятии. Основной целью их создания является обеспечение бесперебойного, стабильного электроснабжения предприятия за счет: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предоставления оперативному и диспетчерскому персоналу достоверной информации по текущим характеристикам сетей электроснабжения, состоянию и режимам работы энергетического оборудования электрических подстанций;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реализации функций телеуправления объектами электроснабжения в дистанционном режиме;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предупреждения ошибочных действий персонала, обеспечения своевременного и грамотного реагирования на предаварийные и аварийные ситуации;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автоматического ведения журналов технологических событий и предоставления инструментов для просмотра и анализа аварийных осцил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ограмм, действий операторов, истории изменения контролируемых параметров.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Источниками эффективности применения автоматизированных систем управления электроснабжением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повышение надежности функционирования энергосистемы предприятия. Минимизация простоев технологического оборудования, связанных с перебоями электроснабжения и низким качеством электроэнергии;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повышение качества планирования и управления потреблением электроэнергии. Увеличение коэффициента использования выделенного лимита мощности, минимизация штрафов за превышение лимитов;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повышение прозрачности расчетов с субабонентами;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предупреждение ошибочных действий эксплуатационного и оперативно-диспетчерского персонала. Минимизация последствий нештатных ситуаций;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снижение трудозатрат на сбор первичной информации и формирование отчетных документов.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Структура автоматизированных систем управления электроснабжением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Нижний уровень систем АС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УЭ образуют измерительные преобразователи тока и напряжения, средства технического учета электроэнергии, системы противоаварийной защиты и автоматики, иные устройства, обеспечивающие измерение и регулирование режимов работы оборудования электрической сети.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Первичные данные о состоянии и режимах работы подстанций,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араметрах выработки и потребления электроэнергии поступают на устройства сбора, предварительной обработки, агрегирования телемеханической информации и данных технического учета электроэнергии, образующие средний уровень систем управления электроснабжением.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Агрегированные, предварительно обработанные данные с подстанций поступают на верхний уровень АСУЭ, на сервера подсистемы сбора и обработки технологической информации, сервера долговременного хранения данных и выводятся на экран коллекти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вного использования в диспетчерской, а также на АРМ специалистов (энергодиспетчера, инженера-релейщика, специалистов службы главного энергетика и др.) в формате мнемосхем, графиков, диаграмм, таблиц, сводных панелей показателей, цифровых и текстовых табло.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5.10. Основные функциональные возможности систем управления электроснабжением</w:t>
      </w:r>
      <w:r>
        <w:rPr>
          <w:rFonts w:ascii="Liberation Serif" w:hAnsi="Liberation Serif" w:eastAsia="Liberation Serif" w:cs="Liberation Serif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Основное предназначение систем АСУЭ – обеспечить эффективное оперативно-диспетчерское управление объектами электроснабжения в нормальных, переходных и аварийных режимах. Поэтому, к числу их основных функций относятся: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параметров работы электрической сети и силового оборудования (значение токов, напряжений, мощностей, частоты и др.);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положения коммутационных аппаратов;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состояния основного и вспомогательного электрооборудования;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неэлектрических параметров функционирования подстанций (сигналы охранной и пожарной сигнализации, температурный режим на подстанции и др.);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вычисление расчетных величин (расчет линейных напряжений и токов по фазным, 3Uo, 3Io. U2, I2 и др.);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и регистрация выхода измеряемых параметров за установленные границы, регистрация аварийных событий и нарушений;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формирование сообщений предупредительной и аварийной сигнализации;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изменение уставок работы оборудования, формирование и передача команд телеуправления на устройства нижнего 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диагностика и самодиагностика комплекса технических средств системы: измерительных, регистрирующих и регулирующих устройств, линий связи, серверного 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ведение архивов измеряемых и рассчитываемых значений, ведение журналов действий пользователя в системе;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формирование технической, оперативной, эксплуатационной и отчетной документации;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обмен информацией со смежными и внешними информационными системами.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зависимости от задач Заказчика в системах управления электроснабжением может быть такж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реализована функциональность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информационно-аналитических систем управления энергоэффективностью в части учета и анализа параметров потребления электрической энергии, в том числе: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учёт потребления электроэнергии на различные нужды (потребление по отдельным производствам, цехам, участкам);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сравнение потребления однотипных потребителей;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анализ почасовых и сезонных профилей потребления;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над ростом и равномерным распределением нагрузок;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параметров по договорам энергоснабжения;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оперативное планирование потребления электроэнергии;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вычисление балансов электроэнергии, сравнение с проектными решениями, выявление нерационального использования и потерь электрической энергии.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В настоящее время у ООО ЭК «ТВЭ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С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» отсутствует автоматизированная система сбора, обработки и хранения показаний приборов учёта электроэнергии. Снятие расчетных и контрольных показаний происходит в ручном режиме, что приводит 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рассогласованиям при сведении балансов вследствие разности временных промежутков снятия показаний.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рамках реализации инвестиционной программы ООО ЭК «ТВЭС» планируется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создание интеллектуальной системы учета электрической энергии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5.11.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47" w:name="_Toc118727579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об автоматической системе контроля и упр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авления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энергоресурсами (АСКУЭ)</w:t>
      </w:r>
      <w:bookmarkEnd w:id="47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АСКУЭ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позволяет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своевременно собирать данные по всем потребителям как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напряжению, так и по мощности.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осле этого автоматизированная программа обрабатывает всю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собранную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информацию и составляется подробный отчёт.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Инженерно-технические работники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проводят анализ, а также составляют прогноз на предстоящий период.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этого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выполн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ряд обязательных требований:</w:t>
      </w:r>
      <w:r>
        <w:rPr>
          <w:highlight w:val="white"/>
        </w:rPr>
      </w:r>
      <w:r/>
    </w:p>
    <w:p>
      <w:pPr>
        <w:pStyle w:val="955"/>
        <w:numPr>
          <w:ilvl w:val="0"/>
          <w:numId w:val="2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всех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ключевых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участках потребления электроэнергии устан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овлены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инновационные средства учёта — счётчики;</w:t>
      </w:r>
      <w:r>
        <w:rPr>
          <w:highlight w:val="white"/>
        </w:rPr>
      </w:r>
      <w:r/>
    </w:p>
    <w:p>
      <w:pPr>
        <w:pStyle w:val="955"/>
        <w:numPr>
          <w:ilvl w:val="0"/>
          <w:numId w:val="2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абсолютно все поступающие от счётчиков цифровые сигналы хран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ся в специальных блоках — сумматорах, с большой памятью;</w:t>
      </w:r>
      <w:r>
        <w:rPr>
          <w:highlight w:val="white"/>
        </w:rPr>
      </w:r>
      <w:r/>
    </w:p>
    <w:p>
      <w:pPr>
        <w:pStyle w:val="955"/>
        <w:numPr>
          <w:ilvl w:val="0"/>
          <w:numId w:val="2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обустро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центры, где обраба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тываться все полученные данные, которые оснащены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компьютерами и современным программным обеспечением;</w:t>
      </w:r>
      <w:r>
        <w:rPr>
          <w:highlight w:val="white"/>
        </w:rPr>
      </w:r>
      <w:r/>
    </w:p>
    <w:p>
      <w:pPr>
        <w:pStyle w:val="955"/>
        <w:numPr>
          <w:ilvl w:val="0"/>
          <w:numId w:val="2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вся система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обвяза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линиями связи, при помощи которых все отчёты отправля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ся потребителям и подотчётным предприятиям.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труктурн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схем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АСКУЭ раздел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три общих блока. Блок под номером один включает в себя мощные агрегаты для учёта энергии, представленные индукционными или же электронными электросчётч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иками. Такие приборы установлены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исключительно у потребител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Если же вмонтирован инновационный счётчик, то сбор необходимой информации осуществл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через встроенный порт связи.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 сегодняшний день основной процент приборов комплектуется на заводе мощным интерфейсом для включения в АСКУЭ. Если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уется счётчик старого образца 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индукционный, то специалисты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ЭСО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дополнительно оснащают его считывающим устройством, за счёт этого происходит передача данных.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Второй блок выполняет все функции связи.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оказания, которые были удачно собраны ещё на первом этапе, надёжно защищены от взлома мошенниками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переда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несколькими способами:</w:t>
      </w:r>
      <w:r>
        <w:rPr>
          <w:highlight w:val="white"/>
        </w:rPr>
      </w:r>
      <w:r/>
    </w:p>
    <w:p>
      <w:pPr>
        <w:pStyle w:val="955"/>
        <w:numPr>
          <w:ilvl w:val="0"/>
          <w:numId w:val="25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через обычные телефонные линии связи;</w:t>
      </w:r>
      <w:r>
        <w:rPr>
          <w:highlight w:val="white"/>
        </w:rPr>
      </w:r>
      <w:r/>
    </w:p>
    <w:p>
      <w:pPr>
        <w:pStyle w:val="955"/>
        <w:numPr>
          <w:ilvl w:val="0"/>
          <w:numId w:val="25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передача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Интернету</w:t>
      </w:r>
      <w:r>
        <w:rPr>
          <w:rFonts w:ascii="Liberation Serif" w:hAnsi="Liberation Serif" w:eastAsia="Liberation Serif" w:cs="Liberation Serif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25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мобильная связь разных стандартов (3G, GPRS, Wi-Fi).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Совокупность всех существующих способов для гарантированной безотказной работы системы.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Третий блок сочетает в себе специализированные средства компьютерн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ой обработки полученных данных.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этом этапе вся собранная информация обрабатывается и анализируется. С технической стороны третий блок обязательно состоит из мощного сервера или же компьютера с актуа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льным программным обеспечением.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В настоящее время у ООО ЭК «ТВЭС» отсутствует автоматизированная система сбора, обработки и хранения показаний приборов учёта электроэнергии. Снятие расчетных и контрольных показаний происходит в ручном режиме, что приводит 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рассогласованиям при сведении балансов вследствие разности временных промежутков снятия показаний.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рамках реализации инвестиционной программы ООО ЭК «ТВЭС» планируется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создание интеллектуальной системы учета электрической энергии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  <w:t xml:space="preserve">VI</w:t>
      </w:r>
      <w:r>
        <w:rPr>
          <w:rFonts w:ascii="Liberation Serif" w:hAnsi="Liberation Serif" w:eastAsia="Liberation Serif" w:cs="Liberation Serif"/>
          <w:b/>
          <w:sz w:val="28"/>
          <w:highlight w:val="white"/>
          <w:lang w:val="ru-RU"/>
        </w:rPr>
        <w:t xml:space="preserve">.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48" w:name="_Toc118727580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Перспективные балансы производств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а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и потребления электроэнергии</w:t>
      </w:r>
      <w:bookmarkEnd w:id="48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Перспективные балансы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производства и потребления электроэнергии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_Ref116565516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10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49" w:name="_Ref116565516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10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bookmarkEnd w:id="49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Перспективные балансы производства и потребления электроэнергии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ook w:val="04A0" w:firstRow="1" w:lastRow="0" w:firstColumn="1" w:lastColumn="0" w:noHBand="0" w:noVBand="1"/>
      </w:tblPr>
      <w:tblGrid>
        <w:gridCol w:w="1528"/>
        <w:gridCol w:w="5828"/>
        <w:gridCol w:w="2271"/>
      </w:tblGrid>
      <w:tr>
        <w:trPr>
          <w:trHeight w:val="20"/>
          <w:tblHeader/>
        </w:trPr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показателя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Суммарное поступление за год,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кВт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×ч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7"/>
          <w:tblHeader/>
        </w:trPr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 г.</w:t>
            </w:r>
            <w:r>
              <w:rPr>
                <w:highlight w:val="white"/>
              </w:rPr>
            </w:r>
            <w:r/>
          </w:p>
        </w:tc>
      </w:tr>
      <w:tr>
        <w:trPr>
          <w:trHeight w:val="177"/>
          <w:tblHeader/>
        </w:trPr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Выработано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32 255 057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Отпущено на собственные и технологические нужды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1 588 028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Отпуск (факт), в т.ч.: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30 667 029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смежным сетевым организациям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полезный отпуск конечным потребителям, всего, в т.ч.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24 474 246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население, потребители, приравненные к населению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8 013 003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бюджетные организации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3 592 358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прочие потребители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12 868 885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Потери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6 192 783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1528" w:type="dxa"/>
            <w:vAlign w:val="center"/>
            <w:vMerge w:val="continue"/>
            <w:textDirection w:val="lrTb"/>
            <w:noWrap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5828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Mar>
              <w:left w:w="28" w:type="dxa"/>
              <w:top w:w="0" w:type="dxa"/>
              <w:right w:w="28" w:type="dxa"/>
              <w:bottom w:w="0" w:type="dxa"/>
            </w:tcMar>
            <w:tcW w:w="227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20%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VII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.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50" w:name="_Toc118727581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Экологические аспекты мероприятий по строительству и реконструкции о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бъектов электроснабжения</w:t>
      </w:r>
      <w:bookmarkEnd w:id="50"/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проектировании, строительстве, реконструкции, эксплуатации и снятии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эксплуатации предприятий, зданий и сооружений необходимо предусматривать мероприятия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охране природы, рациональному использованию и воспроизводству природных ресурсов, 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также выполнять требования экологической безопасности проектируемых объектов и охраны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здоровья населения.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Технические решения при строительстве объектов электроэнергетики должны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соответствовать требованиям действующих экологических, санитарно-гигиенических,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противопожарных и других норм, правил, государственных стандартов и обеспечивать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безопасную для жизни людей и щадящую для окружающей среды эксплуатацию объектов.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целях обеспечения безопасности населения и в соответствии с Федеральным законом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 санитарно-эпидемиологическом благополучии населения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 30.03.1999 № 52-ФЗ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объектов и производств, являющихся источниками воздействия на среду обитания и здоровье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человека, устанавливается специальная территория с особым режимом использования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санитарно-защитная зона (СЗЗ), размер которой обеспечивает уменьшение воздействия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загрязнения на атмосферный воздух (химического, биологического, физического) до значений,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установленных гигиеническими нормативами, а для предприятий I и II класса опасности как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значений, установленных гигиеническими нормативами, так и до величин приемлемого риска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здоровья населения.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своему функциональному назначению санитарно-защитная зона является защитным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барьером, обеспечивающим уровень безопасности населения при эксплуатации объекта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штатном режиме.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Санитарно-защитные зоны устанавливаются в соответствии с СанПиН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2.2.1/2.1.1.1200 03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Санитарно-защитные зоны и санитарная классификация предприятий, сооружений и иных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объектов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Охранная зона объектов инженерной и транспортной инфраструктуры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это территория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особыми условиями использования, которая устанавливается в порядке, определяемом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Правительством Российской Федерации, вокруг объектов инженерной, транспортной и иных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инфраструктур в целях обеспечения охраны окружающей природной среды, нормальных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условий эксплуатации таких объектов и исключения возможности их повреждения.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Охранные зоны выделяются для: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электрических сетей;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линий и сооружений связи;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систем газоснабжения;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магистральных трубопроводов;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автомобильных дорог.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Охранные зоны электрических сетей устанавливаются для электроподстанций,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распределительных устройств, воздушных линий электропередач, подземных и подводных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кабельных линий электропередачи.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Использование территорий, находящихся в зоне ЛЭП, регулируется Правилами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установления охранных зон объектов электросетевого хозяйства и особых условий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использования земельных участков, расположенных в границах таких зон (Постановление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Правительства 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оссийской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едерации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 порядке установления охранных зон объектов электросетевого хозяйства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особых условий использования земельных участков, расположенных в границах таких зон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24.02.2009 № 160).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Введение таких правил обусловлено вредным воздействием электромагнитного поля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здоровье человека.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Так, по информации Центра электромагнитной безопасности, в соответствии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результатами проведённых исследований, установлено, что у людей, проживающих вблизи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линий электропередачи и трансформаторных подстанций, могут возникать изменения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функционального состояния нервной, сердечно-сосудистой, нейрогормональной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эндокринной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систем, нарушаться обменные процессы, иммунитет и воспроизводительная функции.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Поэтому, чем дальше от источников электромагнитного поля находится строение, тем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лучше.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то же время существуют такие зоны, где строительство категорически запрещено.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Дальность распространения электромагнитного поля (и опасного магнитного поля)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ЛЭП напрямую зависит от её мощности.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Исходя из мощности ЛЭП, для защиты населения от действия электромагнитного поля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установлены санитарно-защитные зоны для линий электропередачи (санитарные правила СНиП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№ 2971-84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Защита населения от воздействия электрического поля, создаваемого воздушными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линиями электропередачи переменного тока промышленной частоты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воздушных высоковольтных линий электропередачи (ВЛ) устанавливаются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санитарно-защитные зоны по обе стороны от проекции на землю крайних проводов.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Эти зоны определяют минимальные расстояния до ближайших жилых, производственных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непроизводственных зданий и сооружений:</w:t>
      </w:r>
      <w:r>
        <w:rPr>
          <w:highlight w:val="white"/>
        </w:rPr>
      </w:r>
      <w:r/>
    </w:p>
    <w:p>
      <w:pPr>
        <w:pStyle w:val="955"/>
        <w:numPr>
          <w:ilvl w:val="0"/>
          <w:numId w:val="27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 метра – для ВЛ ниже 1кВ;</w:t>
      </w:r>
      <w:r>
        <w:rPr>
          <w:highlight w:val="white"/>
        </w:rPr>
      </w:r>
      <w:r/>
    </w:p>
    <w:p>
      <w:pPr>
        <w:pStyle w:val="955"/>
        <w:numPr>
          <w:ilvl w:val="0"/>
          <w:numId w:val="27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10 метров – для ВЛ 1- 20 кВ;</w:t>
      </w:r>
      <w:r>
        <w:rPr>
          <w:highlight w:val="white"/>
        </w:rPr>
      </w:r>
      <w:r/>
    </w:p>
    <w:p>
      <w:pPr>
        <w:pStyle w:val="955"/>
        <w:numPr>
          <w:ilvl w:val="0"/>
          <w:numId w:val="27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15 метров – для ВЛ 35 кВ;</w:t>
      </w:r>
      <w:r>
        <w:rPr>
          <w:highlight w:val="white"/>
        </w:rPr>
      </w:r>
      <w:r/>
    </w:p>
    <w:p>
      <w:pPr>
        <w:pStyle w:val="955"/>
        <w:numPr>
          <w:ilvl w:val="0"/>
          <w:numId w:val="27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20 метров – для ВЛ 110 кВ;</w:t>
      </w:r>
      <w:r>
        <w:rPr>
          <w:highlight w:val="white"/>
        </w:rPr>
      </w:r>
      <w:r/>
    </w:p>
    <w:p>
      <w:pPr>
        <w:pStyle w:val="955"/>
        <w:numPr>
          <w:ilvl w:val="0"/>
          <w:numId w:val="27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25 метров – для ВЛ 150-220 кВ;</w:t>
      </w:r>
      <w:r>
        <w:rPr>
          <w:highlight w:val="white"/>
        </w:rPr>
      </w:r>
      <w:r/>
    </w:p>
    <w:p>
      <w:pPr>
        <w:pStyle w:val="955"/>
        <w:numPr>
          <w:ilvl w:val="0"/>
          <w:numId w:val="27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30 метров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для ВЛ 330 кВ, 400 кВ, 500 кВ;</w:t>
      </w:r>
      <w:r>
        <w:rPr>
          <w:highlight w:val="white"/>
        </w:rPr>
      </w:r>
      <w:r/>
    </w:p>
    <w:p>
      <w:pPr>
        <w:pStyle w:val="955"/>
        <w:numPr>
          <w:ilvl w:val="0"/>
          <w:numId w:val="27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40 метров – для ВЛ 750 кВ;</w:t>
      </w:r>
      <w:r>
        <w:rPr>
          <w:highlight w:val="white"/>
        </w:rPr>
      </w:r>
      <w:r/>
    </w:p>
    <w:p>
      <w:pPr>
        <w:pStyle w:val="955"/>
        <w:numPr>
          <w:ilvl w:val="0"/>
          <w:numId w:val="27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55 метров – для ВЛ 1150 кВ;</w:t>
      </w:r>
      <w:r>
        <w:rPr>
          <w:highlight w:val="white"/>
        </w:rPr>
      </w:r>
      <w:r/>
    </w:p>
    <w:p>
      <w:pPr>
        <w:pStyle w:val="955"/>
        <w:numPr>
          <w:ilvl w:val="0"/>
          <w:numId w:val="27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100 метров – для ВЛ через водоёмы (реки, каналы, озёра и др.).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 допускается прохождение ЛЭП по территориям стадионов, учебных и детских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учреждений.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Допускается для ЛЭП (ВЛ) до 20 кВ принимать расстояние от крайних проводов до границ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приусадебных земельных участков, индивидуальных домов и коллективных садовых участков 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менее 20 метров.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Прохождение ЛЭП (ВЛ) над зданиями и сооружениями, как правило, не допускается.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Допускается прохождение ЛЭП (ВЛ) над производственными зданиями и сооружениями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промышленных предприятий I-II степени огнестойкости в соответствии со строительными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нормами и правилами по пожарной безопасности зданий и сооружений с кровлей из негорючих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материалов (для ВЛ 330-750 кВ только над производственными зданиями электрических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подстанций.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охранной зоне ЛЭП (ВЛ) запрещается: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производить строительство, капитальный ремонт, снос любых зданий и сооружений;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осуществлять всякого рода горные, взрывные, мелиоративные работы, производить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посадку деревьев, полив сельскохозяйственных культур;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размещать автозаправочные станции;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загромождать подъезды и подходы к опорам ВЛ;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устраивать свалки снега, мусора и грунта;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складировать корма, удобрения, солому, разводить огонь;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устраивать спортивные площадки, стадионы, остановки транспорта, проводить любые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мероприятия, связанные с большим скоплением людей.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Проведение необходимых мероприятий в охранной зоне ЛЭП может выполняться только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получении письменного разрешения на производство работ от предприятия (организации),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ведении которых находятся эти сети.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Нарушение требований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Правил охраны электрических сетей напряжение свыше 1000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оно вызвало перерыв в обеспечении электроэнергией, может повлечь следующую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административную ответственность: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физические лица наказываются штрафом в размере от 5 до 10 минимальных размеров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оплаты труда;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юридические лица наказываются штрафом от 100 до 200 МРОТ.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соответствии с п.7.1.10 СанПиН 2.2.1/2.1.1.1200-03 для электроподстанций размер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санитарно-защитной зоны устанавливается в зависимости от типа (открытые, закрытые),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мощности на основании расчетов физического воздействия на атмосферный воздух, а также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результатов натурных измерений.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целях защиты населения от воздействия электрического поля, необходимо соблюдать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санитарные разрывы вдоль линий электропередач.</w:t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  <w:t xml:space="preserve">VIII</w:t>
      </w:r>
      <w:r>
        <w:rPr>
          <w:rFonts w:ascii="Liberation Serif" w:hAnsi="Liberation Serif" w:eastAsia="Liberation Serif" w:cs="Liberation Serif"/>
          <w:b/>
          <w:sz w:val="28"/>
          <w:highlight w:val="white"/>
          <w:lang w:val="ru-RU"/>
        </w:rPr>
        <w:t xml:space="preserve">.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51" w:name="_Toc118727582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Оценка надежности и безопас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ности системы электроснабжения</w:t>
      </w:r>
      <w:bookmarkEnd w:id="51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8.1. Под надежностью системы электроснабжения необходимо понимать вероятность того,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что устройство или система будут в полном объеме выполнять свои функции в течение заданного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промежутка времени или при заданных условиях работы.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8.2. Линии электропередачи (ЛЭП).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Самым ненадежным элементом систем электроснабжения являются ЛЭП из-за 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большой протяженности и влияния на них большого числа различных внешних воздействий.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сетях населенных пунктов по статистике около 90-95 % отключений приходятся на долю ЛЭП.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Отказом линии электропередачи называется всякое вынужденное отключение при 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повреждениях.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Различают устойчивые повреждения воздушных линий (опоры, провода, изоляторы)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неустойчивые (самовосстанавливающиеся). Последние ликвидируются путем успешного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действия устройств автоматического повторного включения (АПВ) или ручного включения.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Основными причинами повреждения воздушных линий (ВЛ)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грозовые перекрытия изоляции;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гололедно-изморозевые отложения;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ветровые нагрузки;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вибрация и пляска проводов;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возгорание деревянных опор;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ослабление прочности деталей опор;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опор и проводов автотранспортом и др.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Внешние воздействия приводят к перекрытию изоляции, разрушению изоляторов, обрыву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проводов, падению опор.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Повреждения ВЛ возможны и в нормальных условиях работы из-за: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превышения фактических электрических нагрузок расчетных значений;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дефектов, возникших при изготовлении опор, проводов, изоляторов;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неправильного применения типов проводов, опор, изоляторов по природноклиматическим зонам;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нарушения правил монтажа и сооружения ВЛ;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недостатков эксплуатации (несоблюдения сроков и объемов проверок, текущих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капитальных ремонтов).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8.3. Силовые трансформаторы.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Этот вид оборудования повреждается значительно реже, чем линии электропередачи,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однако его отказ ведет к более тяжким последствиям, и восстановление работоспособности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требует длительного времени.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Основные причины повреждения силовых трансформаторов: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изоляции обмоток трансформатора из-за дефектов конструкции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изготовления, а также из-за воздействия внешних перенапряжений в сети и токов короткого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замыкания;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переключателей (в основном регулируемых под нагрузкой), обусловленное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конструктивными и технологическими дефектами;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вводов, в основном при воздействии внешних перенапряжений в сети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(перекрытие внешней или внутренней изоляции, механические повреждения, некачественные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контактные соединения).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 трансформаторов больших габаритов производится на месте. Он требует, как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правило, выемки керна трансформатора, применения подъемных механизмов и может длиться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несколько суток.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 трансформаторов малых габаритов на напряжение 6-20 кВ производится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централизованно в мастерских предприятий электрических сетей.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Основные способы повышения надежности эксплуатации трансформаторов: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тщательная приемка в эксплуатацию с выполнением контрольных испытаний;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периодические осмотры и проверки в процессе эксплуатации с соблюдением требуемых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сроков и объема испытаний;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соблюдение режимов работы трансформаторов, не допускающих значительной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перегрузки в течение длительного времени;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установка в сети средств снижения мощности коротких замыканий (реакторов)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величины перенапряжений (разрядников).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8.4. Коммутационные электрические аппараты.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коммутационных аппаратов (автоматических выключателей, разъединителей,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короткозамыкателей, отделителей) происходят при отключении коротких замыканий,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выполнении ими различных операций, а также в стационарном состоянии.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Основная причина повреждений коммутационных аппаратов – механические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повреждения, связанные с несовершенством конструкции, нарушением технологии изготовления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или правил эксплуатации. Среди них следует выделить дефекты контактных соединений,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неполадки в электроприводе, повреждения из-за ошибочных действий персонала, а также отказы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выполнении операций включения из-за некачественной регулировки, настройки или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вследствие обледенения.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Электрические повреждения коммутационных аппаратов вызываются перекрытием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изоляции при внешних и внутренних перенапряжениях, пробоем внутрибаковой изоляции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выключателей и пр.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Имеют большую повреждаемость линейные разъединители 6-10 кВ из-за недостатков 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конструктивного исполнения.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короткозамыкателей причиной отказов могут быть также самопроизвольные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включения, а для отделителей – отказы в бестоковую паузу.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отказам предохранителей относятся их повреждения, а также неселективные и ложные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срабатывания.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8.5. Релейная защита и автоматика.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Отказами устройств релейной защиты и автоматики (РЗА)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отказы в срабатывании при наличии требования (команды) на срабатывание;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ложные срабатывания при отсутствии требования (команды) на срабатывание;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срабатывания при несоответствии командного импульса, то есть неселективные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срабатывания.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Причиной этих отказов являются повреждения элементов (резисторов, диодов,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транзисторов, тиристоров, конденсаторов, реле), из которых состоят схемы РЗА.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резисторов и полупроводниковых приборов характерен отказ типа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обрыв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(до 90%),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конденсаторов – типа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короткое замыкание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(до 80%).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Пайки, печатный монтаж из-за плохого их выполнения имеют до 95% отказов типа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обрыв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Основным источником отказов реле является контактная система, а причиной отказов 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разрегулировка контактов, их сваривание, образование на их поверхности непроводящих пленок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из-за коррозии, загрязнения, эрозии.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маломощных реле характерны отказы из-за ложных срабатываний под действием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вибрационных и ударных нагрузок.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Различают два вида отказов: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 в работоспособности объекта;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 в электроснабжении, т.е., отказ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анализе надежности системы электроснабжения имеют в виду два процесса: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изменение уровня функционирования;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изменение уровня способности выполнять заданные функции в заданном объеме, т.е.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изменение спроса электроэнергии потребителем.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Возникновение отказа работоспособности объекта не всегда влечет за собой отказ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электроснабжении и, наоборот, отказ в электроснабжении потребителя не всегда вызывается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отказом работоспособности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Разделение отказов на полные и частичные отражает то, что система электроснабжения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ее части являются объектами с изменяющимся уровнем эффективности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Например, при повреждении секционированной ЛЭП отключается только часть линии, что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означает частичный отказ ЛЭП. Ограниченное и некачественное электроснабжение является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типичным отказом функционирования системы в отличие от полного перерыва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потребителя (полного отказа).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8.6. Классификация отказов.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продолжительности различают следующие отказы в электроснабжении: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длительные перерывы в электроснабжении потребителей, вызываемые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многочисленными повреждениями в системе электроснабжения, например, гололедноветровыми разрушениями опор и проводов ЛЭП (на период до нескольких суток);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 восстановления работоспособности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отказавшего элемента линии (от 4 до 24 ч.);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время, необходимое для включения резервного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элемента вручную оперативно-выездными бригадами предприятий электрических сетей (от 1,5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 6 ч.);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 оперативных переключений, выполняемых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дежурным персоналом на подстанциях (несколько минут);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кратковременные перерывы питания потребителей на время автоматического ввода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резервного питания (АВР) или автоматического отключения поврежденного участка сети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(несколько секунд).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точки зрения информативности отказы бывают: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внезапные, когда потребитель не получает никакой информации об отказе;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внеплановые, сведения о которых поступают потребителю незадолго до момента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отключения;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плановые, о которых потребитель предупреждается заблаговременно.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Критериями отказов являются их признаки (проявления), позволяющие установить факт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нарушения работоспособного состояния. Они приводятся в нормативно-технической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документации на объекты энергетики.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зависимости от характеристики нарушения, степени повреждения и их последствий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учитываются: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аварии;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отказы в работе 1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отказы в работе II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потребительские отключения.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Аварии бывают станционные, электросетевые, теплосетевые, системные.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предприятиях электрической сети аварией считается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нарушение нормальной работы электрической сети напряжением 6 кВ и выше,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вызвавшее: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 категории, имеющих питание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двух независимых источников, на срок, превышающий время действия устройств АПВ или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потребителей I категории при несоответствии схемы питания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требованиям Правил устройств электроустановок (ПУЭ), то есть не обеспеченным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электроснабжением от двух независимых источников питания, на срок более 2,5 ч, а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сельскохозяйственных потребителей – более 10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II категории на срок более 2,5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ч; а для сельскохозяйственных потребителей II категории – более 10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III категории на срок более 24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недоотпуск электроэнергии потребителям в размере 20 тыс. кВт∙ч и более независимо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длительности перерыва электроснабжения;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разрушение силового трансформатора мощностью 10 МВА и более, если восстановление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его невозможно или нецелесообразно;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ВЛ 110 кВ и выше, требующее восстановления в течение 24 ч, а также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повреждение КЛ 110 кВ, требующее восстановления в течение 36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пожар на подстанции с высшим напряжением 110 кВ и выше, вызвавший 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обесточивание на срок 8 ч и более.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Системными авариями считаются: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нарушение устойчивости работы энергосистемы и разделение ее на части, вызвавшее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отключение потребителей на общую мощность более 5 % от нагрузки энергосистемы;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работы энергосистемы с частотой ниже 49,5 Гц длительностью более 1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многочисленные отключения или повреждения ЛЭП напряжением 6 кВ и выше из-за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стихийного явления, приведшие к отключению потребителей на общую мощность более 10 %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нагрузки энергосистемы.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Отказом в работе I степени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нарушение нормальной работы электрической сети, вызвавшее перерыв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одного и более потребителей I категории при несоответствии схемы 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питания требованиям ПУЭ либо одного и более потребителей II категории на срок от 0,5 до 2,5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ч, а для сельскохозяйственных потребителей - от 2 до 10 ч; одного и более потребителей III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категории на срок от 8 до 24 ч; недоотпуск электроэнергии потребителям от 5 до 20 тыс. кВт.ч;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основного электрооборудования сетей, требующее восстановительного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ремонта в установленные сроки;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ВЛ или КЛ 35 (110) кВ, требующее восстановительного ремонта в срок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24 (36) ч.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отказам в работе II степени относятся нарушения нормальной работы электрических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сетей, в том числе: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перерывы в электроснабжении потребителей, не являющиеся аварией 1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некоторых видов 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недовыполнение диспетчерского графика электрической нагрузки или оперативного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задания диспетчера;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автоматическое отключение или ошибочное отключение оборудования персоналом;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обесточивание участков электросети напряжением ниже 6 кВ.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Под потребительским отключением понимают отключение оборудования из-за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неправильных действий персонала потребителя.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Как показывает практика, даже наилучшая конструкция, совершенная технология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правильная эксплуатация не исключают полностью отказы.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Различают три характерных типа отказов, присущих любым объектам.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приработанные, обусловленные дефектами проектирования, изготовления,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монтажа. Они в основном устраняются путем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отбраковки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 испытании или наладке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Доля этих отказов снижается по истечении периода приработки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внезапные (случайные), вызванные воздействием различных случайных факторов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характерные преимущественно для периода нормальной эксплуатации объекта. Особенностью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таких отказов является невозможность их предсказания.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постепенные, происходящие в результате износа и старения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Долговечность работы системы можно увеличить за счет периодической замены наиболее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ненадежных составляющих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Рассматриваемые здесь показатели применяются для оценки надежности как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невосстанавливаемых (одноразового использования), так и подлежащих ремонту объектов, т.е.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восстанавливаемых до появления первого отказа.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P(t)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вероятность того, что в заданном интервале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(0, t) в системе или элементе не произойдет отказ.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Статистически Р(t) определяется как отношение числа элементов N(t), безотказно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проработавших до момента t, к первоначальному числу наблюдаемых элементов N(0):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Р(t)= N(t)/ N(0).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Число работоспособных в течение времени (0, t) элементов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N(t)= N(0)-n(0, t),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n(0, t) – число отказавших за время (0, t)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Q(t)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вероятность того, что в заданном интервале времени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(0, t) произойдет отказ.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Статистическая оценка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Q(t)= n(0, t)/N(0).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Таким образом, всегда имеет место соотношение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 +Q(t)=1.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отказов а(t)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производная от вероятности появления отказа, означающая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того, что отказ элемента произойдет за единицу времени (t, t+ ∆t).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a(t)= dQ(t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)/dt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-dP(t)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dt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определения величины a(t) можно использовать статистическую оценку: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a(t)= n(t, ∆t ) 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 (0) *∆t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n(t, ∆t) – число элементов, отказавших в интервале времени от t до t+ ∆t.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Точность статистической оценки возрастает с увеличением первоначального числа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наблюдаемых элементов и уменьшением временного интервала ∆t.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отказов, вероятность безотказной работы и вероятность появления отказа связаны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следующими зависимостями: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Р(t)=∫а(х)dx, Q(t)=∫a(x)dx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Различие между частотой и интенсивностью отказов в том, что первый показатель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характеризует вероятность отказа за интервал (t, t+ ∆t) элемента, взятого из группы элементов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произвольным образом, причем неизвестно, в каком состоянии (работоспособном или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неработоспособном) находится выбранный элемент. Второй показатель характеризует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отказа за тот же интервал времени элемента, взятого из группы оставшихся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работоспособными к моменту t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Интенсивность отказов λ(t) – условная вероятность отказа после момента t за единицу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∆t при условии, что до момента tотказа элемента не было.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Интенсивность отказов связана с частотой отказов и вероятностью безотказной работы: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λ(t) =a(t)/P(t)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 как P(t)≤1, то всегда выполняется соотношение λ (t)≥a(t).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Статистически интенсивность отказов определяется таким образом: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высоконадежных элем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ентов и систем: если P(t) ≥0,99, то а(t)= λ((t)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Поэтому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практических расчетах возможна при указанном усло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вии взаимная замена а(t) и λ(t)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Вероятности безотказной работы в зависимости от интенсивности отказов и времени: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Р(t)=ехр[-∫λ(x)dx].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Изменение интенсивности отказов во времени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Типичная функция интенсивности отказов во времени (в течение срока службы объекта) имеет U-образный характер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_Ref116565585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начальный период I преобладают приработочные отказы. После него наступает наиболее продолжительный период нормальной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эксплуатации II, в котором на объект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воздействуют случайные факторы. Последние вызывают внезапные отказы, интенсивность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которых в период нормальной эксплуатации практически не зависит от времени.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jc w:val="center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z w:val="28"/>
          <w:highlight w:val="whit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38475" cy="1743075"/>
                <wp:effectExtent l="0" t="0" r="9525" b="9525"/>
                <wp:docPr id="11" name="Рисунок 9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1754009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3038473" cy="1743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239.2pt;height:137.2pt;mso-wrap-distance-left:0.0pt;mso-wrap-distance-top:0.0pt;mso-wrap-distance-right:0.0pt;mso-wrap-distance-bottom:0.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highlight w:val="white"/>
        </w:rPr>
      </w:r>
      <w:r/>
    </w:p>
    <w:p>
      <w:pPr>
        <w:pStyle w:val="954"/>
        <w:jc w:val="center"/>
        <w:spacing w:before="0" w:beforeAutospacing="0" w:after="0" w:afterAutospacing="0"/>
        <w:rPr>
          <w:rFonts w:ascii="Liberation Serif" w:hAnsi="Liberation Serif" w:eastAsia="Liberation Serif" w:cs="Liberation Serif"/>
          <w:b/>
          <w:i w:val="0"/>
          <w:color w:val="000000"/>
          <w:spacing w:val="-1"/>
          <w:sz w:val="24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4"/>
          <w:highlight w:val="white"/>
        </w:rPr>
      </w:r>
      <w:bookmarkStart w:id="52" w:name="_Ref116565585"/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end"/>
      </w:r>
      <w:bookmarkEnd w:id="52"/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 Интенсивность отказов во времени</w:t>
      </w:r>
      <w:r>
        <w:rPr>
          <w:highlight w:val="white"/>
        </w:rPr>
      </w:r>
      <w:r/>
    </w:p>
    <w:p>
      <w:pPr>
        <w:spacing w:before="0" w:beforeAutospacing="0" w:after="0" w:afterAutospacing="0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период старения и износа III в основном имеют место постепенные отказы,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возникающие вследствие накопления ухудшений физико-химических свойств объекта.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основных элементов системы электроснабжения период приработки длится до 3-5 лет. Процессы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старения и износа проявляются для ВЛ на опорах из пропитанной древесины через 15-20 лет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после ввода в эксплуатацию, для трансформаторов и КЛ - через 20-30 лет (в первую очередь 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счет старения изоляции). Старение и износ коммутационной аппаратуры наступает через 40-50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лет. Обычно эта аппаратура морально устаревает раньше, нежели физически. В основном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элементы электрических сетей высоконадежны. Время их безотказной работы значительно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превышает время восстановления.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 (среднее время безотказной работы) Т представляет собой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математическое ожидание наработки объекта до первого отказа. Этот показатель геометрически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представляет собой площадь под кривой вероятности безотказной работы: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 =∫P(t)dt 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Расчетные формулы для экспоненциального закона надежности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Учитывая, что для объектов энергосистемы интенсивность отказов в период нормальной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эксплуатации практически неизменна, т.е. λ(t)=λ, соотношения между основными показателями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надежности можно представить с учетом этого условия в более простой и наглядной форме: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P(t)=exp(-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 ),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Q(t)=1- exp(-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 ),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a(t)= 1-exp(- λt 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 для экспоненциального закона принимает вид T=1/λ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_Ref116565553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11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асчетные значения показателей надежности основных элементов системы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53" w:name="_Ref116565553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11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bookmarkEnd w:id="53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Расчетные значения показателей надежности основных элементов системы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электроснабжения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tbl>
      <w:tblPr>
        <w:tblW w:w="5000" w:type="pct"/>
        <w:tblInd w:w="-114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006"/>
        <w:gridCol w:w="1363"/>
        <w:gridCol w:w="1436"/>
        <w:gridCol w:w="1508"/>
        <w:gridCol w:w="1327"/>
      </w:tblGrid>
      <w:tr>
        <w:trPr>
          <w:trHeight w:val="807"/>
          <w:tblHeader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Элемент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Интенсивность отказов, год-1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Среднее время восстановления ТВ, ч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Интенсивность преднамеренных отключений. год-1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Среднее время обслуживания ТО, 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242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 35, 110 кВ одноцепная,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35, 110 кВ двух цепная,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6, 10 кВ одноцепная.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,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5.8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Кабельная линия 6, 10 кВ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Две кабельные линии в одной траншее,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0,38 кВ,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Трансформатор с высшим напряжением 35, 110 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Трансформатор с высшим напряжением 6, 10 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35, 110 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6, 10 кВ внутренней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6, 10 кВ КРУП наружной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отделителя (ОД) или коротко замыкателя (КЗ) 35, 110 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35, 110 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6, 10 кВ внутренней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3.5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6, 10 кВ КРУП наружной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3.5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предохранителя 6, 10 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2.5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Линейный разъединитель 6. 10 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Шины ОРУ 35, 110 кВ. на одно присоединение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Шины РУ 6. 10 кВ на одно присоединение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борка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НН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-0,4 кВ ТП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ffffff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left w:w="28" w:type="dxa"/>
              <w:right w:w="28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Расчет показателей надежности для распределительных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/0,4 кВ с трансформаторами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высшим напряжением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Р(0,5)=exp(-0,035*0,5)=0,9827;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Q(0,5)=1-exp(-0,035 *0,5)=0,0173;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а(0,5)= λP(0,5)=0,035* 0,9827=0,03439;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T=1/0,035=28,6 лет.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Расчет показателей надежности для ЛЭП ВЛ-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кВ на 1 км длины.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Р(0,5)=exp(-0,25*0,5)=0,8825;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Q(0,5)=1-exp(-0,25* 0,5)=0,1175;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а(0,5)= λP(0,5)=0,25* 0,8825=0,22063;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T=1/0,25= 4 года.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оценки надежности объектов многоразового использования используются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дополнительные показатели, учитывающие также процессы восстановления (ремонта) элементов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(объектов).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Параметр потока отказов ω(t) - математическое ожидание числа отказов, происшедших 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единицу времени, начиная с момента t при условии, что все элементы, вышедшие из строя,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заменяются работоспособными, т. е. число наблюдаемых элементов сохраняется одинаковым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процессе эксплуатации.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экспоненциального закона надежности интенсивность и параметр потока отказов 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зависят от времени и совпадают, т. е.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(t) 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ω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(t)=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ω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=const 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восстановления S(t) - вероятность того, что отказавший элемент будет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восстановлен в течение заданного времени t, т. е. вероятность своевременного завершения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ремонта.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)≤1,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(0)=0,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(∞)=1.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определения величины S(t) используется следующая статистическая оценка: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S(t)= Nв/ Nв (0),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Nв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(0) – число элементов, поставленных на восстановление в начальный момент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t = 0; Nв – число элементов, время восстановления которых оказалось меньше заданного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t, т. е. восстановленных на интервале (0,t).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невосстановления (несвоевременного завершения ремонта) G(t)- вероятность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того, что отказавший элемент не будет восстановлен в течение заданного времени 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IX.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54" w:name="_Toc118727583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Оценка капитальных вложений в новое строительство, реконструкцию и модернизацию объектов систем электроснабжения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9.1. </w:t>
      </w:r>
      <w:bookmarkEnd w:id="54"/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55" w:name="_Toc118727584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Мероприятия по строительству, реконструкции и модернизации сетей электроснабжения</w:t>
      </w:r>
      <w:bookmarkEnd w:id="55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Перечень сетей электроснабжения, предлагаемых к новому строительству для обеспечения перспективных приростов электрической нагрузки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под жилищную, комплексную или производственную зас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тройку, представлен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_Ref116563898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раздела 5.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9.2. </w:t>
      </w:r>
      <w:bookmarkStart w:id="56" w:name="_Toc11872758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Мероприятия по строительству, реконструкции и модернизации распред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елительных пунктов и подстанций.</w:t>
      </w:r>
      <w:bookmarkEnd w:id="56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Мероприятия по строительству, реконструкции и модернизации распределительных пунктов и подстанций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представлены в п.5.3 и п.5.7 раздела 5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9.3.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57" w:name="_Toc118727586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Оценка величины необходимых капитальных вложений в строительство, реконструкцию и модернизацию об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ъектов системы электроснабжения</w:t>
      </w:r>
      <w:bookmarkEnd w:id="57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Оценка величины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необходимых капитальных вложений в строительство, реконструкцию и модернизацию об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ъектов системы электроснабжения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Красноселькуп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произведена на основании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данных инвестиционной программы ООО ЭК «ТВЭС»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  <w:sectPr>
          <w:footnotePr/>
          <w:endnotePr/>
          <w:type w:val="nextPage"/>
          <w:pgSz w:w="11906" w:h="16838" w:orient="portrait"/>
          <w:pgMar w:top="1134" w:right="567" w:bottom="1247" w:left="1701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_Ref116566416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12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приведены сведения о величине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необходимых капитальных вложений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строительство, реконструкцию и модернизацию объектов системы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58" w:name="_Ref116566416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12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bookmarkEnd w:id="58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С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ведения о величине необходимых капитальных вложений в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строительство, реконструкцию и модернизацию объектов системы электроснабжения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6942"/>
        <w:gridCol w:w="1558"/>
        <w:gridCol w:w="1439"/>
        <w:gridCol w:w="1127"/>
        <w:gridCol w:w="1232"/>
        <w:gridCol w:w="1054"/>
        <w:gridCol w:w="1208"/>
      </w:tblGrid>
      <w:tr>
        <w:trPr>
          <w:trHeight w:val="20"/>
          <w:tblHeader/>
        </w:trPr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Наименование мероприятия</w:t>
            </w:r>
            <w:r>
              <w:rPr>
                <w:highlight w:val="white"/>
              </w:rPr>
            </w:r>
            <w:r/>
          </w:p>
        </w:tc>
        <w:tc>
          <w:tcPr>
            <w:gridSpan w:val="6"/>
            <w:shd w:val="clear" w:color="auto" w:fill="auto"/>
            <w:tcBorders>
              <w:top w:val="single" w:color="auto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2616" w:type="pct"/>
            <w:vAlign w:val="bottom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  <w:lang w:eastAsia="ru-RU"/>
              </w:rPr>
              <w:t xml:space="preserve">График реализации проекта, тыс. руб. (без НДС)</w:t>
            </w:r>
            <w:r>
              <w:rPr>
                <w:highlight w:val="white"/>
              </w:rPr>
            </w:r>
            <w:r/>
          </w:p>
        </w:tc>
      </w:tr>
      <w:tr>
        <w:trPr>
          <w:trHeight w:val="199"/>
          <w:tblHeader/>
        </w:trPr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ВСЕГО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2023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2024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2026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2027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15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8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9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8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2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6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1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Создание (приобретение) объекта генерации электрической энергии, мощностью 12 МВт в с. Красноселькуп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354864,89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104000,00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106080,00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115627,20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29157,69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Внутриплощадочные работы и система выдачи электрической энергии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5000,00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5000,00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Строительство ВЛЗ 6 кВ  от Л-70-4 3хСИП3 1х95 протяжённостью 50м (участок до КТП 70-4-45)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1087,60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1087,60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Строительство ВЛЗ 6кВ Л-70-3 3хСИП3 1х95, протяжённостью 230м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1517,00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1517,00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0"/>
                <w:highlight w:val="white"/>
                <w:u w:val="none"/>
              </w:rPr>
              <w:t xml:space="preserve">Реконструкция объекта «Воздушная линия высокого напряжения 6,3 кВ., с. Красноселькуп, Фидер № 2, Электростанция - КТП № 24, № 10, № 26 с отходными линиями» – 70м (участок ул. Огнеборцев)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1629,27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1629,27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Строительство КЛ 6 кВ Л-70-1 в траншее из АВБбШв 3х35-6 – 5500м (участок на Дальний Привод)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25192,14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25192,14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Реконструкция объекта «Воздушная линия низкого напряжения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, с. Красноселькуп»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– 170м (участок ул. Нагорная 54-63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1530,00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1530,00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379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Реконструкция объекта «Воздушная линия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низкого напряжения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, с. Красноселькуп»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, –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298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м (участок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мкр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.К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униной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2682,00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2682,00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484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384" w:type="pct"/>
            <w:vAlign w:val="center"/>
            <w:vMerge w:val="restart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highlight w:val="yellow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Реконструкция объекта «Воздушная линия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низкого напряжения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0,4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sz w:val="20"/>
                <w:szCs w:val="28"/>
                <w:highlight w:val="white"/>
              </w:rPr>
              <w:t xml:space="preserve"> с. Красноселькуп, КТП № 7 - д/д «Родничок»</w:t>
            </w:r>
            <w:r>
              <w:rPr>
                <w:rFonts w:ascii="Liberation Serif" w:hAnsi="Liberation Serif" w:eastAsia="Liberation Serif" w:cs="Liberation Serif"/>
                <w:spacing w:val="-1"/>
                <w:sz w:val="20"/>
                <w:szCs w:val="28"/>
                <w:highlight w:val="white"/>
                <w:lang w:eastAsia="ru-RU"/>
              </w:rPr>
              <w:t xml:space="preserve">»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– 500м (участок - бывший д/д «Родничок»)</w:t>
            </w:r>
            <w:r>
              <w:rPr>
                <w:highlight w:val="yellow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non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none"/>
              </w:rPr>
              <w:t xml:space="preserve">370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none"/>
              </w:rPr>
              <w:t xml:space="preserve">,00</w:t>
            </w:r>
            <w:r>
              <w:rPr>
                <w:highlight w:val="non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9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shd w:val="clear" w:color="ffffff" w:themeColor="background1" w:fill="ffffff" w:themeFill="background1"/>
              <w:rPr>
                <w:rFonts w:ascii="Liberation Serif" w:hAnsi="Liberation Serif" w:eastAsia="Liberation Serif" w:cs="Liberation Serif"/>
                <w:highlight w:val="non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none"/>
              </w:rPr>
              <w:t xml:space="preserve">370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none"/>
              </w:rPr>
              <w:t xml:space="preserve">,00</w:t>
            </w:r>
            <w:r>
              <w:rPr>
                <w:highlight w:val="non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8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2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6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1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Реконструкция объекта «Воздушная линия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низкого напряжения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, с. Красноселькуп»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–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2022м (участок по пер. Северный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18198,00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18198,00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pStyle w:val="985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Реконструкция объекта «Воздушная линия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низкого напряжения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0,4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, с. Красноселькуп»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 – 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520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м (участок ул. Нагорная 1</w:t>
            </w:r>
            <w:r>
              <w:rPr>
                <w:rFonts w:ascii="Liberation Serif" w:hAnsi="Liberation Serif" w:eastAsia="Liberation Serif" w:cs="Liberation Serif"/>
                <w:color w:val="000000" w:themeColor="text1"/>
                <w:sz w:val="20"/>
                <w:szCs w:val="28"/>
                <w:highlight w:val="white"/>
              </w:rPr>
              <w:t xml:space="preserve">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4680,00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4680,00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Строительство КТП 70-4-44 - 100 кВА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7167,26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7167,26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Строительство КТП 70-4-45 - 250 кВА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8705,47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8705,47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Строительство КТП 70-1-47 - 40 кВА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1165,26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  <w:t xml:space="preserve">1165,26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auto" w:fill="auto"/>
            <w:tcBorders>
              <w:top w:val="none" w:color="000000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8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Итого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53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color w:val="000000"/>
                <w:sz w:val="20"/>
                <w:highlight w:val="white"/>
              </w:rPr>
              <w:t xml:space="preserve">433788,89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94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color w:val="000000"/>
                <w:sz w:val="20"/>
                <w:highlight w:val="white"/>
              </w:rPr>
              <w:t xml:space="preserve">113582,00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87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color w:val="000000"/>
                <w:sz w:val="20"/>
                <w:highlight w:val="white"/>
              </w:rPr>
              <w:t xml:space="preserve">107709,27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23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color w:val="000000"/>
                <w:sz w:val="20"/>
                <w:highlight w:val="white"/>
              </w:rPr>
              <w:t xml:space="preserve">148298,27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362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color w:val="000000"/>
                <w:sz w:val="20"/>
                <w:highlight w:val="white"/>
              </w:rPr>
              <w:t xml:space="preserve">55866,83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auto" w:fill="auto"/>
            <w:tcBorders>
              <w:top w:val="none" w:color="000000" w:sz="4" w:space="0"/>
              <w:left w:val="none" w:color="000000" w:sz="4" w:space="0"/>
              <w:bottom w:val="single" w:color="auto" w:sz="4" w:space="0"/>
              <w:right w:val="single" w:color="auto" w:sz="4" w:space="0"/>
            </w:tcBorders>
            <w:tcW w:w="415" w:type="pct"/>
            <w:vAlign w:val="center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color w:val="000000"/>
                <w:sz w:val="20"/>
                <w:highlight w:val="white"/>
              </w:rPr>
              <w:t xml:space="preserve">8332,52</w:t>
            </w:r>
            <w:r>
              <w:rPr>
                <w:highlight w:val="white"/>
              </w:rPr>
            </w:r>
            <w:r/>
          </w:p>
        </w:tc>
      </w:tr>
    </w:tbl>
    <w:p>
      <w:pPr>
        <w:spacing w:before="0" w:beforeAutospacing="0" w:after="0" w:afterAutospacing="0"/>
        <w:shd w:val="nil" w:color="000000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spacing w:before="0" w:beforeAutospacing="0" w:after="0" w:afterAutospacing="0"/>
        <w:shd w:val="nil" w:color="000000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spacing w:before="0" w:beforeAutospacing="0" w:after="0" w:afterAutospacing="0"/>
        <w:shd w:val="nil" w:color="000000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spacing w:before="0" w:beforeAutospacing="0" w:after="0" w:afterAutospacing="0"/>
        <w:shd w:val="nil" w:color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  <w:sectPr>
          <w:footnotePr/>
          <w:endnotePr/>
          <w:type w:val="nextPage"/>
          <w:pgSz w:w="16838" w:h="11906" w:orient="landscape"/>
          <w:pgMar w:top="1135" w:right="680" w:bottom="851" w:left="1701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ТОМ </w:t>
      </w: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. СЕЛО </w:t>
      </w: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ТОЛЬКА</w:t>
      </w:r>
      <w:r>
        <w:rPr>
          <w:highlight w:val="white"/>
        </w:rPr>
      </w:r>
      <w:r/>
    </w:p>
    <w:p>
      <w:pPr>
        <w:contextualSpacing/>
        <w:ind w:left="0" w:right="0"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  <w:t xml:space="preserve">I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. </w:t>
      </w:r>
      <w:bookmarkStart w:id="2" w:name="_Toc118737710"/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</w:rPr>
        <w:t xml:space="preserve">Существующее положение в сфере производства, передачи и потребления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 электроэнергии</w:t>
      </w:r>
      <w:bookmarkEnd w:id="2"/>
      <w:r>
        <w:rPr>
          <w:highlight w:val="white"/>
        </w:rPr>
      </w:r>
      <w:r/>
    </w:p>
    <w:p>
      <w:pPr>
        <w:contextualSpacing/>
        <w:ind w:left="0" w:right="0"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pStyle w:val="989"/>
        <w:numPr>
          <w:ilvl w:val="1"/>
          <w:numId w:val="15"/>
        </w:num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Оказанием услуг по электроснабжению жилищного фонда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села Толька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занима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е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тся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организация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ООО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«Ямал-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Энерго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».</w:t>
      </w:r>
      <w:r>
        <w:rPr>
          <w:highlight w:val="white"/>
        </w:rPr>
      </w:r>
      <w:r/>
    </w:p>
    <w:p>
      <w:pPr>
        <w:pStyle w:val="989"/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Система электроснабжения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Красноселькупского района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локализована и не имеет подключения к федеральной сетевой компании.</w:t>
      </w:r>
      <w:r>
        <w:rPr>
          <w:highlight w:val="white"/>
        </w:rPr>
      </w:r>
      <w:r/>
    </w:p>
    <w:p>
      <w:pPr>
        <w:pStyle w:val="989"/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Дизельное топливо для работы электростанций завозится централизованно водным транспортом в навигационный период, что создает району энергетическую уязвимость и зависимость от нефтеперерабатывающих заводов и поставок топлива.</w:t>
      </w:r>
      <w:r>
        <w:rPr>
          <w:highlight w:val="white"/>
        </w:rPr>
      </w:r>
      <w:r/>
    </w:p>
    <w:p>
      <w:pPr>
        <w:pStyle w:val="989"/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В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селе Толька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г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енерация электрической энергии осуществляется на ДЭС, расположенной в производственной зоне центральной части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с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. Толька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. ДЭС оборудована дизельными генераторами общей установленной мощностью 4 МВт. </w:t>
      </w:r>
      <w:r>
        <w:rPr>
          <w:highlight w:val="white"/>
        </w:rPr>
      </w:r>
      <w:r/>
    </w:p>
    <w:p>
      <w:pPr>
        <w:pStyle w:val="989"/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Электрическая энергия передается потребителям по воздушным линиям электропередачи (ЛЭП) 0,4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кВ.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Общая протяжённость электрических сетей –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37,654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км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highlight w:val="white"/>
        </w:rPr>
      </w:r>
      <w:r/>
    </w:p>
    <w:p>
      <w:pPr>
        <w:pStyle w:val="989"/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Распределение электрической энергии от ДЭС между трансформаторными подстанциями (ТП) осуществляется через закрытое распределительное устройство (РУ) 6 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с последующей передачей по воздушным и кабельным линиям 6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на 1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6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 трансформаторных подстанций.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От трансформаторных подстанций передача электрической энергии потребителям осуществляется воздушными и кабельными линиями 0,4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кВ.</w:t>
      </w:r>
      <w:r>
        <w:rPr>
          <w:highlight w:val="white"/>
        </w:rPr>
      </w:r>
      <w:r/>
    </w:p>
    <w:p>
      <w:pPr>
        <w:pStyle w:val="989"/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Распределительное устройство 6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выполнено в закрытом исполнении с одиночной секционированной системой сборных шин. В качества аппаратов защиты и управления установлены ячейки КРУ-2-10-20У3 с маслеными выключателями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contextualSpacing/>
        <w:ind w:left="0" w:righ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bookmarkStart w:id="3" w:name="_Toc11873771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1.2. Анализ существующей структуры электрос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набжения напряжением 6-20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кВ</w:t>
      </w:r>
      <w:bookmarkEnd w:id="3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Существующая структура электроснабжения напряжением 6-20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кВ.</w:t>
      </w:r>
      <w:r>
        <w:rPr>
          <w:highlight w:val="white"/>
        </w:rPr>
      </w:r>
      <w:r/>
    </w:p>
    <w:p>
      <w:pPr>
        <w:pStyle w:val="989"/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Распределение электрической энергии от ДЭС между трансформаторными подстанциями (ТП) осуществляется через закрытое распределительное устройство (РУ) 6 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с последующей передачей по воздушным и кабельным линиям 6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на 14 трансформаторных подстанций.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От трансформаторных подстанций передача электрической энергии потребителям осуществляется воздушными и кабельными линиями 0,4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Потребителями электрической энергии являются жилые и общественные здания, водопроводные сооружения, кабельные АТС и объекты наружного освещения. 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1.3.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4" w:name="_Toc118737712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Распределительные пункты (РП)</w:t>
      </w:r>
      <w:bookmarkEnd w:id="4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Распределительные пункты (РП) на территории 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отсутствуют.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contextualSpacing/>
        <w:ind w:left="709" w:right="0" w:firstLine="0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1.4. </w:t>
      </w:r>
      <w:bookmarkStart w:id="5" w:name="_Toc118737713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Т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рансформаторные подстанции (ТП)</w:t>
      </w:r>
      <w:bookmarkEnd w:id="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_Ref116390210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сведения 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ТП и КТП на </w:t>
      </w:r>
      <w:r>
        <w:rPr>
          <w:rFonts w:ascii="Liberation Serif" w:hAnsi="Liberation Serif" w:eastAsia="Liberation Serif" w:cs="Liberation Serif"/>
          <w:iCs/>
          <w:color w:val="000000" w:themeColor="text1"/>
          <w:sz w:val="28"/>
          <w:szCs w:val="24"/>
          <w:highlight w:val="white"/>
        </w:rPr>
        <w:t xml:space="preserve">территории </w:t>
      </w:r>
      <w:r>
        <w:rPr>
          <w:rFonts w:ascii="Liberation Serif" w:hAnsi="Liberation Serif" w:eastAsia="Liberation Serif" w:cs="Liberation Serif"/>
          <w:iCs/>
          <w:color w:val="000000" w:themeColor="text1"/>
          <w:sz w:val="28"/>
          <w:szCs w:val="24"/>
          <w:highlight w:val="white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iCs/>
          <w:color w:val="000000"/>
          <w:sz w:val="28"/>
          <w:szCs w:val="24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iCs/>
          <w:color w:val="000000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pStyle w:val="954"/>
        <w:contextualSpacing/>
        <w:ind w:left="0" w:right="0" w:firstLine="709"/>
        <w:jc w:val="right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i w:val="0"/>
          <w:color w:val="auto"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. Перечень ТП и КТП на территори</w:t>
      </w:r>
      <w:r>
        <w:rPr>
          <w:rFonts w:ascii="Liberation Serif" w:hAnsi="Liberation Serif" w:eastAsia="Liberation Serif" w:cs="Liberation Serif"/>
          <w:b/>
          <w:i w:val="0"/>
          <w:iCs w:val="0"/>
          <w:color w:val="auto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b/>
          <w:i w:val="0"/>
          <w:iCs w:val="0"/>
          <w:color w:val="auto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i w:val="0"/>
          <w:iCs w:val="0"/>
          <w:color w:val="auto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highlight w:val="white"/>
        </w:rPr>
      </w:r>
      <w:r/>
    </w:p>
    <w:p>
      <w:pPr>
        <w:pStyle w:val="954"/>
        <w:contextualSpacing/>
        <w:ind w:left="0" w:right="0" w:firstLine="709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i w:val="0"/>
          <w:color w:val="auto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i w:val="0"/>
          <w:iCs w:val="0"/>
          <w:color w:val="auto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highlight w:val="white"/>
        </w:rPr>
      </w:r>
      <w:r/>
    </w:p>
    <w:tbl>
      <w:tblPr>
        <w:tblW w:w="5048" w:type="pct"/>
        <w:tblInd w:w="-67" w:type="dxa"/>
        <w:tblLayout w:type="fixed"/>
        <w:tblLook w:val="04A0" w:firstRow="1" w:lastRow="0" w:firstColumn="1" w:lastColumn="0" w:noHBand="0" w:noVBand="1"/>
      </w:tblPr>
      <w:tblGrid>
        <w:gridCol w:w="521"/>
        <w:gridCol w:w="4401"/>
        <w:gridCol w:w="1134"/>
        <w:gridCol w:w="1417"/>
        <w:gridCol w:w="1100"/>
        <w:gridCol w:w="1014"/>
      </w:tblGrid>
      <w:tr>
        <w:trPr>
          <w:trHeight w:val="1193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br/>
              <w:t xml:space="preserve">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ТП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Мощность ТП,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*А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Конструктивное исполнение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Год ввода в эксплуатацию (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кап. ремонт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Напряжение на высокой стороне,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</w:tr>
      <w:tr>
        <w:trPr>
          <w:trHeight w:val="279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Светлогорская "Котельная № 1" КТП № 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1989 (2021)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Светлогорская КТП № 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1983 (2019)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Таежная "котельная № 2" КТП № 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1979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Таежная "котельная № 2" КТП № 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Лесная "поселок" КТП № 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1975 (2018)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Губкина КТП № 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1990 (2017)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Полевая "котельная №4" КТП № 13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1983 (2016)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Губкина "больница" КТП № 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Комсомольская "аэропорт" КТП № 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1992 (2019)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Набережная "берег" КТП № 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70 Лет Октября "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сейсма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" КТП № 11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1992 (2019)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70 Лет Октября "пилорама" КТП № 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Комсомольская "трансформатор связи" КТП № 5 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1989 (2018)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Комсомольская "трансформатор собственных нужд" КТП № 14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закрытые, на опорах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1989 (2018)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  <w:tr>
        <w:trPr>
          <w:trHeight w:val="31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2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4401" w:type="dxa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ул. Сидорова 11, стр. 2 ТП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34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630*2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417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закрытые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10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5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6,3</w:t>
            </w:r>
            <w:r>
              <w:rPr>
                <w:highlight w:val="white"/>
              </w:rPr>
            </w:r>
            <w:r/>
          </w:p>
        </w:tc>
      </w:tr>
    </w:tbl>
    <w:p>
      <w:pPr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  <w:lang w:eastAsia="ru-RU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1.5. </w:t>
      </w:r>
      <w:bookmarkStart w:id="7" w:name="_Toc11873771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Линии, соединяющи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е центры питания (ЦП) с РП и ТП.</w:t>
      </w:r>
      <w:bookmarkEnd w:id="7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Система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с. 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муниципального округа Красноселькупский район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децентрализованная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(изолированная энергосистема) и не имеет подключения к единой энергетической системе России.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Распределение электрической энергии от ДЭС между трансформаторными подстанциями (ТП) осуществляется через закрытое распределительное устройство (РУ) 6 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с последующей передачей по воздушным и кабельным линиям 6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на 14 трансформаторных подстанций.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От трансформаторных подстанций передача электрической энергии потребителям осуществляется воздушными и кабельными линиями 0,4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Линии, соединяющие центры питания (ЦП) с ТП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представлены на макетах и в электронной модели, являющихся неотъемлемой частью Схемы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Характеристика воздушных линий электропередач в 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представлена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_Ref118727511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</w:t>
      </w:r>
      <w:r>
        <w:rPr>
          <w:highlight w:val="white"/>
        </w:rPr>
      </w:r>
      <w:r/>
    </w:p>
    <w:p>
      <w:pPr>
        <w:pStyle w:val="954"/>
        <w:ind w:firstLine="0"/>
        <w:jc w:val="right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i w:val="0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none"/>
        </w:rPr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none"/>
        </w:rPr>
      </w:r>
      <w:r/>
    </w:p>
    <w:p>
      <w:pPr>
        <w:pStyle w:val="954"/>
        <w:ind w:firstLine="0"/>
        <w:jc w:val="right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i w:val="0"/>
          <w:color w:val="000000"/>
          <w:sz w:val="28"/>
          <w:szCs w:val="24"/>
          <w:highlight w:val="non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Характеристика воздушных линий электропередач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                           с.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Толька</w:t>
      </w:r>
      <w:r>
        <w:rPr>
          <w:highlight w:val="white"/>
        </w:rPr>
      </w:r>
      <w:r/>
    </w:p>
    <w:p>
      <w:pPr>
        <w:pStyle w:val="954"/>
        <w:ind w:firstLine="708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i w:val="0"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i w:val="0"/>
          <w:color w:val="000000" w:themeColor="text1"/>
          <w:sz w:val="28"/>
          <w:szCs w:val="24"/>
          <w:highlight w:val="white"/>
        </w:rPr>
        <w:t xml:space="preserve"> </w:t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536"/>
        <w:gridCol w:w="1430"/>
        <w:gridCol w:w="3751"/>
        <w:gridCol w:w="3910"/>
      </w:tblGrid>
      <w:tr>
        <w:trPr>
          <w:trHeight w:val="575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br/>
              <w:t xml:space="preserve">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42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Напряжение в сети,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Протяженность воздушных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br/>
              <w:t xml:space="preserve">сетей (в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одноцепном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 исполнении), км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031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Протяженность кабельных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br/>
              <w:t xml:space="preserve">сетей (в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одноцепном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 исполнении), км</w:t>
            </w:r>
            <w:r>
              <w:rPr>
                <w:highlight w:val="white"/>
              </w:rPr>
            </w:r>
            <w:r/>
          </w:p>
        </w:tc>
      </w:tr>
      <w:tr>
        <w:trPr>
          <w:trHeight w:val="105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42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4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03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8" w:type="pct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42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48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24,183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031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1,440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8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742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48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10,775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031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1,256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highlight w:val="white"/>
        </w:rPr>
        <w:sectPr>
          <w:footnotePr/>
          <w:endnotePr/>
          <w:type w:val="nextPage"/>
          <w:pgSz w:w="11906" w:h="16838" w:orient="portrait"/>
          <w:pgMar w:top="1134" w:right="708" w:bottom="1134" w:left="1701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none"/>
          <w:lang w:eastAsia="ru-RU"/>
        </w:rPr>
        <w:t xml:space="preserve">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хема электроснабжения 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представлена на рисунках Рисунок 1 и Рисунок 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highlight w:val="none"/>
        </w:rPr>
      </w:pPr>
      <w:r>
        <w:rPr>
          <w:highlight w:val="white"/>
        </w:rPr>
      </w:r>
      <w:r>
        <w:rPr>
          <w:rFonts w:ascii="Liberation Serif" w:hAnsi="Liberation Serif" w:eastAsia="Liberation Serif" w:cs="Liberation Serif"/>
          <w:spacing w:val="-1"/>
          <w:sz w:val="28"/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4"/>
          <w:szCs w:val="24"/>
          <w:highlight w:val="none"/>
        </w:rPr>
      </w:pPr>
      <w:r>
        <w:rPr>
          <w:highlight w:val="non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7877471" cy="5565139"/>
                <wp:effectExtent l="0" t="0" r="0" b="0"/>
                <wp:docPr id="12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07760200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7877471" cy="55651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620.3pt;height:438.2pt;mso-wrap-distance-left:0.0pt;mso-wrap-distance-top:0.0pt;mso-wrap-distance-right:0.0pt;mso-wrap-distance-bottom:0.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highlight w:val="non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non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Схема электроснабжения с. </w:t>
      </w: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b/>
          <w:highlight w:val="white"/>
        </w:rPr>
      </w:r>
      <w:r/>
    </w:p>
    <w:p>
      <w:pPr>
        <w:contextualSpacing/>
        <w:ind w:left="0" w:right="0" w:firstLine="0"/>
        <w:jc w:val="both"/>
        <w:spacing w:before="0" w:beforeAutospacing="0" w:after="0" w:afterAutospacing="0" w:line="240" w:lineRule="auto"/>
        <w:rPr>
          <w:highlight w:val="none"/>
        </w:rPr>
        <w:sectPr>
          <w:footnotePr/>
          <w:endnotePr/>
          <w:type w:val="nextPage"/>
          <w:pgSz w:w="16838" w:h="11906" w:orient="landscape"/>
          <w:pgMar w:top="1134" w:right="680" w:bottom="1276" w:left="1559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non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non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non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0595" cy="8524422"/>
                <wp:effectExtent l="0" t="0" r="0" b="0"/>
                <wp:docPr id="13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830429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030594" cy="85244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pt;height:671.2pt;mso-wrap-distance-left:0.0pt;mso-wrap-distance-top:0.0pt;mso-wrap-distance-right:0.0pt;mso-wrap-distance-bottom:0.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Схема электроснабжения с. </w:t>
      </w: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white"/>
          <w:lang w:eastAsia="ru-RU"/>
        </w:rPr>
        <w:t xml:space="preserve">Толька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0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1.6. </w:t>
      </w:r>
      <w:bookmarkStart w:id="10" w:name="_Toc11873771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Линии, соединяющие ТП между собой.</w:t>
      </w:r>
      <w:bookmarkEnd w:id="10"/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Распределение электрической энергии от ДЭС между трансформаторными подстанциями (ТП) осуществляется через закрытое распределительное устройство (РУ) 6 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с последующей передачей по воздушным и кабельным линиям 6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на 14 трансформаторных подстанций.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От трансформаторных подстанций передача электрической энергии потребителям осуществляется воздушными и кабельными линиями 0,4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Линии, соединяющие центры питания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между собой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представлены на макетах и в электронной модели, являющихся неотъемлемой частью Схемы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1.7.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1" w:name="_Toc118737716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Питающие линии промышленных предприятий, находящихся на террит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ории муниципального образования</w:t>
      </w:r>
      <w:bookmarkEnd w:id="11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Питающие линии промышленных предприятий, находящихся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входят в перечень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участков линий электропередач 6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представлены на макетах и в электронной модели, являющихся неотъемлемой частью Схемы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1.8.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2" w:name="_Toc118737717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Резервы и дефициты ЦП и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электроприемников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потребителей</w:t>
      </w:r>
      <w:bookmarkEnd w:id="12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ДЭС в с. Толька максимум электрической нагрузки на зимний период составляет 1,8 МВт, резерв мощности - 55%.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1.9.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3" w:name="_Toc118737718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Безопасность и над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ежность систем электроснабжения</w:t>
      </w:r>
      <w:bookmarkEnd w:id="13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Надежность – свойство, которое 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олжно учитываться при исследова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нии, создании, функционировании и прогнозировании перспективного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развития. Однако в отличие от элементной надежности пути обеспечения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надёжности сложных систем не очевидны и в каждом отдельном случае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обусловлены особенностями исследуемой системы. По мере усложнения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 становится более сложной и оценка их надёжности. Классические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показатели надёжности элементов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простых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систем такие, как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время безотказной работы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в течение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заданного промежутка времени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целый ряд других, применительно 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многим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сложным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системам, лиш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ены практического смысла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сложной системы задача оценки надёжности формулируется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предположении известных, полученн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 статистическими методами ха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рактеристик интенсивности отказов её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элементов и восстановлений в те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чение определённого времени: матема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тического ожидания и дисперсии,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закона распределения времени между отказами и др. В самом общем виде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под отказом сложной системы понимается событие,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огда выходной объ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ём информации снижается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уровня, меньше допустимого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Однако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известно, что многие сложные системы могут выполнять практически все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свои функции при условии, что некоторая часть их элементов и связей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между ними находится в нерабочем (и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 отличающемся в пределах допу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стимых норм от рабочего) состоянии.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Например, отказ отдельных элементов в системах энергетики может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вообще не отразиться на работе потребителей. Но в этих случаях речь идет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 об отказе системы, а лишь о возможном снижении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показателей эффек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тивности её работы.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Сосредоточивая внимание на самом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факте отказа, классические еди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ничные показатели надёжности 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асто не позволяют установить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следствия отказа и влияние его на конечный эффект функционирования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системы. Поэтому для выработки обо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снованных рекомендаций по обес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печению требуемого уровня надёжности сложных систем необходимы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научные исследования, соизмеримые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своим масштабам разработке ос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новной идее построения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системы. Относительно недавно появились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предложения по прогнозированию уровня надёжности оказываемых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услуг при управлении единой национа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льной (общероссийской) электри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ческой сетью (ЕНЭС) и территориальными сетевыми организациями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(ТСО)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основе комплексных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оказателей, применяемых зарубеж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ными эне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ргокомпаниями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где в качестве индикаторов системной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надежности используются: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System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среднее число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перерывов электроснабжения в расчёте на одного конечного потребителя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(клиента), которые он испытывает в течение года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число потребителей, для которых наблюдались перерывы (отказы)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 – обще число потребителей энергокомпании.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System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Duration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индекс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длительности перерывов (отключений)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конечных потре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бителей в течение года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Т – среднегодовое время простоя потребителей энергокомпании.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Customer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Duration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продолжительность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отключений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отдельных случаях – среднее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время восстановления или среднее время простоя в течение года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Relative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Network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Reconstruction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Efficiency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относительная эффективность реконструкции сети,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характеризующая, насколько улуч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шится SAIFI после реконструкции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сравнению с ситуацией до рекон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струкции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=(1-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SAIFI(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0) – среднее количество установившихся повреждений в год на одного потребителя до и после реконструкции соответственно.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ARAE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Recloser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Fpplicftion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Efficiency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средняя эффективность применения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реклоузеров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характеризующая среднюю эффективность применения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реклоузеров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то есть, наско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лько удалось улучшить SAIFI кажд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ого фидера реконструированной сети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сравнению с ситуацией до рекон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струкции в пересчёте на один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реклоузер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ARAE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=(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)/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F – количество фидеров, вход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ящих в реконструированную сеть,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R – 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личество установленных в процессе реконструкции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реклоузеров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Customer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средняя частота отключения одного потребителя.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Momentary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мгновенный индекс средней частоты отключений.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LOEE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Energy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Expectation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математическое ожидание годово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объёма ограничений потребителей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электрической энергии из-за ава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рийных длительных ремонтов оборудования (см. EUE).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EUE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Expected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Unserved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Energy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математическое ожидание годового объёма ограничений потребителей в электрической энергии М[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W] из-за аварийных длительных ремонтов оборудования (см. LOEE).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LOLE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Expectation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ожидаемое число суток в году, когда происходит потеря нагрузки или среднее чи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сло суток в году, когда возника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 дефицит мощности.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LOLH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Hours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среднее число часов дефицита мощности или длительность потери нагрузки в часах.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LOLP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Probability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вероятность потери нагрузки; вероятность дефицита мощности на малом (заданном) интервале времени, как правило, в период максимальной нагрузки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LOLP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вероятность состояния отказа системы – доля времени, в течение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которого систем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 находится в состоянии отказа;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– параметр модели.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LCOE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Levelized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Cost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Electricity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средняя расчётная (нормированная) себестоимость производства электр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оэнергии на протяжении жизненно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цикла электростанции (включая все возможные инвестиции, затраты и доходы).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LOLD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Duration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продолжительность потери нагрузки.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LOLF (Loss of Load Frequency)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потери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нагрузки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MTBFO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Mean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time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between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forced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outages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среднее время между вынужденными отключениями.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Несмотря на множество предложенных показателей, они позволяют лишь в среднем оценить состоян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ие СЭС на основе не всегда достаточной и достоверной ретроспективной информации. Применение их в целях оценки и (или) прогнозирования функционирования системы на более коротких интервалах, в разных режимах и при переменной структуре практически невозможно.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 под надёжностью СЭС можно понимать и степень соответствия возможных или фактически достигнутых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результатов B требуемым для вы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полнения стоящих перед ней задач. Тогда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{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↑}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R – событие, заключающееся в выполнении СЭС заданных функций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(задач) в заданном объёме, с соблюдением всех установленных нормативов;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нижний и верхний пределы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необходимого результата функцио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нирования СЭС.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выражению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оценивается надёжность одноцелевой (простой)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системы или обобщённый результат 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ункционирования многоцелевой 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стемы (например, РГ, ВИЭ). Возможно также определение вероятности 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степени соответствия результатов 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ребуемым для выполнения соответ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ствующих задач: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{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↑}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необходимости оценки надёжно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сти многоцелевой системы с пред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ставлением результатов выполнения каждой из n целей в отдельности,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обобщённая надёжность СЭС может быть представлена как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3552825</wp:posOffset>
                </wp:positionH>
                <wp:positionV relativeFrom="paragraph">
                  <wp:posOffset>3175</wp:posOffset>
                </wp:positionV>
                <wp:extent cx="19050" cy="571500"/>
                <wp:effectExtent l="0" t="0" r="19050" b="19050"/>
                <wp:wrapNone/>
                <wp:docPr id="14" name="Прямая соединительная линия 3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9049" cy="57150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3" o:spid="_x0000_s13" style="position:absolute;left:0;text-align:left;z-index:251661312;mso-wrap-distance-left:9.0pt;mso-wrap-distance-top:0.0pt;mso-wrap-distance-right:9.0pt;mso-wrap-distance-bottom:0.0pt;visibility:visible;" from="279.8pt,0.2pt" to="281.2pt,45.2pt" filled="f" strokecolor="#000000" strokeweight="0.50pt">
                <v:stroke dashstyle="solid"/>
              </v:line>
            </w:pict>
          </mc:Fallback>
        </mc:AlternateConten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2452370</wp:posOffset>
                </wp:positionH>
                <wp:positionV relativeFrom="paragraph">
                  <wp:posOffset>3175</wp:posOffset>
                </wp:positionV>
                <wp:extent cx="19050" cy="571500"/>
                <wp:effectExtent l="0" t="0" r="19050" b="19050"/>
                <wp:wrapNone/>
                <wp:docPr id="15" name="Прямая соединительная линия 2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9049" cy="571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4" o:spid="_x0000_s14" style="position:absolute;left:0;text-align:left;z-index:251659264;mso-wrap-distance-left:9.0pt;mso-wrap-distance-top:0.0pt;mso-wrap-distance-right:9.0pt;mso-wrap-distance-bottom:0.0pt;visibility:visible;" from="193.1pt,0.2pt" to="194.6pt,45.2pt" filled="f" strokecolor="#000000" strokeweight="0.50pt">
                <v:stroke dashstyle="solid"/>
              </v:line>
            </w:pict>
          </mc:Fallback>
        </mc:AlternateConten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highlight w:val="white"/>
        </w:rPr>
      </w:r>
      <w:r/>
    </w:p>
    <w:p>
      <w:pPr>
        <w:contextualSpacing/>
        <w:spacing w:before="0" w:beforeAutospacing="0" w:after="0" w:afterAutospacing="0" w:line="240" w:lineRule="auto"/>
        <w:tabs>
          <w:tab w:val="left" w:pos="3345" w:leader="none"/>
          <w:tab w:val="center" w:pos="4818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B↓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B↑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нижний и верхний пределы необходимого результата фун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ционирования СЭС при решении i-й задачи;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возможны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или фактиче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ский результат функционирования СЭС для выполнения i-й задачи.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Надёжность – составная час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ть и основная характеристика эф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фективности функционирования СЭС. Результат функционирования – группа случайных событий, число котор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 равно числу целей (задач)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ставленных перед конкретной СЭС. Зде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сь возможен анализ следующих со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бытий: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выполнение СЭС всех n поставленных задач;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выполнение СЭС ряда наиболее важных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k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задач;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выполнение СЭС не менее заданного числа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задач и др.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Показатели надёжности могут бы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ть определены вероятностями осу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ществления соответствующих событий: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k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их математическим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ожиданиями и дисперсиями, а при нал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ичии достаточного количества ин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формации – функциями распределения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ероятностей результатов функцио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общем виде формула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представляется как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 </w:t>
      </w:r>
      <w:r>
        <w:rPr>
          <w:rFonts w:ascii="Liberation Serif" w:hAnsi="Liberation Serif" w:eastAsia="Liberation Serif" w:cs="Liberation Serif"/>
          <w:highlight w:val="whit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2604770</wp:posOffset>
                </wp:positionH>
                <wp:positionV relativeFrom="paragraph">
                  <wp:posOffset>-71189</wp:posOffset>
                </wp:positionV>
                <wp:extent cx="76200" cy="590550"/>
                <wp:effectExtent l="0" t="0" r="19050" b="19050"/>
                <wp:wrapNone/>
                <wp:docPr id="16" name="Левая круглая скобка 6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76199" cy="590548"/>
                        </a:xfrm>
                        <a:prstGeom prst="leftBracket">
                          <a:avLst>
                            <a:gd name="adj" fmla="val 8333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" o:spid="_x0000_s15" o:spt="85" type="#_x0000_t85" style="position:absolute;z-index:251665408;o:allowoverlap:true;o:allowincell:true;mso-position-horizontal-relative:text;margin-left:205.1pt;mso-position-horizontal:absolute;mso-position-vertical-relative:text;margin-top:-5.6pt;mso-position-vertical:absolute;width:6.0pt;height:46.5pt;mso-wrap-distance-left:9.0pt;mso-wrap-distance-top:0.0pt;mso-wrap-distance-right:9.0pt;mso-wrap-distance-bottom:0.0pt;visibility:visible;" filled="f" strokecolor="#000000" strokeweight="0.50pt">
                <v:stroke dashstyle="solid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highlight w:val="whit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3600450</wp:posOffset>
                </wp:positionH>
                <wp:positionV relativeFrom="paragraph">
                  <wp:posOffset>-90239</wp:posOffset>
                </wp:positionV>
                <wp:extent cx="85725" cy="609600"/>
                <wp:effectExtent l="0" t="0" r="28575" b="19050"/>
                <wp:wrapNone/>
                <wp:docPr id="17" name="Правая круглая скобка 7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85725" cy="609599"/>
                        </a:xfrm>
                        <a:prstGeom prst="rightBracket">
                          <a:avLst>
                            <a:gd name="adj" fmla="val 8333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" o:spid="_x0000_s16" o:spt="86" type="#_x0000_t86" style="position:absolute;z-index:251666432;o:allowoverlap:true;o:allowincell:true;mso-position-horizontal-relative:text;margin-left:283.5pt;mso-position-horizontal:absolute;mso-position-vertical-relative:text;margin-top:-7.1pt;mso-position-vertical:absolute;width:6.8pt;height:48.0pt;mso-wrap-distance-left:9.0pt;mso-wrap-distance-top:0.0pt;mso-wrap-distance-right:9.0pt;mso-wrap-distance-bottom:0.0pt;visibility:visible;" filled="f" strokecolor="#000000" strokeweight="0.50pt">
                <v:stroke dashstyle="solid"/>
              </v:shape>
            </w:pict>
          </mc:Fallback>
        </mc:AlternateContent>
      </w:r>
      <w:r>
        <w:rPr>
          <w:highlight w:val="white"/>
        </w:rPr>
      </w:r>
      <w:r/>
    </w:p>
    <w:p>
      <w:pPr>
        <w:contextualSpacing/>
        <w:spacing w:before="0" w:beforeAutospacing="0" w:after="0" w:afterAutospacing="0" w:line="240" w:lineRule="auto"/>
        <w:tabs>
          <w:tab w:val="left" w:pos="3345" w:leader="none"/>
          <w:tab w:val="center" w:pos="4818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  <w:t xml:space="preserve"> 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  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 – вероятность выполнения СЭС всех функций.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Проверка и подтверждение требова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ний к результатам B функциониро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вания СЭС осуществляется на основе 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ормативных значений соответствую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щих показателей надёжности. Правиль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ность их выбора (критерий досто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верности подтверждения надёжности СЭС) оценивается вероятностью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нормативное и фактическое значения показателя надёжности.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функционал, значение которого соответствует показателю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эффективности, вычисленному при условии, что отказы элементов имеют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интенсивности, соответствующие заданным (расчётным) характеристикам,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то, что все элементы абсолютно надёжны (интенсивности отказов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элементов равны нулю), показатель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дёжности сложной системы определится разностью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откуда видно снижение эффективности системы из-за отказов её элементов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сравнению с идеальной системой, э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лементы которой абсолютно надёж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ны. Поскольку идеальной системы не су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ществует, такая оценка эффектив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ности может быть использована только дл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 сравнения вариантов (по полно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 и точности исходной информации, структурным особенностям, качеству управляющих алгоритмов и т. п.).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Безопасность – один из важнейш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их показателей качества и эффек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тивности функционирования системы. Другие комплексные показатели, такие, как надёжность, стоимость могут в полной мере применяться для оценки того или иного варианта созд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ания или функционирования систе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мы, тогда как меры по обеспечению безопасности предпринимаются уже на этапе разработки системы. В последние годы термин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безопасность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получил широкое распространение, поскольку защита от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многочислен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ных угроз всего населения Земли и отдельного индивидуума выходит на первое место в системе приоритетов человечества, потеснив проблемы повышения производительности труда и создания новых технологий.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Внутренняя безопасность – характеристика цел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остности системы,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казатель ее гомеостаза. Она определяет способность системы поддерживать свое нормальное функционирование в ус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ловиях внешних и внутренних воз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действий.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Внешняя безопасность – способность системы взаимодействовать со средой без нарушения гомеостаза. Другими словами, воздействие системы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среду не приводит к необратимы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 изменениям или нарушениям важ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нейших параметров, характеризующих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состояние среды, принятое за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пустимое.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Живучесть способность СЭС (подсистемы, объ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екта, элемента) в 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елом сохранять свойства, необходимы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для выполнения требуемых функ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ций, при наличии воздействий, не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редусмотренных условиями нормал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ьной эксплуатации. Это способность её полностью или в ограниченном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объеме выполнять свои функции при нарушении работоспособного состояния и восстанавливать их полностью или частично за допустимый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(нормированный) период времени. Для объектов электроэнергетики – это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способность полностью или в огра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ниченном (договорном или нормиро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ванном) объёме выполнять свои фу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нкции при воздействиях, не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смотренных условиями нормальной э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ксплуатации, а при нарушении 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ботоспособного состояния – восстанав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ливать его за технологически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пустимый период времени. Живучесть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определяется также активной ре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акцией системы на возмущения за счёт рационально организованной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структуры, выбором целесообразных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режимов функционирования, не 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опускающих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каскадного развития аварий, ограничивая глубину (тяжесть)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 с возможностью массового нарушения режима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потребителей.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Свойство управляемости заключается в приспособленности СЭС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предупреждению и обнаружению выхода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значений параметров за допусти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мую область и возврату их в эту область средствами управления за конечный промежуток вр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емени. Управляемость обеспечива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 возможность эффективного управления режимом объекта энергетики,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максимально возможную безотказность и восстанавливаемость его, что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предполагает наличие достаточных ресурсов и технических средств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осуществления соответствующего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при одном и том же внешнем воздействии (или при внутренних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отказах элементов) управление системой возможно в вариантах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…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γ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 показатель эффективности системы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значениями функцио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нала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соответствующими вариантам управления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…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γ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Тогда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величина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y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представляющая сравнитель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ную оценку вариантов управления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y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получения абсолютной оценки качества управления необходима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информация об идеальном его варианте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при котором эффективность мак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симальна, но этот вариант (также, как и его показатели) в общем случае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остаётся неизвестным.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Помеха – воздействие, искажающее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сигнал, несущий полезную инфор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мацию и вызывающее нежелательное искажающее воздейс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твие на электро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установку или на результаты измерений.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Тогда помехозащищённость – спо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собность ослаблять действие случайных или несанкционированных помех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 счёт дополнительных средств защиты объекта для выполнения им своих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функций в пределах технологических регламентов.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значение показателя эффектив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ности R соответствует функциони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рованию системы в условиях помех с заданными характеристиками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относится к работе системы без помех, показатель помехозащищённости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аналогично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и показыв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ает, насколько изменяется эффек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тивность системы под влиянием помех с заданными параметрами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Устойчиво способность – свойство 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бъекта энергетики непрерывно со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хранять устойчивость в течение некоторого времени до выхода значений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параметров за допустимую область без повреждения объекта. В теории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устойчивость – характеристикой того, что стабильно и стремится сохранить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своё равновесное состояние во времени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Устойчивость электрической 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стемы – способность сохранять состояни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равновесия в период нормально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режима работы, при его возмущениях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 аварийных условиях, возвра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щаясь в исходный режим после снятия возмущений или режим близкий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нему, допустимый по условиям эксплуатации ЭЭС, 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сли возмущающее воз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действие не снято.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Экономичность – совокупность экономических характеристик объекта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энергетики, его технологии, эксплуатации и организационно-технических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структур, обеспечивающих экономичес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кую целесообразность использова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ния данного объекта в данных условиях. Научно обоснованный минимум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суммарных инвестиционных и эксплуатационных расходов энергосистемы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или её элементов (электростанций, электрических сетей и др.), включая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ущерб от нарушений электроснабжения, представляют экономический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терий надежности. Экономическая эффективность повышения надежности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потребителей опред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еляется разностью изменения сум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марного ущерба от отказов (или изменения режимов) в системе затрат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осуществление мероприятий по повышению надежности.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Среди множества свойств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энергообъектов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влияния их на надёжность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выделяются внешние (входные), вну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тренние и производные от них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Внешние представляют собой: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ресурсоёмкость, влияющую на надёжность через затраты ресурсов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её обеспечение;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ресурсозависимость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характериз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ующую влияние ресурса (первично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энергоносителя) на создание, функционирование, развитие и ликвидацию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(утилизацию) объекта энергетики, особен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 в условиях хозяйственной,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литической или другого вида нестабильности;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ресурсообеспеченность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обеспеч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ивающую гарантии поставки ресур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 в условиях природных, техногенных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социально-экономических возму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свойству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ресурсообеспеченности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относится также обеспечение нор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мальных и аварийных режимов функц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ионирования системы генерирующи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ми мощностями, трудовыми и финансовыми ресурсами.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основным внутренним свойствам объектов энергетики относятся: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производительность, маневренность, ине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рционность, адаптивность, управ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ляемость, надёжность, наблюдаемость, избыточность и ряд других.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качестве выходного свойства объекта энергетики выступает технико-экономический ущерб как от внезапных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(или) плановых нарушений элек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троснабжения, так и от управления режимами генерации и потребления.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Вместе с тем, наряду с надёжностью уже рассматрива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ются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вопросы живучести систем энерге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В этих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работах отмечалось, что в ЭЭС возраста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 цена отдельных аварий и повы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шается её уязвимость в целом. Оценка живучести в значительной степени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стойкостью элементов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(объектов) ЭЭС к внешним воздей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ствиям и возможностями их восстановления.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обеспечения возможности управления структурой современные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ЭЭС (СЭС) должны обладать свойством гибкости, которое рассматривается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как способность с необходимой скоростью изменять свою структуру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обеспечения нормального развития, 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также функционирования при воз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можных возмущениях и при оптимизации режимов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Один из источников гибкости в СЭС – управление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спросом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Это механизм изменения потребления э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лектроэнергии конечными потреби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телями относительно их нормального профиля нагрузки в ответ на ценовые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сигналы ЭЭС или прямые команды СО.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Такими сигналами могут быть из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менение цен на электроэнергию во времени; стимулирующие выплаты,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предусмотренные для снижения потребл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ения в периоды высоких цен оптового рынка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моменты, когда системная надёжность находится под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угрозой. Управление спросом наряду с традиционной, распределённой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возобновляемой генерацией, а также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копителями энергии способно ока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зывать услуги по регулированию и восстановлению частоты, обеспечивая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системную гибкость.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Усиление негативного влияния чрезвычайных ситуаций природного,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техногенного, экономического и политич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еского характера потребовали 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тивизации исследований, связанных с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обеспечением энергетической без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опасности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Таким образом, сложилось пространство свойств ЭЭС,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непосредственно связанных с надёжностью.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Создание, развитие и эксплуатация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интеллектуальных ЭЭС с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активно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адаптивной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сетью (ИЭС ААС) сопрово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ждается массовым внедрением циф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ровых технологий, обеспечивающих 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ункционирование большого количе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ства датчиков сбора, обработки и инфо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рмационного обмена по вертикаль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ным и горизонтальным уровням ЭЭС, свя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занного с режимами сети, состоя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нием основного и вспомогательного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оборудования. ИЭС ААС характери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зуются наличием интеллектуальных сис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оценки,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текущей и прогнозиро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вания будущей ситуации, быстродейств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ующих автоматических и автомати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зированных исполнительных органов упр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авления элементами системы в ре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альном масштабе времени.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оценки безопасности и надёжности системы 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актуальных данных в необходимом объёме 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предоставлено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1.10.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4" w:name="_Toc118737719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Существующие технические и технологические проблемы в системах электроснабжения выделенного класса напряжения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Основными технологическими и техническими проблемами в системе электроснабжения села Толька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Физический и моральный износ генерирующего оборудования (дизель-генераторов), выработавших нормативный срок службы;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Физический износ закрытого распределительного устройства.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Распределительное устройство 6 кВ выполнено в закрытом исполнении с одиночной секционированной системой сборных шин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, в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качеств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е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аппаратов защиты и управления установлены ячейки КРУ-2-10-20У3 с маслеными выключателями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Низкая загрузка силовых трансформаторов на действующих подстанциях;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Аварийные источники электроэнергии;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Для снижения потерь электроэнергии и ввиду большой реактивной мощности необходимо установить компенсирующие устройства, или произвести замену имеющихся трансформаторных подстанций на соответствующие нагрузки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II.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15" w:name="_Toc118737720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Балансы производства и потребления электроэнергии</w:t>
      </w:r>
      <w:bookmarkEnd w:id="15"/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2.1. </w:t>
      </w:r>
      <w:bookmarkStart w:id="16" w:name="_Toc11873772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Фактический баланс по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требления электрической энергии.</w:t>
      </w:r>
      <w:bookmarkEnd w:id="16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Фактические балансы потребления электрической энергии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годы представлены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_Ref116551037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Фактические балансы потребления электрической эне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ргии на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территории 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777"/>
        <w:gridCol w:w="5102"/>
        <w:gridCol w:w="1250"/>
        <w:gridCol w:w="1248"/>
        <w:gridCol w:w="1250"/>
      </w:tblGrid>
      <w:tr>
        <w:trPr>
          <w:trHeight w:val="20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показателя</w:t>
            </w:r>
            <w:r>
              <w:rPr>
                <w:highlight w:val="white"/>
              </w:rPr>
            </w:r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4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Суммарное поступление за год,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кВт×ч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307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2019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2020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 г.</w:t>
            </w:r>
            <w:r>
              <w:rPr>
                <w:highlight w:val="white"/>
              </w:rPr>
            </w:r>
            <w:r/>
          </w:p>
        </w:tc>
      </w:tr>
      <w:tr>
        <w:trPr>
          <w:trHeight w:val="143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Выработано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7 472 647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6 733 195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7 107 472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Отпущено на собственные и технологические нужды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2 679 965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2 345 841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2 418 339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Отпуск (факт), в т. ч.: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7 266 877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6 561 170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6 926 221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смежным сетевым организациям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полезный отпуск конечным потребителям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6 543 225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5 907 487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3 983 426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Потери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723 652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653 683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705 707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норматив потерь - 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9,96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9,96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10,2</w:t>
            </w:r>
            <w:r>
              <w:rPr>
                <w:highlight w:val="white"/>
              </w:rPr>
            </w:r>
            <w:r/>
          </w:p>
        </w:tc>
      </w:tr>
    </w:tbl>
    <w:p>
      <w:pPr>
        <w:pStyle w:val="934"/>
        <w:numPr>
          <w:ilvl w:val="0"/>
          <w:numId w:val="0"/>
        </w:numPr>
        <w:ind w:left="0" w:firstLine="0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2.2. </w:t>
      </w:r>
      <w:bookmarkStart w:id="18" w:name="_Toc11873772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Структурны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й баланс электрической мощности.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bookmarkEnd w:id="18"/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В таблице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instrText xml:space="preserve"> REF _Ref116552467 \h  \* MERGEFORMAT </w:instrTex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b w:val="0"/>
          <w:i w:val="0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 w:val="0"/>
          <w:i w:val="0"/>
          <w:color w:val="000000" w:themeColor="text1"/>
          <w:sz w:val="28"/>
          <w:szCs w:val="24"/>
          <w:highlight w:val="white"/>
        </w:rPr>
        <w:t xml:space="preserve">4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приведена структура потребления электрической энергии на территории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годы.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4"/>
          <w:highlight w:val="whit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4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С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труктура потребления электрической энергии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Толька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годы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587"/>
        <w:gridCol w:w="4107"/>
        <w:gridCol w:w="1643"/>
        <w:gridCol w:w="1643"/>
        <w:gridCol w:w="1642"/>
      </w:tblGrid>
      <w:tr>
        <w:trPr>
          <w:trHeight w:val="273"/>
        </w:trPr>
        <w:tc>
          <w:tcPr>
            <w:shd w:val="clear" w:color="ffffff" w:fill="ffffff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one" w:color="000000" w:sz="4" w:space="0"/>
            </w:tcBorders>
            <w:tcW w:w="305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8" w:space="0"/>
              <w:left w:val="single" w:color="000000" w:sz="4" w:space="0"/>
              <w:bottom w:val="single" w:color="000000" w:sz="8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объекта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4" w:space="0"/>
            </w:tcBorders>
            <w:tcW w:w="85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4" w:space="0"/>
            </w:tcBorders>
            <w:tcW w:w="85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4" w:space="0"/>
            </w:tcBorders>
            <w:tcW w:w="853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</w:t>
            </w:r>
            <w:r>
              <w:rPr>
                <w:highlight w:val="white"/>
              </w:rPr>
            </w:r>
            <w:r/>
          </w:p>
        </w:tc>
      </w:tr>
      <w:tr>
        <w:trPr>
          <w:trHeight w:val="150"/>
        </w:trPr>
        <w:tc>
          <w:tcPr>
            <w:shd w:val="clear" w:color="ffffff" w:fill="ffffff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none" w:color="000000" w:sz="4" w:space="0"/>
            </w:tcBorders>
            <w:tcW w:w="305" w:type="pct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8" w:space="0"/>
              <w:left w:val="single" w:color="000000" w:sz="4" w:space="0"/>
              <w:bottom w:val="single" w:color="000000" w:sz="8" w:space="0"/>
              <w:right w:val="single" w:color="000000" w:sz="4" w:space="0"/>
            </w:tcBorders>
            <w:tcW w:w="2134" w:type="pct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4" w:space="0"/>
            </w:tcBorders>
            <w:tcW w:w="85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4" w:space="0"/>
            </w:tcBorders>
            <w:tcW w:w="85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4" w:space="0"/>
            </w:tcBorders>
            <w:tcW w:w="85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none" w:color="000000" w:sz="4" w:space="0"/>
            </w:tcBorders>
            <w:tcW w:w="58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Жилой фонд 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2 406 012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2 354 318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2 534 182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non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Жилой фонд 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2 406 012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2 354 318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2 534 182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none" w:color="000000" w:sz="4" w:space="0"/>
            </w:tcBorders>
            <w:tcW w:w="58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Сторонние организации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1 663 018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1 379 353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1 449 244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храм (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бюбджетн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.)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733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1 470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973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Сторонние организации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575 643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514 964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576 553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Бюджетные организации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937 761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692 434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715 157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Освещение улиц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148 881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170 485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156 561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8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Производство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2 679 965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2 345 841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2 418 339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котельные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1 971 688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1 833 489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1 861 311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электростанция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205 770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172 025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181 251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водозабор, в том числе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151 711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149 044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148 215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Водоочистные сооружения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244 216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117 543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130 351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цеховые АТЦ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45 918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34 136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59 747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ГСМ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30 303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16 955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16 419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контора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26 759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15 649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18 350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подготовка  к зиме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3 600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2 695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tcW w:w="588" w:type="dxa"/>
            <w:vAlign w:val="center"/>
            <w:vMerge w:val="restart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Потери 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723 652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653 683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705 707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4" w:space="0"/>
            </w:tcBorders>
            <w:tcW w:w="305" w:type="pct"/>
            <w:vAlign w:val="bottom"/>
            <w:vMerge w:val="continue"/>
            <w:textDirection w:val="lrTb"/>
            <w:noWrap/>
          </w:tcPr>
          <w:p>
            <w:r/>
            <w:r/>
          </w:p>
        </w:tc>
        <w:tc>
          <w:tcPr>
            <w:shd w:val="clear" w:color="ffffff" w:fill="ffffff"/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single" w:color="000000" w:sz="4" w:space="0"/>
            </w:tcBorders>
            <w:tcW w:w="213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Итого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8" w:space="0"/>
              <w:left w:val="none" w:color="000000" w:sz="4" w:space="0"/>
              <w:bottom w:val="single" w:color="000000" w:sz="8" w:space="0"/>
              <w:right w:val="none" w:color="000000" w:sz="4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7 472 647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8" w:space="0"/>
              <w:right w:val="single" w:color="000000" w:sz="8" w:space="0"/>
            </w:tcBorders>
            <w:tcW w:w="854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6 733 195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8" w:space="0"/>
              <w:left w:val="single" w:color="000000" w:sz="4" w:space="0"/>
              <w:bottom w:val="single" w:color="000000" w:sz="8" w:space="0"/>
              <w:right w:val="single" w:color="000000" w:sz="8" w:space="0"/>
            </w:tcBorders>
            <w:tcW w:w="853" w:type="pct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7 107 472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2.3.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20" w:name="_Toc118737723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Потер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и электрической энергии в сетях</w:t>
      </w:r>
      <w:bookmarkEnd w:id="20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Фактические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потери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электрической энергии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электрических сетях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годы представлены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_Ref116552617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5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Фактические потери электрической энергии в электрических сетях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Толька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годы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1049"/>
        <w:gridCol w:w="3525"/>
        <w:gridCol w:w="1685"/>
        <w:gridCol w:w="1683"/>
        <w:gridCol w:w="1685"/>
      </w:tblGrid>
      <w:tr>
        <w:trPr>
          <w:trHeight w:val="227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показателя</w:t>
            </w:r>
            <w:r>
              <w:rPr>
                <w:highlight w:val="white"/>
              </w:rPr>
            </w:r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2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Суммарное поступление за год,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кВт×ч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7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2019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2020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 г.</w:t>
            </w:r>
            <w:r>
              <w:rPr>
                <w:highlight w:val="white"/>
              </w:rPr>
            </w:r>
            <w:r/>
          </w:p>
        </w:tc>
      </w:tr>
      <w:tr>
        <w:trPr>
          <w:trHeight w:val="181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7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Потери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723 652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653 683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705 707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7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7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норматив потерь - 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9,96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9,96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10,2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22" w:name="_Toc11873772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2.4. Существующие нормативы потребления электрической энергии для населения в эле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ментах территориального деления</w:t>
      </w:r>
      <w:bookmarkEnd w:id="22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Существующие 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ормативы потребления коммунальной услуги по электроснабжению в жилых помещениях многоквартирных домов и жилых домах, в том числе общежитиях квартирного типа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утв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ерждены </w:t>
      </w:r>
      <w:hyperlink w:tooltip="#sub_0" w:anchor="sub_0" w:history="1">
        <w:r>
          <w:rPr>
            <w:rFonts w:ascii="Liberation Serif" w:hAnsi="Liberation Serif" w:eastAsia="Liberation Serif" w:cs="Liberation Serif"/>
            <w:spacing w:val="-1"/>
            <w:sz w:val="28"/>
            <w:szCs w:val="24"/>
            <w:highlight w:val="white"/>
            <w:lang w:eastAsia="ru-RU"/>
          </w:rPr>
          <w:t xml:space="preserve">постановлением</w:t>
        </w:r>
      </w:hyperlink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Правительства Ямало-Ненецкого автономного округа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br/>
        <w:t xml:space="preserve">от 04.08.2016 № 748-П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_Ref116552826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spacing w:val="-1"/>
          <w:sz w:val="28"/>
          <w:szCs w:val="24"/>
          <w:highlight w:val="white"/>
          <w:lang w:eastAsia="ru-RU"/>
        </w:rPr>
        <w:t xml:space="preserve">Таблица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Таблица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6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. Существующие нормативы потребления электрической энергии для населения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32" w:type="pct"/>
        <w:tblInd w:w="-6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</w:tblBorders>
        <w:tblLayout w:type="fixed"/>
        <w:tblLook w:val="0000" w:firstRow="0" w:lastRow="0" w:firstColumn="0" w:lastColumn="0" w:noHBand="0" w:noVBand="0"/>
      </w:tblPr>
      <w:tblGrid>
        <w:gridCol w:w="496"/>
        <w:gridCol w:w="3651"/>
        <w:gridCol w:w="1186"/>
        <w:gridCol w:w="1352"/>
        <w:gridCol w:w="527"/>
        <w:gridCol w:w="527"/>
        <w:gridCol w:w="527"/>
        <w:gridCol w:w="527"/>
        <w:gridCol w:w="764"/>
      </w:tblGrid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Категория жилых помещений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Единица измерения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Количество комнат в жилом помещении</w:t>
            </w:r>
            <w:r>
              <w:rPr>
                <w:highlight w:val="white"/>
              </w:rPr>
            </w:r>
            <w:r/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6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Норматив потребления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286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количество человек, проживающих в помещении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 и более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не оборудованные в установленном порядке стационарными электроплитами для приготовления пищи, электроотопительными,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115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261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118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квартирные дома, жилые дома, общежития квартирного типа, оборудованные в установленном порядке стационарными электроплитами для приготовления пищи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111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тирные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или электронагревательными установками для целей горячего водоснабжения, в отопительный период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или электронагревательными установками для целей горячего водоснабжения, вне отопительного периода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артирные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 электронагревательными установками для целей горячего водоснабжения, в отопительный период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498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526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326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545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337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не 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оборудованные стационарными электроплитами, но оборудованные в установленном порядке электроотопительными и электронагревательными установками для целей горячего водоснабжения, вне отопительного периода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оборудованные в установленном порядке стационарными электроплитами, электроотопительными или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362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392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412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425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264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оборудованные в установленном порядке стационарными электроплитами,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504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312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534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331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554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343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265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499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651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193" w:type="dxa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36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3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74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199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Существующие нормативы потребления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коммунальных услуг и нормативов потребления коммунальных ресурсов в целях содержания общего имущества в многоквартирном доме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(утверждены Постановлением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Правительства Ямало-Ненецкого автономного округа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04.08.2016 № 748-П)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_Ref116553275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7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8"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7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Существующие нормативы потребления коммунальных услуг и нормативов потребления коммунальных ресурсов в целях содержания общего имущества в многоквартирном доме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                               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highlight w:val="white"/>
        </w:rPr>
      </w:r>
      <w:r/>
    </w:p>
    <w:p>
      <w:pPr>
        <w:contextualSpacing/>
        <w:ind w:firstLine="708"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/>
          <w:sz w:val="28"/>
          <w:szCs w:val="24"/>
          <w:highlight w:val="white"/>
        </w:rPr>
      </w:r>
      <w:r>
        <w:rPr>
          <w:highlight w:val="white"/>
        </w:rPr>
      </w:r>
      <w:r/>
    </w:p>
    <w:tbl>
      <w:tblPr>
        <w:tblW w:w="5000" w:type="pct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</w:tblBorders>
        <w:tblLook w:val="0000" w:firstRow="0" w:lastRow="0" w:firstColumn="0" w:lastColumn="0" w:noHBand="0" w:noVBand="0"/>
      </w:tblPr>
      <w:tblGrid>
        <w:gridCol w:w="539"/>
        <w:gridCol w:w="5397"/>
        <w:gridCol w:w="1619"/>
        <w:gridCol w:w="2072"/>
      </w:tblGrid>
      <w:tr>
        <w:trPr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N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br/>
              <w:t xml:space="preserve">п/п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Категория многоквартирных домов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Единица измерения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Норматив потребления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не оборудованные лифтами и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1,97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2.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оборудованные лифтами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3,98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не оборудованные лифтами и оборудованные электроотопительными и (или) электронагревательными установками для целей горячего водоснабжения, в отопительный период </w:t>
            </w:r>
            <w:hyperlink w:tooltip="#sub_3111" w:anchor="sub_3111" w:history="1">
              <w:r>
                <w:rPr>
                  <w:rStyle w:val="984"/>
                  <w:rFonts w:ascii="Liberation Serif" w:hAnsi="Liberation Serif" w:eastAsia="Liberation Serif" w:cs="Liberation Serif"/>
                  <w:sz w:val="20"/>
                  <w:szCs w:val="20"/>
                  <w:highlight w:val="white"/>
                </w:rPr>
                <w:t xml:space="preserve">*</w:t>
              </w:r>
            </w:hyperlink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4.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не оборудованные лифтами и оборудованные электроотопительными и (или) электронагревательными установками для целей горячего водоснабжения, вне отопительного периода</w:t>
            </w:r>
            <w:hyperlink w:tooltip="#sub_3111" w:anchor="sub_3111" w:history="1">
              <w:r>
                <w:rPr>
                  <w:rStyle w:val="984"/>
                  <w:rFonts w:ascii="Liberation Serif" w:hAnsi="Liberation Serif" w:eastAsia="Liberation Serif" w:cs="Liberation Serif"/>
                  <w:sz w:val="20"/>
                  <w:szCs w:val="20"/>
                  <w:highlight w:val="white"/>
                </w:rPr>
                <w:t xml:space="preserve">*</w:t>
              </w:r>
            </w:hyperlink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Общежития, не оборудованные лифтами и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кВт-ч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1,97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66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Общежития, оборудованные лифтами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кВт-ч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3,98</w:t>
            </w:r>
            <w:r>
              <w:rPr>
                <w:highlight w:val="white"/>
              </w:rPr>
            </w:r>
            <w:r/>
          </w:p>
        </w:tc>
      </w:tr>
    </w:tbl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2.5. </w:t>
      </w:r>
      <w:bookmarkStart w:id="25" w:name="_Toc11873772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Существующая система коммерческого учета и планы по установке прибор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ов учета.</w:t>
      </w:r>
      <w:bookmarkEnd w:id="25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системе электроснабжения учёт отпуска электрической энергии имеется на всех центрах питания,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учета электрической энергии, потребляемой гражданами, а также на границе раздела объектов электросетевого хозяйства и внутридомовых инженерных систем многоквартирного дома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приборы учета класса точности 2,0 и выше.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многоквартирных домах на границе раздела объектов электросетевого хозяйства и внутридомовых инженерных систем устан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овлены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коллективные (общедомовые) приборы учета класса точности 1,0 и выше.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учета электрической энергии, потребляемой потребителями, с максимальной мощностью менее 670 кВт,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приборы учета класса точности 1,0 и выше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учета электрической энергии, потребляемой потребителями с максимальной мощностью не менее 670 кВт,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приборы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учета, позволяющие измерять почасовые объемы потребления электрической энергии, класса точности 0,5 S и выше, обеспечивающие хранение данных о почасовых объемах потребления электрической энергии за последние 120 дней и более или включенные в систему учета.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Класс точности измерительных трансформаторов, используемых в измерительных комплексах для установки (подключения) приборов учета, не ниже 0,5.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 также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измерительны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трансформатор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напряжения класса точности 1,0 для установки (подключения) приборов учета класса точности 2,0.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Приборы учета установ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границах балансовой принадлежности объектов электроэнергетики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энергопринимающих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устройств), а также в ины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 местах, с соблюдением установленных законодательством Российской Федерации требований к местам установки приборов учета. При отсутствии технической возможности установки прибора учета на границе балансовой принадлежности объектов электроэнергетики прибор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установлены в местах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максимально приближенн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 границ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балансовой принадлежности, в котор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име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тся техническ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возможност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установки. При этом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расчёта за потреблённую электрическую энергию учитываются потери на участке электрической сети от границы раздела балансовой принадлежности до местонахождения прибора учёта.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На 2022 приборами учета электрической энергии обеспечены: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- юридические лица – 126 шт.;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- физические лица – 762 шт.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Доля поставки электрической энергии по приборам учета составляет 100%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Сведения 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план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установке приборов учета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отсутствуют.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III.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26" w:name="_Toc118737726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Электронная модель схемы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электроснабжения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End w:id="26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3.1. Универсальным инструментом разработки перспективных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схем электроснабжения является их электронная модель.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Электронная модель схем электроснабжения – единая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информационная система, включающая в себя базы данных,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программное и техническое обеспечение, предназначенная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хранения, мониторинга и актуализации информации о технико-экономическом состоянии централизованных систем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электроснабжения, осуществления их оперативно-диспетчерского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управления.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Задачи, решаемые электронной моделью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графическо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представлени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объектов электроснабжения, с привязкой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топографической основе МО и полным описанием связности объектов;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паспортизации объектов электроснабжения;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описания единиц административного деления земельных участков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возможностью формирования и генерации пространственных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технологических запросов и отчетов по системе электроснабжения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административно-территориальных разрезах;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расчетов режима сетей выше 1 до 35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компенсации токов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замыкания на землю;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расчетов токов короткого замыкания;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расчета балансов электроснабжения;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расчета показателей надежности;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построения графиков для разработки и анализа сценариев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перспективного развития.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3.2.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27" w:name="_Toc118737727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Графическое представление существующих объектов системы электроснабжения с привязкой к топографической основе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населенного пункта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и полн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ым описанием связности объектов</w:t>
      </w:r>
      <w:bookmarkEnd w:id="27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Пример графического представления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существующих объектов системы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с привязкой к топографической основе населённого пункта представлен на рисунке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_Ref116553614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  <w:lang w:eastAsia="ru-RU"/>
        </w:rPr>
      </w:r>
      <w:r>
        <w:rPr>
          <w:highlight w:val="whit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53336" cy="3604920"/>
                <wp:effectExtent l="0" t="0" r="0" b="0"/>
                <wp:docPr id="18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66945319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flipH="0" flipV="0">
                          <a:off x="0" y="0"/>
                          <a:ext cx="5453335" cy="3604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29.4pt;height:283.9pt;mso-wrap-distance-left:0.0pt;mso-wrap-distance-top:0.0pt;mso-wrap-distance-right:0.0pt;mso-wrap-distance-bottom:0.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highlight w:val="white"/>
        </w:rPr>
      </w:r>
      <w:r/>
    </w:p>
    <w:p>
      <w:pPr>
        <w:pStyle w:val="954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4"/>
          <w:highlight w:val="white"/>
        </w:rPr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Пример графического представления существующих объектов системы электроснабжения с привязкой к топографической основе населённого пункта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3.2. </w:t>
      </w:r>
      <w:bookmarkStart w:id="29" w:name="_Toc118737728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Описание объектов существующей системы электроснабжения.</w:t>
      </w:r>
      <w:bookmarkEnd w:id="29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Электронная модель отражает объекты электрической сети по видам и с отражением их характеристик: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трансформаторные подстанции (ТП), в том числе трансформаторы;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распределительные пункты (РП);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линии, соединяющие центры питания (ЦП) с РП и ТП;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линии, соединяющие ТП между собой;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питающие линии промышленных предприятий, находящихся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населенного пункта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распределительные сети, кроме ведомственных сетей и сетей промышленных предприятий.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генераторы, реакторы, конденсаторы в электрических сетях;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выключатели, выключатели нагрузки, разъединители ПС, ТП, РП и линий;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оборудование релейной защиты и автоматики (РЗА), установленные на ПС, РП.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3.3.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bookmarkStart w:id="30" w:name="_Toc118737729"/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Составление</w:t>
      </w:r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 шаблонов пользовательских форм (генератор форм элек</w:t>
      </w:r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тронных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таблиц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Microsoft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Excel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)</w:t>
      </w:r>
      <w:bookmarkEnd w:id="30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аблон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пользовательских форм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построены с помощью VBA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создать форму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добавив в книгу элементы управления содержимым, такие как кнопки, флажки, списки и поля со списками. После этого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можно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заполнить эту форму в приложении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при желании распечатать 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1. Отображение вкладки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Разработчик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меню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выберите элемент Параметры.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разделе Разработка выберите Представление.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разделе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Показывать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ленте установите флажок Вкладка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Разработчик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2. Добавление и форматирование элементов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управления содержимым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вкладке Разработчик выберите элемент управления, который хотите добавить.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листе щелкните место, куда нужно вставить элемент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Чтобы задать свойства элемента управления, щелкните его, удерживая нажатой клавишу CONTROL, и выберите пункт Формат элемента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окне Формат объекта задайте такие свойства элемента управления, как шрифт, выравнивание и цвет.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Повторите действия 1–4 для каждого добавляемого элемента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3. Защита листа, содержащего форму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меню Сервис наведите указатель на пункт Защита и выберите команду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Защитить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лист.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Выберите нужные параметры защиты.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Сохраните и закройте книгу.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4. Проверка формы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необходимости вы можете проверить форму, прежде чем распространять 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Защитите форму, как указано в описании шага 3.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Откройте форму еще раз, заполните ее обычным способом и сохраните как копию.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3.4.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1" w:name="_Toc118737730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Пол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учени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е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реестра объектов моделей.</w:t>
      </w:r>
      <w:bookmarkEnd w:id="31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режиме работы окна семантической информации Ответ или База предусмотрен экспорт соответствующего набор записей в лист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Microsoft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для последующего анализа.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экспорта данных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Microsoft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окне семантической информации на вкладке Ответ или База нажмите кнопку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highlight w:val="white"/>
        </w:rPr>
        <w:t xml:space="preserve">»;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диалоговом окне Экспорт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Microsoft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из списка Шаблоны отчетов выберите нужный шаблон, при экспорте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используются либо такие же шаблоны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как и для печатных отчетов, либо шаблоны на основе файлов шаблонов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(формата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xlt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highlight w:val="white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не устраивают существующие шаблоны, то нужно нажать кнопку Новый и создать новый шаблон;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строке Путь к книге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нажмите кнопку Обзор..., укажите полный путь до него, затем: для экспорта в книгу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из списка тип файла выберите Книга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(*.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xls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); для экспорта в электронную таблицу ODS из списка тип файла выберите Электронная таблица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OpenOffice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(*.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ods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строке Имя листа укажите имя листа, на котором будут размещены данные,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например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Лист1;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нажмите кнопку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Сохранить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после чего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начнет процедуру экспорта, о чем будет информировать индикатор процесса. Процедуру экспорта можно прервать, нажав кнопку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Отмена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панели этого индикатора.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3.5.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2" w:name="_Toc118737731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Получени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е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сводных форм в виде эле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ктронных таблиц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Microsoft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Excel.</w:t>
      </w:r>
      <w:bookmarkEnd w:id="32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Имея исходную таблицу в формате EXCEL, для создания Сводной таблицы достаточно выделить любую ячейку исходной таблицы и в меню Работа с таблицами/ Конструктор/ Сервис выбрать пункт Сводная таблица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появившемся окне нажмем ОК, согласившись с тем, что Сводная таблица будет размещена на отдельном листе.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отдельном листе появится заготовка Сводной таблицы и Список полей, размещенный справа от листа (отображается только когда активная ячейка находится в диапазоне ячеек Сводной таблицы).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появившемся окне выбираем Названия строк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Списка полей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для этого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поставим галочку в Списке полей 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поля (поле и столбец - синонимы)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ячейки столбца имеют текстовый формат, то они автоматически попадут в область Названия строк Списка полей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ячейки столбца имеют числовой формат, то они автоматически попадут в раздел Списка полей Значения.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обавлени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фильтра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необходимы следующие действия: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выделите любое значение Сводной таблицы, нажмите пункт меню Работа со сводными таблицами/ Параметры/ Действия/ Очистить/ Очистить все;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ставим галочки в Списке полей 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полей;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переносим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поле  из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области Названия строк Списка полей в область Фильтр отчета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IV.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33" w:name="_Toc118737732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Перспективные показатели потребления электроэнергии по разным категориям пользователей</w:t>
      </w:r>
      <w:bookmarkEnd w:id="33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4.1.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рамках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осуществления хозяйственной деятельности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ООО 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Ямал-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 в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202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году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планируются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осуществить подключение новых абонентов. Информация о выданных технических условиях представлена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_Ref118733941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8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0"/>
        <w:jc w:val="left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right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4" w:name="_Ref118733941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8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bookmarkEnd w:id="34"/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Реестр технических условий на подключение абонентов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Толька </w:t>
      </w:r>
      <w:r>
        <w:rPr>
          <w:highlight w:val="white"/>
        </w:rPr>
      </w:r>
      <w:r/>
    </w:p>
    <w:p>
      <w:pPr>
        <w:contextualSpacing/>
        <w:ind w:firstLine="708"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/>
          <w:sz w:val="28"/>
          <w:szCs w:val="24"/>
          <w:highlight w:val="white"/>
        </w:rPr>
      </w:r>
      <w:r>
        <w:rPr>
          <w:highlight w:val="white"/>
        </w:rPr>
      </w:r>
      <w:r/>
    </w:p>
    <w:tbl>
      <w:tblPr>
        <w:tblW w:w="4983" w:type="pct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486"/>
        <w:gridCol w:w="2348"/>
        <w:gridCol w:w="1898"/>
        <w:gridCol w:w="1590"/>
        <w:gridCol w:w="1388"/>
        <w:gridCol w:w="1754"/>
      </w:tblGrid>
      <w:tr>
        <w:trPr>
          <w:trHeight w:val="844"/>
          <w:tblHeader/>
        </w:trPr>
        <w:tc>
          <w:tcPr>
            <w:shd w:val="clear" w:color="ffffff" w:fill="ffffff"/>
            <w:tcW w:w="48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Наименование организации (физического лица)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Наименование подключаемого объекта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Адрес подключаемого объекта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 технического условия, дата выдачи ТУ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Мощность присоединяемого объекта, кВт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5"/>
          <w:tblHeader/>
        </w:trPr>
        <w:tc>
          <w:tcPr>
            <w:shd w:val="clear" w:color="ffffff" w:fill="ffffff"/>
            <w:tcW w:w="48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48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Федосеев Александр Викторович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ИЖС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с. Толька, ул. Геофизиков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№132 от 06.06.2022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48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ООО "Аркада" (временное ТП)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ЭТНОПАРК (строительный вагончик)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с. Толька, ул. Набережная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№2-22/Э от 29.06.2022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48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ООО "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Верхнетазовская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рыбодобывающая компания"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Морозильные агрегаты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с. Толька, ул. Таёжная, 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№3-22/Э от 30.06.2022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48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ООО "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Танталл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"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Промбаза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с. Толька, 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промбаза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№4-22/Э от 07.07.2022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48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Тихомиров Денис Сергеевич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ИЖС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с. Толька, ул. Набережная, д. 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№5-22/Э от 07.07.2022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48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ООО "ГЕНИНВЕСТРОЙ" (временное ТП)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КР тепловой и водопроводной сети по ул. 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Ямальский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тупик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с. Толька, ул. 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Ямальский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тупик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№6-22/Э от 07.07.2022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48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ООО "ГЕНИНВЕСТРОЙ" (временное ТП)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КР тепловой и водопроводной сети по ул. 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Ямальский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тупик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с. Толька, ул. 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Ямальский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тупик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№7-22/Э от 07.07.2022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48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ООО "Таёжный Край"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Пекарня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с. Толька, Светлогорская, д. 3а, пом. 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№8-22/Э от 26.07.2022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48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Администрация села Толька</w:t>
            </w:r>
            <w:r>
              <w:rPr>
                <w:highlight w:val="white"/>
              </w:rPr>
            </w:r>
            <w:r/>
          </w:p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(ПРЕДВАРИТЕЛЬНЫЕ ДЛЯ ПРОЕКТИРОВАНИЯ)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"Детский сад на 140 мест в с. Толька Красноселькупского р-на"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с. Толька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№9-22/Э от 12.08.2022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48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МУК "КУКС" (ПРЕДВАРИТЕЛЬНЫЕ ДЛЯ ПРОЕКТИРОВАНИЯ)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Строительство нового 4-х квартирного дома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с. Толька, ул. Лесная, д. 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№10-22/Э от 09.09.2022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48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234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МУК "КУКС" (ПРЕДВАРИТЕЛЬНЫЕ ДЛЯ ПРОЕКТИРОВАНИЯ)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9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Строительство нового 4-х квартирного дома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59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с. Толька, ул. Лесная, д. 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8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№11-22/Э от 09.09.2022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75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60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необходимо провести мероприятия по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недрению энергосберегающих технологий на предприятиях, позволяющих при тех же технологических режимах значительно сократить потребление электроэнергии; осуществить работу по установке у потребителей приборов учета и систем регулирования всех видов энергии.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4.2. Электрические нагрузки. Проектная схема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Электрические нагрузки жилищно-коммунального сектора определены по срокам проектирования на основе численности населения, принятой настоящим проектом,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Нормативов для определения расчетных электрических нагрузок зданий (квартир), коттеджей, микрорайонов (кварталов) застройки и элементов распределительной сети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утвержденных приказом Мин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истерства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лива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етики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Росси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йской Федерации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29.07.1999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№ 213. Указанные нормативы учитывают изменения и дополнения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Инструкции по проектированию электрических сетей РД 34.20.185-94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Согласно нормативам, укрупненный показатель расхода электроэнергии коммунально-бытовых потребителей принят на расчетный срок для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населенного пункта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 газовыми плитами – 2170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×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/чел в год, годовое число часов использования максимума электрической нагрузки – 5300. При этом укрупненный показатель удельной расчетной коммунально-бытовой нагрузки составляет в среднем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0,41 кВт/чел.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Максимальная нагрузка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расчетный срок составит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2,3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МВт.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Годовой расход электроэнергии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составит на расчетный срок около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8,76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млн.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×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Рост электрических нагрузок на сроки проектирования обусловлен необходимостью создания комфортных условий для проживания населения и развития промышленности,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сельского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хозяйства и общественно-деловой инфраструктуры.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Покрытие электрических нагрузок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предусматривается от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децентрализованной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энергосистемы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села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за счет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существующей ДЭС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V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36" w:name="_Toc118737733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Предложения по строительству, реконструкции и модерниз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ации объектов электроснабжения</w:t>
      </w:r>
      <w:bookmarkEnd w:id="36"/>
      <w:r>
        <w:rPr>
          <w:highlight w:val="white"/>
        </w:rPr>
      </w:r>
      <w:r/>
    </w:p>
    <w:p>
      <w:pPr>
        <w:contextualSpacing/>
        <w:ind w:left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5.1.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7" w:name="_Toc118737734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 реконструируемых и предлагаемых к новому строительству электрических сетях, обеспечивающих перераспределение электрической нагрузки из зон с дефицитом в зоны с избытком электрических мощностей (использование существующих резервов).</w:t>
      </w:r>
      <w:bookmarkEnd w:id="37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Мероприятия по реконструкции и новому строительству электрических сетей, обеспечивающих перераспределение электрической нагрузки из зон с дефицитом в зоны с избытком электрических мощностей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не запланировано.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5.2. </w:t>
      </w:r>
      <w:bookmarkStart w:id="38" w:name="_Toc11873773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с.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Толька.</w:t>
      </w:r>
      <w:bookmarkEnd w:id="38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отсутствуют. В связи с этим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реконстру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новое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строительств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электрических сет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обеспечивающих перераспр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еделение электрической нагрузки, не предусматривается.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5.3. </w:t>
      </w:r>
      <w:bookmarkStart w:id="39" w:name="_Toc118737736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об электрических сетях, предлагаемых к новому строительству для обеспечения перспективных приростов электрической нагрузки во вновь осваиваемых районах поселения под жилищную, комплексную или производственную застройку</w:t>
      </w:r>
      <w:bookmarkEnd w:id="39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Информация об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электрических сетях, предлагаемых к новому строительству для обеспечения перспективных приростов электрической нагрузки во вновь осваиваемых районах поселения под жилищную, комплексную или производственную застройку отсутствует.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5.4. </w:t>
      </w:r>
      <w:bookmarkStart w:id="40" w:name="_Toc118737737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об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электрических сетях, предлагаемых к новому строительству для обеспечения перспективных приростов электрической нагрузки в зонах с дефицитом электрической мощности с перераспределением электрической мощности от действующих объектов системы электроснабжения.</w:t>
      </w:r>
      <w:bookmarkEnd w:id="40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отсутствуют.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связи с этим перераспределение электрической нагрузки не предусматривается.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5.5.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41" w:name="_Toc118737738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об электрических сетях, предлагаемых к новому строительству для обеспечения нормативной надежности и безопасности электроснабжения</w:t>
      </w:r>
      <w:bookmarkEnd w:id="41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Электросетевым хозяйством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обеспечивается нормативная надёжность и безопасность электроснабжения. В связи с этим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ново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строительств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 электрических сетей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для обеспечения нормативной надежности и безопасности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потребителей не предусматривается.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5.6.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42" w:name="_Toc118737739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об участках электрических сетей, обеспечивающих вывод электрической мощности от вновь строящихся и реконструируемых объектов системы электроснабжения</w:t>
      </w:r>
      <w:bookmarkEnd w:id="42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 и реконструкция объектов системы электроснабжения,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которых потребуется вывод электрической мощности, не предполагается.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5.7.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43" w:name="_Toc118737740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 реконструируемых участках электрической сети с увеличением ее пропускной способности для обеспечения перспективных приростов электрической нагрузки</w:t>
      </w:r>
      <w:bookmarkEnd w:id="43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Мероприятия по реконструкции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участк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электрической сети с увеличением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пропускной способности для обеспечения перспективных приростов электрической нагрузки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 требуется.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5.8. </w:t>
      </w:r>
      <w:bookmarkStart w:id="44" w:name="_Toc11873774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 реконструируемых участках электрической сети, подлежащих замене в связи с исчерпанием эксплуатационного ресурса (при этом остаточный ресурс требуется определять по текущему состоянию).</w:t>
      </w:r>
      <w:bookmarkEnd w:id="44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рамках проведения ежегодного капитального ремонта электросетевого хозяйства ООО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Ямал-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планируется замена участков электрических сетей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связи с исчерпанием эксплуатационного ресурса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5.9. </w:t>
      </w:r>
      <w:bookmarkStart w:id="45" w:name="_Toc11873774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 диспетчеризации, телемеханизации и автоматизированных системах управления режимами электроснабжения</w:t>
      </w:r>
      <w:bookmarkEnd w:id="4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Автоматизированные 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стемы управления электроснабжением (АСУЭ) выполняют функции дистанционного контроля и управления распределением электроэнергии на предприятии. Основной целью их создания является обеспечение бесперебойного, стабильного электроснабжения предприятия за счет: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предоставления оперативному и диспетчерскому персоналу достоверной информации по текущим характеристикам сетей электроснабжения, состоянию и режимам работы энергетического оборудования электрических подстанций;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реализации функций телеуправления объектами электроснабжения в дистанционном режиме;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предупреждения ошибочных действий персонала, обеспечения своевременного и грамотного реагирования на предаварийные и аварийные ситуации;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автоматического ведения журналов технологических событий и предоставления инструментов для просмотра и анализа аварийных осцил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ограмм, действий операторов, истории изменения контролируемых параметров.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Источниками эффективности применения автоматизированных систем управления электроснабжением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повышение надежности функционирования энергосистемы предприятия. Минимизация простоев технологического оборудования, связанных с перебоями электроснабжения и низким качеством электроэнергии;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повышение качества планирования и управления потреблением электроэнергии. Увеличение коэффициента использования выделенного лимита мощности, минимизация штрафов за превышение лимитов;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повышение прозрачности расчетов с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субабонентами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предупреждение ошибочных действий эксплуатационного и оперативно-диспетчерского персонала. Минимизация последствий нештатных ситуаций;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снижение трудозатрат на сбор первичной информации и формирование отчетных документов.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Структура автоматизированных систем управления электроснабжением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Нижний уровень систем АС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УЭ образуют измерительные преобразователи тока и напряжения, средства технического учета электроэнергии, системы противоаварийной защиты и автоматики, иные устройства, обеспечивающие измерение и регулирование режимов работы оборудования электрической сети.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Первичные данные о состоянии и режимах работы подстанций,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араметрах выработки и потребления электроэнергии поступают на устройства сбора, предварительной обработки, агрегирования телемеханической информации и данных технического учета электроэнергии, образующие средний уровень систем управления электроснабжением.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Агрегированные, предварительно обработанные да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нные с подстанций поступают на верхний уровень АСУЭ, на сервера подсистемы сбора и обработки технологической информации, сервера долговременного хранения данных и выводятся на экран коллективного использования в диспетчерской, а также на АРМ специалистов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энергодиспетчера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инженера-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релейщика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специалистов службы главного энергетика и др.) в формате мнемосхем, графиков, диаграмм, таблиц, сводных панелей показателей, цифровых и текстовых табло.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5.10. Основные функциональные возможности систем управления электроснабжением</w:t>
      </w:r>
      <w:r>
        <w:rPr>
          <w:rFonts w:ascii="Liberation Serif" w:hAnsi="Liberation Serif" w:eastAsia="Liberation Serif" w:cs="Liberation Serif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Основное предназначение систем АСУЭ – обеспечить эффективное оперативно-диспетчерское управление объектами электроснабжения в нормальных, переходных и аварийных режимах. Поэтому, к числу их основных функций относятся: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параметров работы электрической сети и силового оборудования (значение токов, напряжений, мощностей, частоты и др.);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положения коммутационных аппаратов;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состояния основного и вспомогательного электрооборудования;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неэлектрических параметров функционирования подстанций (сигналы охранной и пожарной сигнализации, температурный режим на подстанции и др.);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вычисление расчетных величин (расчет линейных напряжений и токов по фазным, 3Uo, 3Io. U2, I2 и др.);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и регистрация выхода измеряемых параметров за установленные границы, регистрация аварийных событий и нарушений;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формирование сообщений предупредительной и аварийной сигнализации;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изменение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уставок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работы оборудования, формирование и передача команд телеуправления на устройства нижнего 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диагностика и самодиагностика комплекса технических средств системы: измерительных, регистрирующих и регулирующих устройств, линий связи, серверного 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ведение архивов измеряемых и рассчитываемых значений, ведение журналов действий пользователя в системе;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формирование технической, оперативной, эксплуатационной и отчетной документации;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обмен информацией со смежными и внешними информационными системами.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зависимости от задач Заказчика в системах управления электроснабжением может быть такж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реализована функциональность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информационно-аналитических систем управления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энергоэффективностью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части учета и анализа параметров потребления электрической энергии, в том числе: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учёт потребления электроэнергии на различные нужды (потребление по отдельным производствам, цехам, участкам);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сравнение потребления однотипных потребителей;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анализ почасовых и сезонных профилей потребления;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над ростом и равномерным распределением нагрузок;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параметров по договорам энергоснабжения;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оперативное планирование потребления электроэнергии;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вычисление балансов электроэнергии, сравнение с проектными решениями, выявление нерационального использования и потерь электрической энергии.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В настоящее время у ООО «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Ямал-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Энерго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» отсутствует автоматизированная система сбора, обработки и хранения показаний приборов учёта электроэнергии. Снятие расчетных и контрольных показаний происходит в ручном режиме, что приводит 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рассогласованиям при сведении балансов вследствие разности временных промежутков снятия показаний.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5.11. </w:t>
      </w:r>
      <w:bookmarkStart w:id="46" w:name="_Toc118737743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об автоматической системе контроля и упр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авления энергоресурсами (АСКУЭ)</w:t>
      </w:r>
      <w:bookmarkEnd w:id="46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АСКУЭ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позволяет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своевременно собирать данные по всем потребителям как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напряжению, так и по мощности.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осле этого автоматизированная программа обрабатывает всю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собранную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информацию и составляется подробный отчёт.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Инженерно-технические работники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проводят анализ, а также составляют прогноз на предстоящий период.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этого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выполн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ряд обязательных требований:</w:t>
      </w:r>
      <w:r>
        <w:rPr>
          <w:highlight w:val="white"/>
        </w:rPr>
      </w:r>
      <w:r/>
    </w:p>
    <w:p>
      <w:pPr>
        <w:pStyle w:val="955"/>
        <w:numPr>
          <w:ilvl w:val="0"/>
          <w:numId w:val="28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всех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ключевых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участках потребления электроэнергии устан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овлены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инновационные средства учёта — счётчики;</w:t>
      </w:r>
      <w:r>
        <w:rPr>
          <w:highlight w:val="white"/>
        </w:rPr>
      </w:r>
      <w:r/>
    </w:p>
    <w:p>
      <w:pPr>
        <w:pStyle w:val="955"/>
        <w:numPr>
          <w:ilvl w:val="0"/>
          <w:numId w:val="28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абсолютно все поступающие от счётчиков цифровые сигналы хран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ся в специальных блоках — сумматорах, с большой памятью;</w:t>
      </w:r>
      <w:r>
        <w:rPr>
          <w:highlight w:val="white"/>
        </w:rPr>
      </w:r>
      <w:r/>
    </w:p>
    <w:p>
      <w:pPr>
        <w:pStyle w:val="955"/>
        <w:numPr>
          <w:ilvl w:val="0"/>
          <w:numId w:val="28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обустро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центры, где обраба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тываться все полученные данные, которые оснащены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компьютерами и современным программным обеспечением;</w:t>
      </w:r>
      <w:r>
        <w:rPr>
          <w:highlight w:val="white"/>
        </w:rPr>
      </w:r>
      <w:r/>
    </w:p>
    <w:p>
      <w:pPr>
        <w:pStyle w:val="955"/>
        <w:numPr>
          <w:ilvl w:val="0"/>
          <w:numId w:val="28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вся система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обвяза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линиями связи, при помощи которых все отчёты отправля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ся потребителям и подотчётным предприятиям.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труктурн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схем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АСКУЭ раздел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три общих блока. Блок под номером один включает в себя мощные агрегаты для учёта энергии, представленные индукционными или же электронными электросчётч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иками. Такие приборы установлены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исключительно у потребител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Если же вмонтирован инновационный счётчик, то сбор необходимой информации осуществл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через встроенный порт связи.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 сегодняшний день основной процент приборов комплектуется на заводе мощным интерфейсом для включения в АСКУЭ. Если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уется счётчик старого образца 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индукционный, то специалисты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ЭСО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дополнительно оснащают его считывающим устройством, за счёт этого происходит передача данных.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Второй блок выполняет все функции связи.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оказания, которые были удачно собраны ещё на первом этапе, надёжно защищены от взлома мошенниками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переда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несколькими способами:</w:t>
      </w:r>
      <w:r>
        <w:rPr>
          <w:highlight w:val="white"/>
        </w:rPr>
      </w:r>
      <w:r/>
    </w:p>
    <w:p>
      <w:pPr>
        <w:pStyle w:val="955"/>
        <w:numPr>
          <w:ilvl w:val="0"/>
          <w:numId w:val="24"/>
        </w:numPr>
        <w:contextualSpacing/>
        <w:ind w:left="142" w:right="0" w:firstLine="709"/>
        <w:jc w:val="both"/>
        <w:spacing w:before="0" w:beforeAutospacing="0" w:after="0" w:afterAutospacing="0" w:line="240" w:lineRule="auto"/>
        <w:tabs>
          <w:tab w:val="left" w:pos="1134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через обычные телефонные линии связи;</w:t>
      </w:r>
      <w:r>
        <w:rPr>
          <w:highlight w:val="white"/>
        </w:rPr>
      </w:r>
      <w:r/>
    </w:p>
    <w:p>
      <w:pPr>
        <w:pStyle w:val="955"/>
        <w:numPr>
          <w:ilvl w:val="0"/>
          <w:numId w:val="24"/>
        </w:numPr>
        <w:contextualSpacing/>
        <w:ind w:left="142" w:right="0" w:firstLine="709"/>
        <w:jc w:val="both"/>
        <w:spacing w:before="0" w:beforeAutospacing="0" w:after="0" w:afterAutospacing="0" w:line="240" w:lineRule="auto"/>
        <w:tabs>
          <w:tab w:val="left" w:pos="1134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передача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Интернету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24"/>
        </w:numPr>
        <w:contextualSpacing/>
        <w:ind w:left="142" w:right="0" w:firstLine="709"/>
        <w:jc w:val="both"/>
        <w:spacing w:before="0" w:beforeAutospacing="0" w:after="0" w:afterAutospacing="0" w:line="240" w:lineRule="auto"/>
        <w:tabs>
          <w:tab w:val="left" w:pos="1134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мобильная связь разных стандартов (3G, GPRS,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Wi-Fi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Совокупность всех существующих способов для гарантированной безотказной работы системы.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Третий блок сочетает в себе специализированные средства компьютерн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ой обработки полученных данных.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этом этапе вся собранная информация обрабатывается и анализируется. С технической стороны третий блок обязательно состоит из мощного сервера или же компьютера с актуа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льным программным обеспечением.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В настоящее время у ООО «Ямал-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Энерго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» отсутствует автоматизированная система сбора, обработки и хранения показаний приборов учёта электроэнергии. Снятие расчетных и контрольных показаний происходит в ручном режиме, что приводит 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рассогласованиям при сведении балансов вследствие разности временных промежутков снятия показаний.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V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I.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Перспективные балансы производств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а и потребления электроэнергии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Перспективные балансы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производства и потребления электроэнергии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_Ref116565516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pStyle w:val="933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  <w:sectPr>
          <w:footnotePr/>
          <w:endnotePr/>
          <w:type w:val="nextPage"/>
          <w:pgSz w:w="11906" w:h="16838" w:orient="portrait"/>
          <w:pgMar w:top="1134" w:right="708" w:bottom="1134" w:left="1701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47" w:name="_Toc118737744"/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8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9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Перспективные балансы производства и потребления электроэнергии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3" w:type="pct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752"/>
        <w:gridCol w:w="4776"/>
        <w:gridCol w:w="1363"/>
        <w:gridCol w:w="1052"/>
        <w:gridCol w:w="1052"/>
        <w:gridCol w:w="1052"/>
        <w:gridCol w:w="1052"/>
        <w:gridCol w:w="1122"/>
        <w:gridCol w:w="1122"/>
        <w:gridCol w:w="1122"/>
      </w:tblGrid>
      <w:tr>
        <w:trPr>
          <w:trHeight w:val="300"/>
          <w:tblHeader/>
        </w:trPr>
        <w:tc>
          <w:tcPr>
            <w:shd w:val="clear" w:color="ffffff" w:fill="ffffff"/>
            <w:tcW w:w="75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77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показателя</w:t>
            </w:r>
            <w:r>
              <w:rPr>
                <w:highlight w:val="white"/>
              </w:rPr>
            </w:r>
            <w:r/>
          </w:p>
        </w:tc>
        <w:tc>
          <w:tcPr>
            <w:gridSpan w:val="8"/>
            <w:shd w:val="clear" w:color="ffffff" w:fill="ffffff"/>
            <w:tcW w:w="893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Суммарное поступление за год,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кВт×ч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295"/>
          <w:tblHeader/>
        </w:trPr>
        <w:tc>
          <w:tcPr>
            <w:tcW w:w="75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4776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2026-2030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2031-2035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2036-2038</w:t>
            </w:r>
            <w:r>
              <w:rPr>
                <w:highlight w:val="white"/>
              </w:rPr>
            </w:r>
            <w:r/>
          </w:p>
        </w:tc>
      </w:tr>
      <w:tr>
        <w:trPr>
          <w:trHeight w:val="119"/>
          <w:tblHeader/>
        </w:trPr>
        <w:tc>
          <w:tcPr>
            <w:tcW w:w="75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W w:w="477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</w:tr>
      <w:tr>
        <w:trPr>
          <w:trHeight w:val="300"/>
        </w:trPr>
        <w:tc>
          <w:tcPr>
            <w:shd w:val="clear" w:color="ffffff" w:fill="ffffff"/>
            <w:tcW w:w="7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776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Выработано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7 107 472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6 981 153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8 760 000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8 760 000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8 760 000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8 760 000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8 760 000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8 760 000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510"/>
        </w:trPr>
        <w:tc>
          <w:tcPr>
            <w:shd w:val="clear" w:color="ffffff" w:fill="ffffff"/>
            <w:tcW w:w="7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776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Отпущено на собственные и технологические нужды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2 418 339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2 099 101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3 765 935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3 765 935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3 765 935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3 765 935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3 765 935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3 765 935</w:t>
            </w:r>
            <w:r>
              <w:rPr>
                <w:highlight w:val="white"/>
              </w:rPr>
            </w:r>
            <w:r/>
          </w:p>
        </w:tc>
      </w:tr>
      <w:tr>
        <w:trPr>
          <w:trHeight w:val="300"/>
        </w:trPr>
        <w:tc>
          <w:tcPr>
            <w:shd w:val="clear" w:color="ffffff" w:fill="ffffff"/>
            <w:tcW w:w="7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776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Отпуск (факт), в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т.ч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.: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6 926 221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6 789 012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7 128 646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7 128 646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7 128 646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7 128 646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7 128 646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7 128 646</w:t>
            </w:r>
            <w:r>
              <w:rPr>
                <w:highlight w:val="white"/>
              </w:rPr>
            </w:r>
            <w:r/>
          </w:p>
        </w:tc>
      </w:tr>
      <w:tr>
        <w:trPr>
          <w:trHeight w:val="300"/>
        </w:trPr>
        <w:tc>
          <w:tcPr>
            <w:shd w:val="clear" w:color="ffffff" w:fill="ffffff"/>
            <w:tcW w:w="7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776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смежным сетевым организациям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</w:tr>
      <w:tr>
        <w:trPr>
          <w:trHeight w:val="510"/>
        </w:trPr>
        <w:tc>
          <w:tcPr>
            <w:shd w:val="clear" w:color="ffffff" w:fill="ffffff"/>
            <w:tcW w:w="7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776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полезный отпуск конечным потребителям, всего, в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т.ч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3 983 426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4 205 864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4 284 062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4 284 062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4 284 062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4 284 062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4 284 062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4 284 062</w:t>
            </w:r>
            <w:r>
              <w:rPr>
                <w:highlight w:val="white"/>
              </w:rPr>
            </w:r>
            <w:r/>
          </w:p>
        </w:tc>
      </w:tr>
      <w:tr>
        <w:trPr>
          <w:trHeight w:val="510"/>
        </w:trPr>
        <w:tc>
          <w:tcPr>
            <w:shd w:val="clear" w:color="ffffff" w:fill="ffffff"/>
            <w:tcW w:w="7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776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население, потребители, приравненные к населению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2 534 182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2 670 500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2 670 500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2 670 500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2 670 500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2 670 500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2 670 500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2 670 500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300"/>
        </w:trPr>
        <w:tc>
          <w:tcPr>
            <w:shd w:val="clear" w:color="ffffff" w:fill="ffffff"/>
            <w:tcW w:w="7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776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бюджетные организации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716 130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972 464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1 001 230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1 001 230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1 001 230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1 001 230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1 001 230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1 001 230</w:t>
            </w:r>
            <w:r>
              <w:rPr>
                <w:highlight w:val="white"/>
              </w:rPr>
            </w:r>
            <w:r/>
          </w:p>
        </w:tc>
      </w:tr>
      <w:tr>
        <w:trPr>
          <w:trHeight w:val="510"/>
        </w:trPr>
        <w:tc>
          <w:tcPr>
            <w:shd w:val="clear" w:color="ffffff" w:fill="ffffff"/>
            <w:tcW w:w="7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776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прочие потребители и внутрицеховые нужды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733 114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562 900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612 332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612 332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612 332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612 332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612 332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612 332</w:t>
            </w:r>
            <w:r>
              <w:rPr>
                <w:highlight w:val="white"/>
              </w:rPr>
            </w:r>
            <w:r/>
          </w:p>
        </w:tc>
      </w:tr>
      <w:tr>
        <w:trPr>
          <w:trHeight w:val="300"/>
        </w:trPr>
        <w:tc>
          <w:tcPr>
            <w:shd w:val="clear" w:color="ffffff" w:fill="ffffff"/>
            <w:tcW w:w="75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776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Потери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705 707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676 188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710 003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710 003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710 003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710 003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710 003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710 003</w:t>
            </w:r>
            <w:r>
              <w:rPr>
                <w:highlight w:val="white"/>
              </w:rPr>
            </w:r>
            <w:r/>
          </w:p>
        </w:tc>
      </w:tr>
      <w:tr>
        <w:trPr>
          <w:trHeight w:val="300"/>
        </w:trPr>
        <w:tc>
          <w:tcPr>
            <w:tcW w:w="75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W w:w="4776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363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5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2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</w:tr>
    </w:tbl>
    <w:p>
      <w:pPr>
        <w:pStyle w:val="933"/>
        <w:numPr>
          <w:ilvl w:val="0"/>
          <w:numId w:val="0"/>
        </w:numPr>
        <w:ind w:left="0" w:firstLine="0"/>
        <w:jc w:val="lef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ectPr>
          <w:footnotePr/>
          <w:endnotePr/>
          <w:type w:val="nextPage"/>
          <w:pgSz w:w="16838" w:h="11906" w:orient="landscape"/>
          <w:pgMar w:top="1135" w:right="822" w:bottom="708" w:left="1701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sz w:val="28"/>
          <w:highlight w:val="white"/>
          <w:lang w:val="en-US"/>
        </w:rPr>
      </w:r>
      <w:r>
        <w:rPr>
          <w:highlight w:val="white"/>
        </w:rPr>
      </w:r>
      <w:r/>
    </w:p>
    <w:p>
      <w:pPr>
        <w:pStyle w:val="933"/>
        <w:numPr>
          <w:ilvl w:val="0"/>
          <w:numId w:val="0"/>
        </w:numPr>
        <w:ind w:lef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  <w:lang w:val="en-US"/>
        </w:rPr>
        <w:t xml:space="preserve">VII.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Экологические аспекты мероприятий по строительству и реконструкции о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бъектов электроснабжения</w:t>
      </w:r>
      <w:r>
        <w:rPr>
          <w:highlight w:val="white"/>
        </w:rPr>
      </w:r>
      <w:r/>
    </w:p>
    <w:p>
      <w:pPr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проектировании, строительстве, реконструкции, эксплуатации и снятии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эксплуатации предприятий, зданий и сооружений необходимо предусматривать мероприятия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охране природы, рациональному использованию и воспроизводству природных ресурсов, 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также выполнять требования экологической безопасности проектируемых объектов и охраны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здоровья населения.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Технические решения при строительстве объектов электроэнергетики должны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соответствовать требованиям действующих экологических, санитарно-гигиенических,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противопожарных и других норм, правил, государственных стандартов и обеспечивать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безопасную для жизни людей и щадящую для окружающей среды эксплуатацию объектов.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целях обеспечения безопасности населения и в соответствии с Федеральным законом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 санитарно-эпидемиологическом благополучии населения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 30.03.1999 № 52-ФЗ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объектов и производств, являющихся источниками воздействия на среду обитания и здоровье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человека, устанавливается специальная территория с особым режимом использования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санитарно-защитная зона (СЗЗ), размер которой обеспечивает уменьшение воздействия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загрязнения на атмосферный воздух (химического, биологического, физического) до значений,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установленных гигиеническими нормативами, а для предприятий I и II класса опасности как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значений, установленных гигиеническими нормативами, так и до величин приемлемого риска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здоровья населения.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своему функциональному назначению санитарно-защитная зона является защитным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барьером, обеспечивающим уровень безопасности населения при эксплуатации объекта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штатном режиме.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Санитарно-защитные зоны устанавливаются в соответствии с СанПиН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2.2.1/2.1.1.1200 03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Санитарно-защитные зоны и санитарная классификация предприятий, сооружений и иных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объектов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Охранная зона объектов инженерной и транспортной инфраструктуры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это территория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особыми условиями использования, которая устанавливается в порядке, определяемом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Правительством Российской Федерации, вокруг объектов инженерной, транспортной и иных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инфраструктур в целях обеспечения охраны окружающей природной среды, нормальных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условий эксплуатации таких объектов и исключения возможности их повреждения.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Охранные зоны выделяются для: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электрических сетей;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линий и сооружений связи;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систем газоснабжения;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магистральных трубопроводов;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автомобильных дорог.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Охранные зоны электрических сетей устанавливаются для электроподстанций,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распределительных устройств, воздушных линий электропередач, подземных и подводных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кабельных линий электропередачи.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Использование территорий, находящихся в зоне ЛЭП, регулируется Правилами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установления охранных зон объектов электросетевого хозяйства и особых условий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использования земельных участков, расположенных в границах таких зон (Постановление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Правительства 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оссийской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едерации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 порядке установления охранных зон объектов электросетевого хозяйства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особых условий использования земельных участков, расположенных в границах таких зон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24.02.2009 № 160).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Введение таких правил обусловлено вредным воздействием электромагнитного поля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здоровье человека.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Так, по информации Центра электромагнитной безопасности, в соответствии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результатами проведённых исследований, установлено, что у людей, проживающих вблизи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линий электропередачи и трансформаторных подстанций, могут возникать изменения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функционального состояния нервной, сердечно-сосудистой, нейрогормональной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эндокринной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систем, нарушаться обменные процессы, иммунитет и воспроизводительная функции.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Поэтому, чем дальше от источников электромагнитного поля находится строение, тем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лучше.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то же время существуют такие зоны, где строительство категорически запрещено.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Дальность распространения электромагнитного поля (и опасного магнитного поля)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ЛЭП напрямую зависит от её мощности.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Исходя из мощности ЛЭП, для защиты населения от действия электромагнитного поля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установлены санитарно-защитные зоны для линий электропередачи (санитарные правила СНиП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№ 2971-84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Защита населения от воздействия электрического поля, создаваемого воздушными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линиями электропередачи переменного тока промышленной частоты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воздушных высоковольтных линий электропередачи (ВЛ) устанавливаются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санитарно-защитные зоны по обе стороны от проекции на землю крайних проводов.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Эти зоны определяют минимальные расстояния до ближайших жилых, производственных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непроизводственных зданий и сооружений:</w:t>
      </w:r>
      <w:r>
        <w:rPr>
          <w:highlight w:val="white"/>
        </w:rPr>
      </w:r>
      <w:r/>
    </w:p>
    <w:p>
      <w:pPr>
        <w:pStyle w:val="955"/>
        <w:numPr>
          <w:ilvl w:val="0"/>
          <w:numId w:val="30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 метра – для ВЛ ниже 1кВ;</w:t>
      </w:r>
      <w:r>
        <w:rPr>
          <w:highlight w:val="white"/>
        </w:rPr>
      </w:r>
      <w:r/>
    </w:p>
    <w:p>
      <w:pPr>
        <w:pStyle w:val="955"/>
        <w:numPr>
          <w:ilvl w:val="0"/>
          <w:numId w:val="30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10 метров – для ВЛ 1- 20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0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15 метров – для ВЛ 35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0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20 метров – для ВЛ 110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кВ;</w:t>
      </w:r>
      <w:r>
        <w:rPr>
          <w:highlight w:val="white"/>
        </w:rPr>
      </w:r>
      <w:r/>
    </w:p>
    <w:p>
      <w:pPr>
        <w:pStyle w:val="955"/>
        <w:numPr>
          <w:ilvl w:val="0"/>
          <w:numId w:val="30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25 метров – для ВЛ 150-220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0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30 метров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для ВЛ 330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400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500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0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40 метров – для ВЛ 750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0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55 метров – для ВЛ 1150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0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100 метров – для ВЛ через водоёмы (реки, каналы, озёра и др.).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 допускается прохождение ЛЭП по территориям стадионов, учебных и детских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учреждений.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Допускается для ЛЭП (ВЛ) до 20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принимать расстояние от крайних проводов до границ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приусадебных земельных участков, индивидуальных домов и коллективных садовых участков 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менее 20 метров.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Прохождение ЛЭП (ВЛ) над зданиями и сооружениями, как правило, не допускается.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Допускается прохождение ЛЭП (ВЛ) над производственными зданиями и сооружениями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промышленных предприятий I-II степени огнестойкости в соответствии со строительными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нормами и правилами по пожарной безопасности зданий и сооружений с кровлей из негорючих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материалов (для ВЛ 330-750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только над производственными зданиями электрических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подстанций.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охранной зоне ЛЭП (ВЛ) запрещается: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производить строительство, капитальный ремонт, снос любых зданий и сооружений;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осуществлять всякого рода горные, взрывные, мелиоративные работы, производить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посадку деревьев, полив сельскохозяйственных культур;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размещать автозаправочные станции;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загромождать подъезды и подходы к опорам ВЛ;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устраивать свалки снега, мусора и грунта;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складировать корма, удобрения, солому, разводить огонь;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устраивать спортивные площадки, стадионы, остановки транспорта, проводить любые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мероприятия, связанные с большим скоплением людей.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Проведение необходимых мероприятий в охранной зоне ЛЭП может выполняться только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получении письменного разрешения на производство работ от предприятия (организации),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ведении которых находятся эти сети.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Нарушение требований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Правил охраны электрических сетей напряжение свыше 1000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оно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вызвало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перерыв в обеспечении электроэнергией, может повлечь следующую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административную ответственность: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физические лица наказываются штрафом в размере от 5 до 10 минимальных размеров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оплаты труда;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юридические лица наказываются штрафом от 100 до 200 МРОТ.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соответствии с п.7.1.10 СанПиН 2.2.1/2.1.1.1200-03 для электроподстанций размер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санитарно-защитной зоны устанавливается в зависимости от типа (открытые, закрытые),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мощности на основании расчетов физического воздействия на атмосферный воздух, а также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результатов натурных измерений.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целях защиты населения от воздействия электрического поля, необходимо соблюдать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санитарные разрывы вдоль линий электропередач.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VIII.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50" w:name="_Toc118737746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Оценка надежности и безопас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ности системы электроснабжения</w:t>
      </w:r>
      <w:bookmarkEnd w:id="50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8.1. Под надежностью системы электроснабжения необходимо понимать вероятность того,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что устройство или система будут в полном объеме выполнять свои функции в течение заданного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промежутка времени или при заданных условиях работы.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8.2. Линии электропередачи (ЛЭП).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Самым ненадежным элементом систем электроснабжения являются ЛЭП из-за 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большой протяженности и влияния на них большого числа различных внешних воздействий.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сетях населенных пунктов по статистике около 90-95 % отключений приходятся на долю ЛЭП.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Отказом линии электропередачи называется всякое вынужденное отключение при 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повреждениях.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Различают устойчивые повреждения воздушных линий (опоры, провода, изоляторы)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неустойчивые (самовосстанавливающиеся). Последние ликвидируются путем успешного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действия устройств автоматического повторного включения (АПВ) или ручного включения.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Основными причинами повреждения воздушных линий (ВЛ)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грозовые перекрытия изоляции;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гололедно-изморозевые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отложения;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ветровые нагрузки;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вибрация и пляска проводов;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ослабление прочности деталей опор;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опор и проводов автотранспортом и др.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Внешние воздействия приводят к перекрытию изоляции, разрушению изоляторов, обрыву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проводов, падению опор.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Повреждения ВЛ возможны и в нормальных условиях работы из-за: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превышения фактических электрических нагрузок расчетных значений;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дефектов, возникших при изготовлении опор, проводов, изоляторов;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неправильного применения типов проводов, опор, изоляторов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природноклиматическим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зонам;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нарушения правил монтажа и сооружения ВЛ;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недостатков эксплуатации (несоблюдения сроков и объемов проверок, текущих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капитальных ремонтов).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8.3. Силовые трансформаторы.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Этот вид оборудования повреждается значительно реже, чем линии электропередачи,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однако его отказ ведет к более тяжким последствиям, и восстановление работоспособности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требует длительного времени.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Основные причины повреждения силовых трансформаторов: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изоляции обмоток трансформатора из-за дефектов конструкции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изготовления, а также из-за воздействия внешних перенапряжений в сети и токов короткого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замыкания;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переключателей (в основном регулируемых под нагрузкой), обусловленное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конструктивными и технологическими дефектами;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вводов, в основном при воздействии внешних перенапряжений в сети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(перекрытие внешней или внутренней изоляции, механические повреждения, некачественные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контактные соединения).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 трансформаторов больших габаритов производится на месте. Он требует, как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правило, выемки керна трансформатора, применения подъемных механизмов и может длиться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несколько суток.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 трансформаторов малых габаритов на напряжение 6-20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производится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централизованно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мастерских предприятий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электрических сетей.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Основные способы повышения надежности эксплуатации трансформаторов: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тщательная приемка в эксплуатацию с выполнением контрольных испытаний;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периодические осмотры и проверки в процессе эксплуатации с соблюдением требуемых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сроков и объема испытаний;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соблюдение режимов работы трансформаторов, не допускающих значительной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перегрузки в течение длительного времени;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установка в сети средств снижения мощности коротких замыканий (реакторов)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величины перенапряжений (разрядников).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8.4. Коммутационные электрические аппараты.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коммутационных аппаратов (автоматических выключателей, разъединителей,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короткозамыкателей, отделителей) происходят при отключении коротких замыканий,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выполнении ими различных операций, а также в стационарном состоянии.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Основная причина повреждений коммутационных аппаратов – механические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повреждения, связанные с несовершенством конструкции, нарушением технологии изготовления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или правил эксплуатации. Среди них следует выделить дефекты контактных соединений,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неполадки в электроприводе, повреждения из-за ошибочных действий персонала, а также отказы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выполнении операций включения из-за некачественной регулировки, настройки или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вследствие обледенения.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Электрические повреждения коммутационных аппаратов вызываются перекрытием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изоляции при внешних и внутренних перенапряжениях, пробоем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внутрибаковой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изоляции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выключателей и пр.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Имеют большую повреждаемость линейные разъединители 6-10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из-за недостатков 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конструктивного исполнения.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короткозамыкателей причиной отказов могут быть также самопроизвольные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включения, а для отделителей – отказы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бестоковую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паузу.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отказам предохранителей относятся их повреждения, а также неселективные и ложные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срабатывания.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8.5. Релейная защита и автоматика.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Отказами устройств релейной защиты и автоматики (РЗА)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отказы в срабатывании при наличии требования (команды) на срабатывание;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ложные срабатывания при отсутствии требования (команды) на срабатывание;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срабатывания при несоответствии командного импульса, то есть неселективные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срабатывания.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Причиной этих отказов являются повреждения элементов (резисторов, диодов,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транзисторов, тиристоров, конденсаторов, реле), из которых состоят схемы РЗА.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резисторов и полупроводниковых приборов характерен отказ типа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обрыв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(до 90%),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конденсаторов – типа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короткое замыкание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(до 80%).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Пайки, печатный монтаж из-за плохого их выполнения имеют до 95% отказов типа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обрыв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Основным источником отказов реле является контактная система, а причиной отказов 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разрегулировка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контактов, их сваривание, образование на их поверхности непроводящих пленок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из-за коррозии, загрязнения, эрозии.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маломощных реле характерны отказы из-за ложных срабатываний под действием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вибрационных и ударных нагрузок.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Различают два вида отказов: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 в работоспособности объекта;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 в электроснабжении, т.е., отказ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анализе надежности системы электроснабжения имеют в виду два процесса: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изменение уровня функционирования;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изменение уровня способности выполнять заданные функции в заданном объеме, т.е.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изменение спроса электроэнергии потребителем.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Возникновение отказа работоспособности объекта не всегда влечет за собой отказ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электроснабжении и, наоборот, отказ в электроснабжении потребителя не всегда вызывается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отказом работоспособности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Разделение отказов на полные и частичные отражает то, что система электроснабжения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ее части являются объектами с изменяющимся уровнем эффективности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Например, при повреждении секционированной ЛЭП отключается только часть линии, что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означает частичный отказ ЛЭП. Ограниченное и некачественное электроснабжение является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типичным отказом функционирования системы в отличие от полного перерыва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потребителя (полного отказа).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8.6. Классификация отказов.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продолжительности различают следующие отказы в электроснабжении: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длительные перерывы в электроснабжении потребителей, вызываемые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многочисленными повреждениями в системе электроснабжения, например,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гололедноветровыми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разрушениями опор и проводов ЛЭП (на период до нескольких суток);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 восстановления работоспособности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отказавшего элемента линии (от 4 до 24 ч.);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время, необходимое для включения резервного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элемента вручную оперативно-выездными бригадами предприятий электрических сетей (от 1,5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 6 ч.);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 оперативных переключений, выполняемых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дежурным персоналом на подстанциях (несколько минут);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кратковременные перерывы питания потребителей на время автоматического ввода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резервного питания (АВР) или автоматического отключения поврежденного участка сети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(несколько секунд).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точки зрения информативности отказы бывают: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внезапные, когда потребитель не получает никакой информации об отказе;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внеплановые, сведения о которых поступают потребителю незадолго до момента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отключения;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плановые, о которых потребитель предупреждается заблаговременно.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Критериями отказов являются их признаки (проявления), позволяющие установить факт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нарушения работоспособного состояния. Они приводятся в нормативно-технической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документации на объекты энергетики.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зависимости от характеристики нарушения, степени повреждения и их последствий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учитываются: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аварии;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отказы в работе 1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отказы в работе II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потребительские отключения.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Аварии бывают станционные, электросетевые,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теплосетевые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системные.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предприятиях электрической сети аварией считается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нарушение нормальной работы электрической сети напряжением 6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выше,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вызвавшее: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 категории, имеющих питание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двух независимых источников, на срок, превышающий время действия устройств АПВ или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потребителей I категории при несоответствии схемы питания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требованиям Правил устройств электроустановок (ПУЭ), то есть не обеспеченным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электроснабжением от двух независимых источников питания, на срок более 2,5 ч, а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сельскохозяйственных потребителей – более 10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II категории на срок более 2,5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ч; а для сельскохозяйственных потребителей II категории – более 10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III категории на срок более 24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недоотпуск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электроэнергии потребителям в размере 20 тыс.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кВт∙ч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более независимо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длительности перерыва электроснабжения;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разрушение силового трансформатора мощностью 10 МВА и более, если восстановление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его невозможно или нецелесообразно;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ВЛ 110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выше, требующее восстановления в течение 24 ч, а также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повреждение КЛ 110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требующее восстановления в течение 36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пожар на подстанции с высшим напряжением 110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выше, вызвавший 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обесточивание на срок 8 ч и более.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Системными авариями считаются: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нарушение устойчивости работы энергосистемы и разделение ее на части, вызвавшее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отключение потребителей на общую мощность более 5 % от нагрузки энергосистемы;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работы энергосистемы с частотой ниже 49,5 Гц длительностью более 1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многочисленные отключения или повреждения ЛЭП напряжением 6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выше из-за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стихийного явления, приведшие к отключению потребителей на общую мощность более 10 %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нагрузки энергосистемы.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Отказом в работе I степени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нарушение нормальной работы электрической сети, вызвавшее перерыв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одного и более потребителей I категории при несоответствии схемы 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питания требованиям ПУЭ либо одного и более потребителей II категории на срок от 0,5 до 2,5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ч, а для сельскохозяйственных потребителей - от 2 до 10 ч; одного и более потребителей III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категории на срок от 8 до 24 ч;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недоотпуск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электроэнергии потребителям от 5 до 20 тыс.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кВт.ч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основного электрооборудования сетей, требующее восстановительного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ремонта в установленные сроки;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ВЛ или КЛ 35 (110)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требующее восстановительного ремонта в срок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24 (36) ч.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отказам в работе II степени относятся нарушения нормальной работы электрических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сетей, в том числе: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перерывы в электроснабжении потребителей, не являющиеся аварией 1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некоторых видов 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недовыполнение диспетчерского графика электрической нагрузки или оперативного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задания диспетчера;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автоматическое отключение или ошибочное отключение оборудования персоналом;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обесточивание участков электросети напряжением ниже 6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Под потребительским отключением понимают отключение оборудования из-за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неправильных действий персонала потребителя.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Как показывает практика, даже наилучшая конструкция, совершенная технология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правильная эксплуатация не исключают полностью отказы.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Различают три характерных типа отказов, присущих любым объектам.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приработанные, обусловленные дефектами проектирования, изготовления,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монтажа. Они в основном устраняются путем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отбраковки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 испытании или наладке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Доля этих отказов снижается по истечении периода приработки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внезапные (случайные), вызванные воздействием различных случайных факторов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характерные преимущественно для периода нормальной эксплуатации объекта. Особенностью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таких отказов является невозможность их предсказания.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постепенные, происходящие в результате износа и старения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Долговечность работы системы можно увеличить за счет периодической замены наиболее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ненадежных составляющих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Рассматриваемые здесь показатели применяются для оценки надежности как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невосстанавливаемых (одноразового использования), так и подлежащих ремонту объектов, т.е.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восстанавливаемых до появления первого отказа.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P(t)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вероятность того, что в заданном интервале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(0, t) в системе или элементе не произойдет отказ.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Статистически Р(t) определяется как отношение числа элементов N(t), безотказно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проработавших до момента t, к первоначальному числу наблюдаемых элементов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0):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Р(t)= N(t)/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Число работоспособных в течение времени (0, t) элементов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N(t)=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0)-n(0, t),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 t) – число отказавших за время (0, t)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Q(t)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вероятность того, что в заданном интервале времени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(0, t) произойдет отказ.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Статистическая оценка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Q(t)=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 t)/N(0).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Таким образом, всегда имеет место соотношение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 +Q(t)=1.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а(t)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производная от вероятности появления отказа, означающая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того, что отказ элемента произойдет за единицу времени (t, t+ ∆t).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a(t)=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dQ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)/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(t)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dt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определения величины a(t) можно использовать статистическую оценку: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a(t)=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t, ∆t ) 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 (0) *∆t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t, ∆t) – число элементов, отказавших в интервале времени от t до t+ ∆t.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Точность статистической оценки возрастает с увеличением первоначального числа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наблюдаемых элементов и уменьшением временного интервала ∆t.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отказов, вероятность безотказной работы и вероятность появления отказа связаны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следующими зависимостями: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Р(t)=∫а(х)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dx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Q(t)=∫a(x)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dx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Различие между частотой и интенсивностью отказов в том, что первый показатель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характеризует вероятность отказа за интервал (t, t+ ∆t) элемента, взятого из группы элементов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произвольным образом, причем неизвестно, в каком состоянии (работоспособном или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неработоспособном) находится выбранный элемент. Второй показатель характеризует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отказа за тот же интервал времени элемента, взятого из группы оставшихся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работоспособными к моменту t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Интенсивность отказов λ(t) – условная вероятность отказа после момента t за единицу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∆t при условии, что до момента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tотказа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элемента не было.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Интенсивность отказов связана с частотой отказов и вероятностью безотказной работы: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λ(t) =a(t)/P(t)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 как P(t)≤1, то всегда выполняется соотношение λ (t)≥a(t).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Статистически интенсивность отказов определяется таким образом: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высоконадежных элем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ентов и систем: если P(t) ≥0,99, то а(t)= λ((t)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Поэтому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практических расчетах возможна при указанном усло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вии взаимная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замена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а(t) и λ(t)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Вероятности безотказной работы в зависимости от интенсивности отказов и времени: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ехр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[-∫λ(x)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dx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].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Изменение интенсивности отказов во времени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Типичная функция интенсивности отказов во времени (в течение срока службы объекта) имеет U-образный характер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_Ref116565585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начальный период I преобладают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приработочные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отказы. После него наступает наиболее продолжительный период нормальной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эксплуатации II, в котором на объект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воздействуют случайные факторы. Последние вызывают внезапные отказы, интенсивность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которых в период нормальной эксплуатации практически не зависит от времени.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jc w:val="center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z w:val="28"/>
          <w:highlight w:val="whit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88232" cy="1771618"/>
                <wp:effectExtent l="0" t="0" r="0" b="0"/>
                <wp:docPr id="19" name="Рисунок 9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9695739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flipH="0" flipV="0">
                          <a:off x="0" y="0"/>
                          <a:ext cx="3088231" cy="1771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243.2pt;height:139.5pt;mso-wrap-distance-left:0.0pt;mso-wrap-distance-top:0.0pt;mso-wrap-distance-right:0.0pt;mso-wrap-distance-bottom:0.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highlight w:val="white"/>
        </w:rPr>
      </w:r>
      <w:r/>
    </w:p>
    <w:p>
      <w:pPr>
        <w:pStyle w:val="954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4"/>
          <w:highlight w:val="white"/>
        </w:rPr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 Интенсивность отказов во времени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период старения и износа III в основном имеют место постепенные отказы,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возникающие вследствие накопления ухудшений физико-химических свойств объекта.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основных элементов системы электроснабжения период приработки длится до 3-5 лет. Процессы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старения и износа проявляются для ВЛ на опорах из пропитанной древесины через 15-20 лет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после ввода в эксплуатацию, для трансформаторов и КЛ - через 20-30 лет (в первую очередь 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счет старения изоляции). Старение и износ коммутационной аппаратуры наступает через 40-50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лет. Обычно эта аппаратура морально устаревает раньше, нежели физически. В основном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элементы электрических сетей высоконадежны. Время их безотказной работы значительно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превышает время восстановления.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 (среднее время безотказной работы) Т представляет собой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математическое ожидание наработки объекта до первого отказа. Этот показатель геометрически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представляет собой площадь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под кривой вероятности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безотказной работы: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 =∫P(t)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dt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Расчетные формулы для экспоненциального закона надежности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Учитывая, что для объектов энергосистемы интенсивность отказов в период нормальной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эксплуатации практически неизменна, т.е. λ(t)=λ, соотношения между основными показателями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надежности можно представить с учетом этого условия в более простой и наглядной форме: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P(t)=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exp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 ),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Q(t)=1-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exp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 ),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a(t)= 1-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 для экспоненциального закона принимает вид T=1/λ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_Ref116565553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10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асчетные значения показателей надежности основных элементов системы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10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Расчетные значения показателей надежности основных элементов системы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электроснабжения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684"/>
        <w:gridCol w:w="1417"/>
        <w:gridCol w:w="1417"/>
        <w:gridCol w:w="1670"/>
        <w:gridCol w:w="1307"/>
      </w:tblGrid>
      <w:tr>
        <w:trPr>
          <w:trHeight w:val="878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Элемент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Интенсивность отказов, год-1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Среднее время восстановления ТВ, ч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Интенсивность преднамеренных отключений. год-1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Среднее время обслуживания ТО, 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171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одноцепная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двух цепная,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одноцепная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.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,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5.8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Кабельная линия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Две кабельные линии в одной траншее,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0,38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Трансформатор с высшим напряжением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Трансформатор с высшим напряжением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внутренней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КРУП наружной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отделителя (ОД) или коротко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замыкателя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(КЗ)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внутренней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3.5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КРУП наружной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3.5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предохранителя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2.5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Линейный разъединитель 6.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Шины ОРУ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на одно присоединение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Шины РУ 6.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на одно присоединение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68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борка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НН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-0,4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ТП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41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67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3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Расчет показателей надежности для распределительных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/0,4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 трансформаторами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высшим напряжением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Р(0,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(-0,035*0,5)=0,9827;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Q(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0,5)=1-exp(-0,035 *0,5)=0,0173;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0,5)=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(0,5)=0,035* 0,9827=0,03439;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T=1/0,035=28,6 лет.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Расчет показателей надежности для ЛЭП ВЛ-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1 км длины.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Р(0,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(-0,25*0,5)=0,8825;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Q(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0,5)=1-exp(-0,25* 0,5)=0,1175;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0,5)=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(0,5)=0,25* 0,8825=0,22063;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T=1/0,25= 4 года.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оценки надежности объектов многоразового использования используются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дополнительные показатели, учитывающие также процессы восстановления (ремонта) элементов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(объектов).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Параметр потока отказов ω(t) - математическое ожидание числа отказов, происшедших 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единицу времени, начиная с момента t при условии, что все элементы, вышедшие из строя,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заменяются работоспособными, т. е. число наблюдаемых элементов сохраняется одинаковым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процессе эксплуатации.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экспоненциального закона надежности интенсивность и параметр потока отказов 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зависят от времени и совпадают, т. е.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(t) 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ω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(t)=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ω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const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 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восстановления S(t) - вероятность того, что отказавший элемент будет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восстановлен в течение заданного времени t, т. е. вероятность своевременного завершения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ремонта.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(0)=0,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(∞)=1.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определения величины S(t) используется следующая статистическая оценка: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S(t)=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(0),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(0) – число элементов, поставленных на восстановление в начальный момент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t = 0;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число элементов, время восстановления которых оказалось меньше заданного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t, т. е. восстановленных на интервале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невосстановления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(несвоевременного завершения ремонта) G(t)- вероятность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того, что отказавший элемент не будет восстановлен в течение заданного времени 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IX.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53" w:name="_Toc118737747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Оценка капитальных вложений в новое строительство, реконструкцию и модернизацию объектов систем электроснабжения</w:t>
      </w:r>
      <w:bookmarkEnd w:id="53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9.1.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54" w:name="_Toc118737748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Мероприятия по строительству, реконструкции и модернизации сетей электроснабжения</w:t>
      </w:r>
      <w:bookmarkEnd w:id="54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рамках проведения ежегодного капитального ремонта электросетевого хозяйства ООО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Ямал-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планируется капитальный ремонт объектов систем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9.2.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55" w:name="_Toc118737749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Мероприятия по строительству, реконструкции и модернизации распред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елительных пунктов и подстанций</w:t>
      </w:r>
      <w:bookmarkEnd w:id="55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Мероприятия по строительству, реконструкции и модернизации распределительных пунктов и подстанций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Толька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 запланированы.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9.3.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Оценка величины необходимых капитальных вложений в строительство, реконструкцию и модернизацию объектов системы электроснабжения.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Оценка величины необходимых капитальных вложений в строительство, реконструкцию и модернизацию объектов системы электроснабжения на территории с. Толька произведена на основании данных реализации различных муниципальных программ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средств, включаемых в тариф электроэнергии, 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  <w:lang w:eastAsia="ru-RU"/>
        </w:rPr>
        <w:t xml:space="preserve">в рамках проведения ежегодного капитального ремонта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</w:t>
      </w:r>
      <w:r>
        <w:rPr>
          <w:highlight w:val="white"/>
        </w:rPr>
      </w:r>
      <w:r/>
    </w:p>
    <w:p>
      <w:pPr>
        <w:ind w:firstLine="708"/>
        <w:jc w:val="both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_Ref116566416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11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сведения о величине необходимых капитальных вложений в строительство, реконструкцию и модернизацию объектов системы электроснабжения</w:t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11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С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ведения о величине необходимых капитальных вложений в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строительство, реконструкцию и модернизацию объектов системы электроснабжения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47" w:type="pct"/>
        <w:tblInd w:w="-6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3752"/>
        <w:gridCol w:w="1134"/>
        <w:gridCol w:w="1276"/>
        <w:gridCol w:w="1134"/>
        <w:gridCol w:w="1134"/>
        <w:gridCol w:w="1134"/>
        <w:gridCol w:w="1134"/>
        <w:gridCol w:w="1276"/>
        <w:gridCol w:w="1276"/>
        <w:gridCol w:w="1201"/>
      </w:tblGrid>
      <w:tr>
        <w:trPr>
          <w:trHeight w:val="424"/>
        </w:trPr>
        <w:tc>
          <w:tcPr>
            <w:shd w:val="clear" w:color="ffffff" w:fill="ffffff"/>
            <w:tcW w:w="375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Наименование мероприятия</w:t>
            </w:r>
            <w:r>
              <w:rPr>
                <w:highlight w:val="white"/>
              </w:rPr>
            </w:r>
            <w:r/>
          </w:p>
        </w:tc>
        <w:tc>
          <w:tcPr>
            <w:gridSpan w:val="9"/>
            <w:shd w:val="clear" w:color="ffffff" w:fill="ffffff"/>
            <w:tcW w:w="1069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  <w:lang w:eastAsia="ru-RU"/>
              </w:rPr>
              <w:t xml:space="preserve">График реализации проекта, тыс. руб. (без НДС)</w:t>
            </w:r>
            <w:r>
              <w:rPr>
                <w:highlight w:val="white"/>
              </w:rPr>
            </w:r>
            <w:r/>
          </w:p>
        </w:tc>
      </w:tr>
      <w:tr>
        <w:trPr>
          <w:trHeight w:val="468"/>
        </w:trPr>
        <w:tc>
          <w:tcPr>
            <w:tcW w:w="3752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ВСЕГО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2026-2030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2031-2035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0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2036-2038</w:t>
            </w:r>
            <w:r>
              <w:rPr>
                <w:highlight w:val="white"/>
              </w:rPr>
            </w:r>
            <w:r/>
          </w:p>
        </w:tc>
      </w:tr>
      <w:tr>
        <w:trPr>
          <w:trHeight w:val="157"/>
        </w:trPr>
        <w:tc>
          <w:tcPr>
            <w:tcW w:w="375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01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</w:tr>
      <w:tr>
        <w:trPr>
          <w:trHeight w:val="1022"/>
        </w:trPr>
        <w:tc>
          <w:tcPr>
            <w:shd w:val="clear" w:color="ffffff" w:fill="ffffff"/>
            <w:tcW w:w="3752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Капитальный ремонт электросетевого хозяйства ООО "Ямал-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Энерго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" в рамках проведения ежегодного капитального ремонта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293 850,61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12 261,70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12 661,07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13 073,44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13 499,24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13 938,91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76 807,44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90 157,28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0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61 451,54</w:t>
            </w:r>
            <w:r>
              <w:rPr>
                <w:highlight w:val="white"/>
              </w:rPr>
            </w:r>
            <w:r/>
          </w:p>
        </w:tc>
      </w:tr>
      <w:tr>
        <w:trPr>
          <w:trHeight w:val="307"/>
        </w:trPr>
        <w:tc>
          <w:tcPr>
            <w:shd w:val="clear" w:color="ffffff" w:fill="ffffff"/>
            <w:tcW w:w="3752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Итого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sz w:val="20"/>
                <w:szCs w:val="20"/>
                <w:highlight w:val="white"/>
                <w:lang w:eastAsia="ru-RU"/>
              </w:rPr>
              <w:t xml:space="preserve">293 </w:t>
            </w: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850</w:t>
            </w:r>
            <w:r>
              <w:rPr>
                <w:rFonts w:ascii="Liberation Serif" w:hAnsi="Liberation Serif" w:eastAsia="Liberation Serif" w:cs="Liberation Serif"/>
                <w:b/>
                <w:sz w:val="20"/>
                <w:szCs w:val="20"/>
                <w:highlight w:val="white"/>
                <w:lang w:eastAsia="ru-RU"/>
              </w:rPr>
              <w:t xml:space="preserve">,61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12 261,70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12 661,07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13 073,44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13 499,24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13 938,91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76 807,44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90 157,28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20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61 451,54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  <w:sectPr>
          <w:footnotePr/>
          <w:endnotePr/>
          <w:type w:val="nextPage"/>
          <w:pgSz w:w="11906" w:h="16838" w:orient="portrait"/>
          <w:pgMar w:top="822" w:right="708" w:bottom="1701" w:left="1135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Том 3. СЕЛО КИККИАККИ</w:t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3" w:name="_Toc118824970"/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  <w:lang w:val="en-US"/>
        </w:rPr>
        <w:t xml:space="preserve">I</w:t>
      </w:r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  <w:lang w:val="ru-RU"/>
        </w:rPr>
        <w:t xml:space="preserve">. </w:t>
      </w:r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</w:rPr>
        <w:t xml:space="preserve">Существующее положение в сфере производства, передачи и потребления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 электроэнергии</w:t>
      </w:r>
      <w:bookmarkEnd w:id="3"/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pStyle w:val="989"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1.1 Система электроснабжения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 с. 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 муниципального округа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Красноселькупск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ий 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район 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локализована и не имеет подключения к федеральной сетевой компании.</w:t>
      </w:r>
      <w:r>
        <w:rPr>
          <w:highlight w:val="white"/>
        </w:rPr>
      </w:r>
      <w:r/>
    </w:p>
    <w:p>
      <w:pPr>
        <w:pStyle w:val="979"/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Электроснабжение потребителей с.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осуществляется от электростанции дизельной (ДЭС), расположенной в северной части села. </w:t>
      </w:r>
      <w:r>
        <w:rPr>
          <w:highlight w:val="white"/>
        </w:rPr>
      </w:r>
      <w:r/>
    </w:p>
    <w:p>
      <w:pPr>
        <w:pStyle w:val="979"/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Электрическая энергия передается потребителям по воздушным линиям электропередачи (ЛЭП) 0,4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протяженностью ориентировочно 1,0 км.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1.2.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bookmarkStart w:id="4" w:name="_Toc11882497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Анализ существующей структуры электрос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набжения напряжением 6-20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кВ.</w:t>
      </w:r>
      <w:bookmarkEnd w:id="4"/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Существующая структура электроснабжения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работает под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напряжением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0,4 Кв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1.3. </w:t>
      </w:r>
      <w:bookmarkStart w:id="5" w:name="_Toc11882497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Распределительные пункты (РП)</w:t>
      </w:r>
      <w:bookmarkEnd w:id="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Распределительные пункты (РП) на территории с.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отсутствуют.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1.4. </w:t>
      </w:r>
      <w:bookmarkStart w:id="6" w:name="_Toc118824973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Т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рансформаторные подстанции (ТП)</w:t>
      </w:r>
      <w:bookmarkEnd w:id="6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Трансформаторные пункты (РП) на территории с.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отсутствуют.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1.5. </w:t>
      </w:r>
      <w:bookmarkStart w:id="7" w:name="_Toc11882497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Линии, соединяющи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е центры питания (ЦП) с РП и ТП</w:t>
      </w:r>
      <w:bookmarkEnd w:id="7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pStyle w:val="979"/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Электрическая энергия передается потребителям по воздушным линиям электропередачи (ЛЭП) 0,4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протяженностью ориентировочно 1,0 км.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1.6. </w:t>
      </w:r>
      <w:bookmarkStart w:id="8" w:name="_Toc11882497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Ли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нии, соединяющие ТП между собой</w:t>
      </w:r>
      <w:bookmarkEnd w:id="8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pStyle w:val="979"/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Электрическая энергия передается потребителям по воздушным линиям электропередачи (ЛЭП) 0,4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кВ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протяженностью ориентировочно 1,0 км.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Линии, соединяющие центр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питания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и потребителей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,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представлены в электронной модели, являющихся неотъемлемой частью Схемы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1.7. </w:t>
      </w:r>
      <w:bookmarkStart w:id="9" w:name="_Toc118824976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Питающие линии промышленных предприятий, находящихся на террит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ории муниципального образования</w:t>
      </w:r>
      <w:bookmarkEnd w:id="9"/>
      <w:r>
        <w:rPr>
          <w:rFonts w:ascii="Liberation Serif" w:hAnsi="Liberation Serif" w:eastAsia="Liberation Serif" w:cs="Liberation Serif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Питающие линии промышленных предприятий, находящихся на территории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, входят в перечень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участков линий электропередач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0,4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представлены в электронной модели, являющихся неотъемлемой частью Схемы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1.8. </w:t>
      </w:r>
      <w:bookmarkStart w:id="10" w:name="_Toc118824977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Резервы и дефициты ЦП 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электроприемников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потребителей</w:t>
      </w:r>
      <w:bookmarkEnd w:id="10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pStyle w:val="989"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Д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ефицит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ы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 электроэнергии 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в с.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 не выявлены</w:t>
      </w:r>
      <w:r>
        <w:rPr>
          <w:rFonts w:ascii="Liberation Serif" w:hAnsi="Liberation Serif" w:eastAsia="Liberation Serif" w:cs="Liberation Serif"/>
          <w:b w:val="0"/>
          <w:i w:val="0"/>
          <w:sz w:val="28"/>
          <w:szCs w:val="24"/>
          <w:highlight w:val="white"/>
        </w:rPr>
        <w:t xml:space="preserve">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1.9. </w:t>
      </w:r>
      <w:bookmarkStart w:id="11" w:name="_Toc118824978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Безопасность и над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ежность систем электроснабжения</w:t>
      </w:r>
      <w:bookmarkEnd w:id="1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Надежность – свойство, которое д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олжно учитываться при исследова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нии, создании, функционировании и прогнозировании перспективного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развития. Однако в отличие от элементной надежности пути обеспечения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надёжности сложных систем не очевидны и в каждом отдельном случае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обусловлены особенностями исследуемой системы. По мере усложнения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систем становится более сложной и оценка их надёжности. Классические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показатели надёжности элементов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простых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систем такие, как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среднее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время безотказной работы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,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в течение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заданного промежутка времени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и целый ряд других, применительно ко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многим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сложным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системам, лиш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ены практического смысла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Для сложной системы задача оценки надёжности формулируется в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предположении известных, полученн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ых статистическими методами ха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рактеристик интенсивности отказов её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элементов и восстановлений в те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чение определённого времени: матема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тического ожидания и дисперсии,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закона распределения времени между отказами и др. В самом общем виде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под отказом сложной системы понимается событие, к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огда выходной объ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ём информации снижается до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уровня, меньше допустимого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. Однако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известно, что многие сложные системы могут выполнять практически все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свои функции при условии, что некоторая часть их элементов и связей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между ними находится в нерабочем (и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ли отличающемся в пределах допу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стимых норм от рабочего) состоянии.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Например, отказ отдельных элементов в системах энергетики может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вообще не отразиться на работе потребителей. Но в этих случаях речь идет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не об отказе системы, а лишь о возможном снижении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показателей эффек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тивности её работы.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Сосредоточивая внимание на самом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факте отказа, классические еди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ничные показатели надёжности ч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асто не позволяют установить по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следствия отказа и влияние его на конечный эффект функционирования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системы. Поэтому для выработки обо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снованных рекомендаций по обес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печению требуемого уровня надёжности сложных систем необходимы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научные исследования, соизмеримые по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своим масштабам разработке ос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новной идее построения системы. Относительно недавно появились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предложения по прогнозированию уровня надёжности оказываемых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услуг при управлении единой национа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льной (общероссийской) электри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ческой сетью (ЕНЭС) и территориальными сетевыми организациями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(ТСО)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на основе комплексных п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оказателей, применяемых зарубеж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ными эне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ргокомпаниями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, где в качестве индикаторов системной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надежности используются: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System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среднее число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перерывов электроснабжения в расчёте на одного конечного потребителя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(клиента), которые он испытывает в течение года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– число потребителей, для которых наблюдались перерывы (отказы)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 – обще число потребителей энергокомпании.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System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Duration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индекс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средней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длительности перерывов (отключений)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электроснабжения конечных потре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бителей в течение года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 Т – среднегодовое время простоя потребителей энергокомпании.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CAIDI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Customer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Duration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средняя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продолжительность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отключений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системе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отдельных случаях – среднее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время восстановления или среднее время простоя в течение года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CAIDI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Relative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Network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Reconstruction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Efficiency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относительная эффективность реконструкции сети,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характеризующая, насколько улуч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шится SAIFI после реконструкции по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сравнению с ситуацией до рекон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струкции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=(1-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)/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SAIFI(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0) – среднее количество установившихся повреждений в год на одного потребителя до и после реконструкции соответственно.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ARAE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Recloser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Fpplicftion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Efficiency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средняя эффективность применения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реклоузеров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характеризующая среднюю эффективность применения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реклоузеров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то есть, наско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лько удалось улучшить SAIFI кажд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ого фидера реконструированной сети по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сравнению с ситуацией до рекон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струкции в пересчёте на один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реклоузер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ARAE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=(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)/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F – количество фидеров, вход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ящих в реконструированную сеть,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R – ко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личество установленных в процессе реконструкции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реклоузеров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AIFI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Customer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средняя частота отключения одного потребителя.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MAIFI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Momentary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мгновенный индекс средней частоты отключений.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LOEE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Energy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Expectation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математическое ожидание годово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го объёма ограничений потребителей в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электрической энергии из-за ава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рийных длительных ремонтов оборудования (см. EUE).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EUE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Expected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Unserved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Energy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математическое ожидание годового объёма ограничений потребителей в электрической энергии М[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W] из-за аварийных длительных ремонтов оборудования (см. LOEE).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LOLE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Expectation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ожидаемое число суток в году, когда происходит потеря нагрузки или среднее чи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сло суток в году, когда возника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ет дефицит мощности.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LOLH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Hours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среднее число часов дефицита мощности или длительность потери нагрузки в часах.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LOLP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Probability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вероятность потери нагрузки; вероятность дефицита мощности на малом (заданном) интервале времени, как правило, в период максимальной нагрузки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LOLP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e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– вероятность состояния отказа системы – доля времени, в течение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которого систем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 находится в состоянии отказа;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 – параметр модели.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LCOE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Levelized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Cost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of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Electricity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средняя расчётная (нормированная) себестоимость производства электр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оэнергии на протяжении жизненно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го цикла электростанции (включая все возможные инвестиции, затраты и доходы).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LOLD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Duration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продолжительность потери нагрузки.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LOLF (Loss of Load Frequency) –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частота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потери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нагрузки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MTBFO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Mean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time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between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forced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outages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– среднее время между вынужденными отключениями.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Несмотря на множество предложенных показателей, они позволяют лишь в среднем оценить состоян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ие СЭС на основе не всегда достаточной и достоверной ретроспективной информации. Применение их в целях оценки и (или) прогнозирования функционирования системы на более коротких интервалах, в разных режимах и при переменной структуре практически невозможно.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Но под надёжностью СЭС можно понимать и степень соответствия возможных или фактически достигнутых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результатов B требуемым для вы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полнения стоящих перед ней задач. Тогда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{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↓≤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↑}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 R – событие, заключающееся в выполнении СЭС заданных функций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(задач) в заданном объёме, с соблюдением всех установленных нормативов;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↓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– нижний и верхний пределы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необходимого результата функцио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нирования СЭС.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 выражению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оценивается надёжность одноцелевой (простой)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системы или обобщённый результат ф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ункционирования многоцелевой си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стемы (например, РГ, ВИЭ). Возможно также определение вероятности 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степени соответствия результатов 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ребуемым для выполнения соответ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ствующих задач: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{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↓≤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↑}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При необходимости оценки надёжно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сти многоцелевой системы с пред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ставлением результатов выполнения каждой из n целей в отдельности,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обобщённая надёжность СЭС может быть представлена как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3552825</wp:posOffset>
                </wp:positionH>
                <wp:positionV relativeFrom="paragraph">
                  <wp:posOffset>3175</wp:posOffset>
                </wp:positionV>
                <wp:extent cx="19050" cy="571500"/>
                <wp:effectExtent l="0" t="0" r="19050" b="19050"/>
                <wp:wrapNone/>
                <wp:docPr id="20" name="Прямая соединительная линия 3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9049" cy="57150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9" o:spid="_x0000_s19" style="position:absolute;left:0;text-align:left;z-index:251661312;mso-wrap-distance-left:9.0pt;mso-wrap-distance-top:0.0pt;mso-wrap-distance-right:9.0pt;mso-wrap-distance-bottom:0.0pt;visibility:visible;" from="279.8pt,0.2pt" to="281.2pt,45.2pt" filled="f" strokecolor="#000000" strokeweight="0.50pt">
                <v:stroke dashstyle="solid"/>
              </v:lin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2547620</wp:posOffset>
                </wp:positionH>
                <wp:positionV relativeFrom="paragraph">
                  <wp:posOffset>20955</wp:posOffset>
                </wp:positionV>
                <wp:extent cx="19050" cy="571500"/>
                <wp:effectExtent l="0" t="0" r="19050" b="19050"/>
                <wp:wrapNone/>
                <wp:docPr id="21" name="Прямая соединительная линия 2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9049" cy="571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0" o:spid="_x0000_s20" style="position:absolute;left:0;text-align:left;z-index:251659264;mso-wrap-distance-left:9.0pt;mso-wrap-distance-top:0.0pt;mso-wrap-distance-right:9.0pt;mso-wrap-distance-bottom:0.0pt;visibility:visible;" from="200.6pt,1.6pt" to="202.1pt,46.6pt" filled="f" strokecolor="#000000" strokeweight="0.50pt">
                <v:stroke dashstyle="solid"/>
              </v:lin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highlight w:val="white"/>
        </w:rPr>
      </w:r>
      <w:r/>
    </w:p>
    <w:p>
      <w:pPr>
        <w:contextualSpacing/>
        <w:spacing w:before="0" w:beforeAutospacing="0" w:after="0" w:afterAutospacing="0" w:line="240" w:lineRule="auto"/>
        <w:tabs>
          <w:tab w:val="left" w:pos="3345" w:leader="none"/>
          <w:tab w:val="center" w:pos="4818" w:leader="none"/>
        </w:tabs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B↓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B↑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нижний и верхний пределы необходимого результата фун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ционирования СЭС при решении i-й задачи;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– возможны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или фактиче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ский результат функционирования СЭС для выполнения i-й задачи.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Надёжность – составная час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ть и основная характеристика эф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фективности функционирования СЭС. Результат функционирования – группа случайных событий, число котор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ых равно числу целей (задач) по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ставленных перед конкретной СЭС. Зде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сь возможен анализ следующих со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бытий: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выполнение СЭС всех n поставленных задач;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выполнение СЭС ряда наиболее важных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k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задач;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выполнение СЭС не менее заданного числа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задач и др.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Показатели надёжности могут бы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ть определены вероятностями осу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ществления соответствующих событий: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;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k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;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no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их математическим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ожиданиями и дисперсиями, а при нал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ичии достаточного количества ин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формации – функциями распределения 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ероятностей результатов функцио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3562350</wp:posOffset>
                </wp:positionH>
                <wp:positionV relativeFrom="paragraph">
                  <wp:posOffset>154940</wp:posOffset>
                </wp:positionV>
                <wp:extent cx="85725" cy="609600"/>
                <wp:effectExtent l="0" t="0" r="28575" b="19050"/>
                <wp:wrapNone/>
                <wp:docPr id="22" name="Правая круглая скобка 7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85725" cy="609599"/>
                        </a:xfrm>
                        <a:prstGeom prst="rightBracket">
                          <a:avLst>
                            <a:gd name="adj" fmla="val 8333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" o:spid="_x0000_s21" o:spt="86" type="#_x0000_t86" style="position:absolute;z-index:251666432;o:allowoverlap:true;o:allowincell:true;mso-position-horizontal-relative:text;margin-left:280.5pt;mso-position-horizontal:absolute;mso-position-vertical-relative:text;margin-top:12.2pt;mso-position-vertical:absolute;width:6.8pt;height:48.0pt;mso-wrap-distance-left:9.0pt;mso-wrap-distance-top:0.0pt;mso-wrap-distance-right:9.0pt;mso-wrap-distance-bottom:0.0pt;visibility:visible;" filled="f" strokecolor="#000000" strokeweight="0.50pt">
                <v:stroke dashstyle="solid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2623820</wp:posOffset>
                </wp:positionH>
                <wp:positionV relativeFrom="paragraph">
                  <wp:posOffset>154940</wp:posOffset>
                </wp:positionV>
                <wp:extent cx="76200" cy="590550"/>
                <wp:effectExtent l="0" t="0" r="19050" b="19050"/>
                <wp:wrapNone/>
                <wp:docPr id="23" name="Левая круглая скобка 6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76199" cy="590548"/>
                        </a:xfrm>
                        <a:prstGeom prst="leftBracket">
                          <a:avLst>
                            <a:gd name="adj" fmla="val 8333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" o:spid="_x0000_s22" o:spt="85" type="#_x0000_t85" style="position:absolute;z-index:251665408;o:allowoverlap:true;o:allowincell:true;mso-position-horizontal-relative:text;margin-left:206.6pt;mso-position-horizontal:absolute;mso-position-vertical-relative:text;margin-top:12.2pt;mso-position-vertical:absolute;width:6.0pt;height:46.5pt;mso-wrap-distance-left:9.0pt;mso-wrap-distance-top:0.0pt;mso-wrap-distance-right:9.0pt;mso-wrap-distance-bottom:0.0pt;visibility:visible;" filled="f" strokecolor="#000000" strokeweight="0.50pt">
                <v:stroke dashstyle="solid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общем виде формула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представляется как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  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highlight w:val="white"/>
        </w:rPr>
      </w:r>
      <w:r/>
    </w:p>
    <w:p>
      <w:pPr>
        <w:contextualSpacing/>
        <w:spacing w:before="0" w:beforeAutospacing="0" w:after="0" w:afterAutospacing="0" w:line="240" w:lineRule="auto"/>
        <w:tabs>
          <w:tab w:val="left" w:pos="3345" w:leader="none"/>
          <w:tab w:val="center" w:pos="4818" w:leader="none"/>
        </w:tabs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)=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ab/>
        <w:t xml:space="preserve"> 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  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 – вероятность выполнения СЭС всех функций.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Проверка и подтверждение требова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ний к результатам B функциониро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вания СЭС осуществляется на основе 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ормативных значений соответствую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щих показателей надёжности. Правиль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ность их выбора (критерий досто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верности подтверждения надёжности СЭС) оценивается вероятностью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нормативное и фактическое значения показателя надёжности.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Если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функционал, значение которого соответствует показателю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эффективности, вычисленному при условии, что отказы элементов имеют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интенсивности, соответствующие заданным (расчётным) характеристикам,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то, что все элементы абсолютно надёжны (интенсивности отказов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элементов равны нулю), показатель на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дёжности сложной системы определится разностью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откуда видно снижение эффективности системы из-за отказов её элементов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 сравнению с идеальной системой, э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лементы которой абсолютно надёж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ны. Поскольку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идеальной системы не су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ществует, такая оценка эффектив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ности может быть использована только дл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я сравнения вариантов (по полно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те и точности исходной информации, структурным особенностям, качеству управляющих алгоритмов и т. п.).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Безопасность – один из важнейш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их показателей качества и эффек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тивности функционирования системы. Другие комплексные показатели, такие, как надёжность, стоимость могут в полной мере применяться для оценки того или иного варианта созд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ания или функционирования систе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мы, тогда как меры по обеспечению безопасности предпринимаются уже на этапе разработки системы. В последние годы термин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безопасность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получил широкое распространение, поскольку защита от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многочислен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ных угроз всего населения Земли и отдельного индивидуума выходит на первое место в системе приоритетов человечества, потеснив проблемы повышения производительности труда и создания новых технологий.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Внутренняя безопасность – характеристика цел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остности системы, по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казатель ее гомеостаза. Она определяет способность системы поддерживать свое нормальное функционирование в ус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ловиях внешних и внутренних воз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действий.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Внешняя безопасность – способность системы взаимодействовать со средой без нарушения гомеостаза. Другими словами, воздействие системы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 среду не приводит к необратимы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 изменениям или нарушениям важ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нейших параметров, характеризующих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состояние среды, принятое за до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пустимое.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Живучесть способность СЭС (подсистемы, объ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екта, элемента) в ц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елом сохранять свойства, необходимы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 для выполнения требуемых функ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ций, при наличии воздействий, не п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редусмотренных условиями нормал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ьной эксплуатации. Это способность её полностью или в ограниченном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объеме выполнять свои функции при нарушении работоспособного состояния и восстанавливать их полностью или частично за допустимый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(нормированный) период времени. Для объектов электроэнергетики – это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способность полностью или в огра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ниченном (договорном или нормиро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ванном) объёме выполнять свои фу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нкции при воздействиях, не преду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смотренных условиями нормальной э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ксплуатации, а при нарушении ра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ботоспособного состояния – восстанав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ливать его за технологически до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пустимый период времени. Живучесть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определяется также активной ре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акцией системы на возмущения за счёт рационально организованной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структуры, выбором целесообразных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режимов функционирования, не д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опускающих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каскадного развития аварий, ограничивая глубину (тяжесть)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отказа с возможностью массового нарушения режима электроснабжения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потребителей.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Свойство управляемости заключается в приспособленности СЭС 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предупреждению и обнаружению выхода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значений параметров за допусти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мую область и возврату их в эту область средствами управления за конечный промежуток вр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емени. Управляемость обеспечива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ет возможность эффективного управления режимом объекта энергетики,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максимально возможную безотказность и восстанавливаемость его, что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предполагает наличие достаточных ресурсов и технических средств для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осуществления соответствующего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Если при одном и том же внешнем воздействии (или при внутренних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отказах элементов) управление системой возможно в вариантах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…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γ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то показатель эффективности системы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определяется значениями функцио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нала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соответствующими вариантам управления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…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γ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 Тогда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определяется величина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y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представляющая сравнитель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ную оценку вариантов управления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y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получения абсолютной оценки качества управления необходима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информация об идеальном его варианте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при котором эффективность мак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симальна, но этот вариант (также, как и его показатели) в общем случае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остаётся неизвестным.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Помеха – воздействие, искажающее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сигнал, несущий полезную инфор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мацию и вызывающее нежелательное искажающее воздейс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твие на электро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установку или на результаты измерений.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Тогда помехозащищённость – спо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собность ослаблять действие случайных или несанкционированных помех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 счёт дополнительных средств защиты объекта для выполнения им своих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функций в пределах технологических регламентов.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Если значение показателя эффектив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ности R соответствует функциони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рованию системы в условиях помех с заданными характеристиками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относится к работе системы без помех, показатель помехозащищённости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определяется аналогично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 и показыв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ает, насколько изменяется эффек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тивность системы под влиянием помех с заданными параметрами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=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Устойчиво способность – свойство 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бъекта энергетики непрерывно со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хранять устойчивость в течение некоторого времени до выхода значений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параметров за допустимую область без повреждения объекта. В теории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устойчивость – характеристикой того, что стабильно и стремится сохранить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своё равновесное состояние во времени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 Устойчивость электрической си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стемы – способность сохранять состояни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 равновесия в период нормально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го режима работы, при его возмущениях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в аварийных условиях, возвра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щаясь в исходный режим после снятия возмущений или режим близкий 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нему, допустимый по условиям эксплуатации ЭЭС, 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сли возмущающее воз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действие не снято.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Экономичность – совокупность экономических характеристик объекта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энергетики, его технологии, эксплуатации и организационно-технических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структур, обеспечивающих экономичес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кую целесообразность использова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ния данного объекта в данных условиях. Научно обоснованный минимум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суммарных инвестиционных и эксплуатационных расходов энергосистемы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или её элементов (электростанций, электрических сетей и др.), включая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ущерб от нарушений электроснабжения, представляют экономический 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терий надежности. Экономическая эффективность повышения надежности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электроснабжения потребителей опред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еляется разностью изменения сум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марного ущерба от отказов (или изменения режимов) в системе затрат на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осуществление мероприятий по повышению надежности.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Среди множества свойств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энергообъектов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влияния их на надёжность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выделяются внешние (входные), вну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тренние и производные от них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Внешние представляют собой: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ресурсоёмкость, влияющую на надёжность через затраты ресурсов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 её обеспечение;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ресурсозависимость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характериз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ующую влияние ресурса (первично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го энергоносителя) на создание, функционирование, развитие и ликвидацию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(утилизацию) объекта энергетики, особен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но в условиях хозяйственной, по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литической или другого вида нестабильности;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ресурсообеспеченность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обеспеч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ивающую гарантии поставки ресур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са в условиях природных, техногенных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социально-экономических возму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щений.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 свойству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ресурсообеспеченности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относится также обеспечение нор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мальных и аварийных режимов функц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ионирования системы генерирующи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ми мощностями, трудовыми и финансовыми ресурсами.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 основным внутренним свойствам объектов энергетики относятся: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производительность, маневренность, ине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рционность, адаптивность, управ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ляемость, надёжность, наблюдаемость, избыточность и ряд других.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качестве выходного свойства объекта энергетики выступает технико-экономический ущерб как от внезапных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 (или) плановых нарушений элек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троснабжения, так и от управления режимами генерации и потребления.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Вместе с тем, наряду с надёжностью уже рассматрива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ются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вопросы живучести систем энерге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тики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 В этих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работах отмечалось, что в ЭЭС возраста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ет цена отдельных аварий и повы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шается её уязвимость в целом. Оценка живучести в значительной степени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определяется стойкостью элементов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(объектов) ЭЭС к внешним воздей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ствиям и возможностями их восстановления.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обеспечения возможности управления структурой современные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ЭЭС (СЭС) должны обладать свойством гибкости, которое рассматривается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как способность с необходимой скоростью изменять свою структуру для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обеспечения нормального развития, 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также функционирования при воз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можных возмущениях и при оптимизации режимов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Один из источников гибкости в СЭС – управление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спросом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Это механизм изменения потребления э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лектроэнергии конечными потреби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телями относительно их нормального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профиля нагрузки в ответ на ценовые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сигналы ЭЭС или прямые команды СО.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Такими сигналами могут быть из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менение цен на электроэнергию во времени; стимулирующие выплаты,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предусмотренные для снижения потребл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ения в периоды высоких цен оптового рынка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моменты, когда системная надёжность находится под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угрозой. Управление спросом наряду с традиционной, распределённой 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возобновляемой генерацией, а также на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копителями энергии способно ока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зывать услуги по регулированию и восстановлению частоты, обеспечивая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системную гибкость.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Усиление негативного влияния чрезвычайных ситуаций природного,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техногенного, экономического и политич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еского характера потребовали ак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тивизации исследований, связанных с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обеспечением энергетической без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опасности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Таким образом, сложилось пространство свойств ЭЭС,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непосредственно связанных с надёжностью.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Создание, развитие и эксплуатация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интеллектуальных ЭЭС с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активно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адаптивной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сетью (ИЭС ААС) сопрово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ждается массовым внедрением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циф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ровых технологий, обеспечивающих ф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ункционирование большого количе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ства датчиков сбора, обработки и инфо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рмационного обмена по вертикаль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ным и горизонтальным уровням ЭЭС, свя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занного с режимами сети, состоя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нием основного и вспомогательного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оборудования. ИЭС ААС характери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зуются наличием интеллектуальных сис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тем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оценки,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текущей и прогнозиро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вания будущей ситуации, быстродейств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ующих автоматических и автомати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зированных исполнительных органов упр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авления элементами системы в ре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альном масштабе времени.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1.10. </w:t>
      </w:r>
      <w:bookmarkStart w:id="12" w:name="_Toc118824979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Существующие технические и технологические проблемы в системах электроснабжени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я выделенного класса напряжения</w:t>
      </w:r>
      <w:bookmarkEnd w:id="1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Технические и технологические проблемы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в системе электроснабжения села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не выявлены.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  <w:lang w:val="en-US"/>
        </w:rPr>
        <w:t xml:space="preserve">II</w:t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  <w:lang w:val="ru-RU"/>
        </w:rPr>
        <w:t xml:space="preserve">.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13" w:name="_Toc118824980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Балансы производства и потребления электроэнергии</w:t>
      </w:r>
      <w:bookmarkEnd w:id="13"/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2.1. </w:t>
      </w:r>
      <w:bookmarkStart w:id="14" w:name="_Toc11882498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Фактический баланс по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требления электрической энергии</w:t>
      </w:r>
      <w:bookmarkEnd w:id="1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Сведения о ф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актически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х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баланс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ах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потребления электрической энергии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годы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отсутствуют.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bookmarkStart w:id="15" w:name="_Toc11882498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2.2. Структурны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й баланс электрической мощности</w:t>
      </w:r>
      <w:bookmarkEnd w:id="1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Сведения о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структур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потребления электрической энергии на территории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годы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отсутствуют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2.3. </w:t>
      </w:r>
      <w:bookmarkStart w:id="16" w:name="_Toc118824983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Потер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и электрической энергии в сетях</w:t>
      </w:r>
      <w:bookmarkEnd w:id="16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Сведения о ф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актически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х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потер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ях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электрической энергии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в электрических сетях на территории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 годы </w:t>
      </w:r>
      <w:r>
        <w:rPr>
          <w:rFonts w:ascii="Liberation Serif" w:hAnsi="Liberation Serif" w:eastAsia="Liberation Serif" w:cs="Liberation Serif"/>
          <w:b w:val="0"/>
          <w:i w:val="0"/>
          <w:spacing w:val="-1"/>
          <w:sz w:val="28"/>
          <w:szCs w:val="24"/>
          <w:highlight w:val="white"/>
          <w:lang w:eastAsia="ru-RU"/>
        </w:rPr>
        <w:t xml:space="preserve">отсутствуют.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9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2.4. </w:t>
      </w:r>
      <w:bookmarkStart w:id="17" w:name="_Toc11882498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Существующие нормативы потребления электрической энергии для населения в эле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ментах территориального деления.</w:t>
      </w:r>
      <w:bookmarkEnd w:id="17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Существующие 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ормативы потребления коммунальной услуги по электроснабжению в жилых помещениях многоквартирных домов и жилых домах, в том числе общежитиях квартирного типа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(утверждены </w:t>
      </w:r>
      <w:hyperlink w:tooltip="#sub_0" w:anchor="sub_0" w:history="1">
        <w:r>
          <w:rPr>
            <w:rFonts w:ascii="Liberation Serif" w:hAnsi="Liberation Serif" w:eastAsia="Liberation Serif" w:cs="Liberation Serif"/>
            <w:b w:val="0"/>
            <w:spacing w:val="-1"/>
            <w:sz w:val="28"/>
            <w:szCs w:val="24"/>
            <w:highlight w:val="white"/>
            <w:lang w:eastAsia="ru-RU"/>
          </w:rPr>
          <w:t xml:space="preserve">постановлением</w:t>
        </w:r>
      </w:hyperlink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Правительства Ямало-Ненецкого автономного округа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br/>
        <w:t xml:space="preserve">от 04.08.2016 № 748-П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приведены в таблице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instrText xml:space="preserve"> REF _Ref116552826 \h  \* MERGEFORMAT </w:instrTex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b w:val="0"/>
          <w:vanish/>
          <w:spacing w:val="-1"/>
          <w:sz w:val="28"/>
          <w:szCs w:val="24"/>
          <w:highlight w:val="white"/>
          <w:lang w:eastAsia="ru-RU"/>
        </w:rPr>
        <w:t xml:space="preserve">Таблица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Таблица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. Существующие нормативы потребления электрической энергии для населения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</w:tblBorders>
        <w:tblLook w:val="0000" w:firstRow="0" w:lastRow="0" w:firstColumn="0" w:lastColumn="0" w:noHBand="0" w:noVBand="0"/>
      </w:tblPr>
      <w:tblGrid>
        <w:gridCol w:w="500"/>
        <w:gridCol w:w="3723"/>
        <w:gridCol w:w="1192"/>
        <w:gridCol w:w="1359"/>
        <w:gridCol w:w="529"/>
        <w:gridCol w:w="529"/>
        <w:gridCol w:w="529"/>
        <w:gridCol w:w="529"/>
        <w:gridCol w:w="737"/>
      </w:tblGrid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Категория жилых помещений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Единица измерения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Количество комнат в жилом помещении</w:t>
            </w:r>
            <w:r>
              <w:rPr>
                <w:highlight w:val="white"/>
              </w:rPr>
            </w:r>
            <w:r/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483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Норматив потребления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483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количество человек, проживающих в помещении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5 и более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не оборудованные в установленном порядке стационарными электроплитами для приготовления пищи, электроотопительными,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165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102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79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64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57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214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132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102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73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115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94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83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261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161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141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127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118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Много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квартирные дома, жилые дома, общежития квартирного типа, оборудованные в установленном порядке стационарными электроплитами для приготовления пищи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136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86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77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121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99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88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129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94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176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136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111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99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Многоквар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тирные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или электронагревательными установками для целей горячего водоснабжения, в отопительный период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Многоквартирн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или электронагревательными установками для целей горячего водоснабжения, вне отопительного периода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5.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Многокв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артирные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 электронагревательными установками для целей горячего водоснабжения, в отопительный период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278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215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176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157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498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308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196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173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526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326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251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545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337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277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239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218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6.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Многокварти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рные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 электронагревательными установками для целей горячего водоснабжения, вне отопительного периода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7.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оборудованные в установленном порядке стационарными электроплитами, электроотопительными или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362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224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174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127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392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243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189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138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412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197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162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144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425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264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204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149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8.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оборудованные в установленном порядке стационарными электроплитами,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504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312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198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177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534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331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257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211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188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554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343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265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218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194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567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352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272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223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  <w:lang w:eastAsia="ru-RU"/>
              </w:rPr>
              <w:t xml:space="preserve">199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Существующие нормативы потребления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коммунальных услуг и нормативов потребления коммунальных ресурсов в целях содержания общего имущества в многоквартирном доме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 территории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(утверждены Постановлением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Правительства Ямало-Ненецкого автономного округа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 04.08.2016 № 748-П)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приведены в таблице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instrText xml:space="preserve"> REF _Ref116553275 \h  \* MERGEFORMAT </w:instrTex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b w:val="0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 w:val="0"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Существующие нормативы потребления коммунальных услуг и нормативов потребления коммунальных ресурсов в целях содержания общего имущества в многоквартирном доме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highlight w:val="white"/>
        </w:rPr>
      </w:r>
      <w:r/>
    </w:p>
    <w:p>
      <w:pPr>
        <w:contextualSpacing/>
        <w:ind w:firstLine="708"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</w:tblBorders>
        <w:tblLook w:val="0000" w:firstRow="0" w:lastRow="0" w:firstColumn="0" w:lastColumn="0" w:noHBand="0" w:noVBand="0"/>
      </w:tblPr>
      <w:tblGrid>
        <w:gridCol w:w="539"/>
        <w:gridCol w:w="5397"/>
        <w:gridCol w:w="1619"/>
        <w:gridCol w:w="2072"/>
      </w:tblGrid>
      <w:tr>
        <w:trPr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N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br/>
              <w:t xml:space="preserve">п/п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Категория многоквартирных домов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Единица измерения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Норматив потребления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1.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Многоквартирные дома, не оборудованные лифтами и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1,97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2.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Многоквартирные дома, оборудованные лифтами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3,98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3.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Многоквартирные дома, не оборудованные лифтами и оборудованные электроотопительными и (или) электронагревательными установками для целей горячего водоснабжения, в отопительный период </w:t>
            </w:r>
            <w:hyperlink w:tooltip="#sub_3111" w:anchor="sub_3111" w:history="1">
              <w:r>
                <w:rPr>
                  <w:rStyle w:val="984"/>
                  <w:rFonts w:ascii="Liberation Serif" w:hAnsi="Liberation Serif" w:eastAsia="Liberation Serif" w:cs="Liberation Serif"/>
                  <w:b w:val="0"/>
                  <w:sz w:val="20"/>
                  <w:szCs w:val="20"/>
                  <w:highlight w:val="white"/>
                </w:rPr>
                <w:t xml:space="preserve">*</w:t>
              </w:r>
            </w:hyperlink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4.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Многоквартирные дома, не оборудованные лифтами и оборудованные электроотопительными и (или) электронагревательными установками для целей горячего водоснабжения, вне отопительного периода</w:t>
            </w:r>
            <w:hyperlink w:tooltip="#sub_3111" w:anchor="sub_3111" w:history="1">
              <w:r>
                <w:rPr>
                  <w:rStyle w:val="984"/>
                  <w:rFonts w:ascii="Liberation Serif" w:hAnsi="Liberation Serif" w:eastAsia="Liberation Serif" w:cs="Liberation Serif"/>
                  <w:b w:val="0"/>
                  <w:sz w:val="20"/>
                  <w:szCs w:val="20"/>
                  <w:highlight w:val="white"/>
                </w:rPr>
                <w:t xml:space="preserve">*</w:t>
              </w:r>
            </w:hyperlink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Общежития, не оборудованные лифтами и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кВт-ч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1,97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66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Общежития, оборудованные лифтами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кВт-ч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sz w:val="20"/>
                <w:szCs w:val="20"/>
                <w:highlight w:val="white"/>
              </w:rPr>
              <w:t xml:space="preserve">3,98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b w:val="0"/>
          <w:color w:val="000000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2.5. </w:t>
      </w:r>
      <w:bookmarkStart w:id="20" w:name="_Toc11882498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Существующая система коммерческого учета и планы по установке прибор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ов учета.</w:t>
      </w:r>
      <w:bookmarkEnd w:id="20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Сведения 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существующей системе коммерческого учета электрической энергии 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план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по установке приборов учета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отсутствуют.</w:t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  <w:t xml:space="preserve">III</w:t>
      </w:r>
      <w:r>
        <w:rPr>
          <w:rFonts w:ascii="Liberation Serif" w:hAnsi="Liberation Serif" w:eastAsia="Liberation Serif" w:cs="Liberation Serif"/>
          <w:b/>
          <w:sz w:val="28"/>
          <w:highlight w:val="white"/>
          <w:lang w:val="ru-RU"/>
        </w:rPr>
        <w:t xml:space="preserve">.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21" w:name="_Toc118824986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Электронная модель схемы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электроснабжения</w:t>
      </w:r>
      <w:r>
        <w:rPr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3.1. Универсальным инструментом разработки перспективных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схем электроснабжения является их электронная модель.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Электронная модель схем электроснабжения – единая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информационная система, включающая в себя базы данных,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программное и техническое обеспечение, предназначенная для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хранения, мониторинга и актуализации информации о технико-экономическом состоянии централизованных систем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электроснабжения, осуществления их оперативно-диспетчерского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управления.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Задачи, решаемые электронной моделью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графическо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представлени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объектов электроснабжения, с привязкой 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топографической основе МО и полным описанием связности объектов;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паспортизации объектов электроснабжения;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описания единиц административного деления земельных участков 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возможностью формирования и генерации пространственных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технологических запросов и отчетов по системе электроснабжения 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административно-территориальных разрезах;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расчетов режима сетей выше 1 до 35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компенсации токов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замыкания на землю;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расчетов токов короткого замыкания;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расчета балансов электроснабжения;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расчета показателей надежности;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построения графиков для разработки и анализа сценариев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перспективного развития.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3.2. 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bookmarkStart w:id="22" w:name="_Toc118824987"/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Графическое представление существующих объектов системы электроснабжения с привязкой к топографической основе 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населенного пункта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 и полн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ым описанием связности объектов</w:t>
      </w:r>
      <w:bookmarkEnd w:id="22"/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Пример графического представления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существующих объектов системы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электроснабжения с привязкой к топографической основе населённого пункта представлен на рисунке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instrText xml:space="preserve"> REF _Ref116553614 \h  \* MERGEFORMAT </w:instrTex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b w:val="0"/>
          <w:vanish/>
          <w:color w:val="000000" w:themeColor="text1"/>
          <w:sz w:val="28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 w:val="0"/>
          <w:color w:val="000000" w:themeColor="text1"/>
          <w:sz w:val="28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jc w:val="both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b w:val="0"/>
          <w:sz w:val="28"/>
          <w:highlight w:val="whit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5720" cy="3656380"/>
                <wp:effectExtent l="0" t="0" r="0" b="0"/>
                <wp:docPr id="24" name="Рисунок 8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0201052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flipH="0" flipV="0">
                          <a:off x="0" y="0"/>
                          <a:ext cx="6035719" cy="36563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75.3pt;height:287.9pt;mso-wrap-distance-left:0.0pt;mso-wrap-distance-top:0.0pt;mso-wrap-distance-right:0.0pt;mso-wrap-distance-bottom:0.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highlight w:val="white"/>
        </w:rPr>
      </w:r>
      <w:r/>
    </w:p>
    <w:p>
      <w:pPr>
        <w:pStyle w:val="954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b/>
          <w:sz w:val="24"/>
          <w:highlight w:val="white"/>
        </w:rPr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Пример графического представления существующих объектов системы электроснабжения с привязкой к топографической основе населённого пункта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0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3.3. </w:t>
      </w:r>
      <w:bookmarkStart w:id="24" w:name="_Toc118824988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Описание объектов существующей системы электроснабжения.</w:t>
      </w:r>
      <w:bookmarkEnd w:id="24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Электронная модель отражает объекты электрической сети по видам и с отражением их характеристик: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трансформаторные подстанции (ТП), в том числе трансформаторы;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распределительные пункты (РП);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линии, соединяющие центры питания (ЦП) с РП и ТП;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линии, соединяющие ТП между собой;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питающие линии промышленных предприятий, находящихся на территории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населенного пункта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распределительные сети, кроме ведомственных сетей и сетей промышленных предприятий.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генераторы, реакторы, конденсаторы в электрических сетях;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выключатели, выключатели нагрузки, разъединители ПС, ТП, РП и линий;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оборудование релейной защиты и автоматики (РЗА), установленные на ПС, РП.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3.4. </w:t>
      </w:r>
      <w:bookmarkStart w:id="25" w:name="_Toc118824989"/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Составление</w:t>
      </w:r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 шаблонов пользовательских форм (генератор форм элек</w:t>
      </w:r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тронных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таблиц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Microsoft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Excel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)</w:t>
      </w:r>
      <w:bookmarkEnd w:id="2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Ш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аблон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пользовательских форм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в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построены с помощью VBA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ож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создать форму в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добавив в книгу элементы управления содержимым, такие как кнопки, флажки, списки и поля со списками. После этого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можно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заполнить эту форму в приложении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при желании распечатать 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Шаг 1. Отображение вкладки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Разработчик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меню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выберите элемент Параметры.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разделе Разработка выберите Представление.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разделе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Показывать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на ленте установите флажок Вкладка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Разработчик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Шаг 2. Добавление и форматирование элементов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управления содержимым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 вкладке Разработчик выберите элемент управления, который хотите добавить.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 листе щелкните место, куда нужно вставить элемент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Чтобы задать свойства элемента управления, щелкните его, удерживая нажатой клавишу CONTROL, и выберите пункт Формат элемента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окне Формат объекта задайте такие свойства элемента управления, как шрифт, выравнивание и цвет.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Повторите действия 1–4 для каждого добавляемого элемента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Шаг 3. Защита листа, содержащего форму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меню Сервис наведите указатель на пункт Защита и выберите команду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Защитить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лист.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Выберите нужные параметры защиты.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Сохраните и закройте книгу.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Шаг 4. Проверка формы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При необходимости вы можете проверить форму, прежде чем распространять 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Защитите форму, как указано в описании шага 3.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Откройте форму еще раз, заполните ее обычным способом и сохраните как копию.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3.5. </w:t>
      </w:r>
      <w:bookmarkStart w:id="26" w:name="_Toc118824990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Пол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учени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е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реестра объектов моделей.</w:t>
      </w:r>
      <w:bookmarkEnd w:id="26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режиме работы окна семантической информации Ответ или База предусмотрен экспорт соответствующего набор записей в лист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Microsoft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для последующего анализа.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экспорта данных в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Microsoft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окне семантической информации на вкладке Ответ или База нажмите кнопку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диалоговом окне Экспорт в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Microsoft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из списка Шаблоны отчетов выберите нужный шаблон, при экспорте в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используются либо такие же шаблоны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как и для печатных отчетов, либо шаблоны на основе файлов шаблонов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(формата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xlt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если не устраивают существующие шаблоны, то нужно нажать кнопку Новый и создать новый шаблон;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строке Путь к книге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нажмите кнопку Обзор..., укажите полный путь до него, затем: для экспорта в книгу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из списка тип файла выберите Книга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(*.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xls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); для экспорта в электронную таблицу ODS из списка тип файла выберите Электронная таблица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OpenOffice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(*.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ods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строке Имя листа укажите имя листа, на котором будут размещены данные,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например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Лист1;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нажмите кнопку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Сохранить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после чего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начнет процедуру экспорта, о чем будет информировать индикатор процесса. Процедуру экспорта можно прервать, нажав кнопку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Отмена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на панели это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го индикатора.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3.6. </w:t>
      </w:r>
      <w:bookmarkStart w:id="27" w:name="_Toc11882499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Получени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е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сводных форм в виде эле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ктронных таблиц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Microsoft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Excel.</w:t>
      </w:r>
      <w:bookmarkEnd w:id="27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Имея исходную таблицу в формате EXCEL, для создания Сводной таблицы достаточно выделить любую ячейку исходной таблицы и в меню Работа с таблицами/ Конструктор/ Сервис выбрать пункт Сводная таблица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появившемся окне нажмем ОК, согласившись с тем, что Сводная таблица будет размещена на отдельном листе.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 отдельном листе появится заготовка Сводной таблицы и Список полей, размещенный справа от листа (отображается только когда активная ячейка находится в диапазоне ячеек Сводной таблицы).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появившемся окне выбираем Названия строк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Списка полей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для этого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поставим галочку в Списке полей у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необходимого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поля (поле и столбец - синонимы)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Если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ячейки столбца имеют текстовый формат, то они автоматически попадут в область Названия строк Списка полей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Если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ячейки столбца имеют числовой формат, то они автоматически попадут в раздел Списка полей Значения.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д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обавлени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фильтра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необходимы следующие действия: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выделите любое значение Сводной таблицы, нажмите пункт меню Работа со сводными таблицами/ Параметры/ Действия/ Очистить/ Очистить все;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ставим галочки в Списке полей у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необходимых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полей;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переносим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поле  из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области Названия строк Списка полей в область Фильтр отчета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  <w:t xml:space="preserve">IV.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28" w:name="_Toc118824992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Перспективные показатели потребления электроэнергии по разным категориям пользователей.</w:t>
      </w:r>
      <w:bookmarkEnd w:id="28"/>
      <w:r>
        <w:rPr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Суммарная электрическая нагрузка 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составит 0,044 МВт. Данную нагрузку необходимо уточнить на стадии дальнейшего проектирования с учётом особенностей производственных и складских помещений, а также всех параметров зданий.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Покрытие электрических нагрузок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предусматривается от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децентрализованной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энергосистемы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села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за счет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существующей ДЭС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142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  <w:t xml:space="preserve">V</w:t>
      </w:r>
      <w:r>
        <w:rPr>
          <w:rFonts w:ascii="Liberation Serif" w:hAnsi="Liberation Serif" w:eastAsia="Liberation Serif" w:cs="Liberation Serif"/>
          <w:b/>
          <w:sz w:val="28"/>
          <w:highlight w:val="white"/>
          <w:lang w:val="ru-RU"/>
        </w:rPr>
        <w:t xml:space="preserve">.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29" w:name="_Toc118824993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 Предложения по строительству, реконструкции и модерниз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ации объектов электроснабжения</w:t>
      </w:r>
      <w:bookmarkEnd w:id="29"/>
      <w:r>
        <w:rPr>
          <w:highlight w:val="white"/>
        </w:rPr>
      </w:r>
      <w:r/>
    </w:p>
    <w:p>
      <w:pPr>
        <w:contextualSpacing/>
        <w:ind w:left="0" w:right="0" w:firstLine="142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5.1. </w:t>
      </w:r>
      <w:bookmarkStart w:id="30" w:name="_Toc11882499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 реконструируемых и предлагаемых к новому строительству электрических сетях, обеспечивающих перераспределение электрической нагрузки из зон с дефицитом в зоны с избытком электрических мощностей (использование существующих резервов)</w:t>
      </w:r>
      <w:bookmarkEnd w:id="30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Мероприятия по реконструкции и новому строительству электрических сетей, обеспечивающих перераспределение электрической нагрузки из зон с дефицитом в зоны с избытком электрических мощностей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не запланировано.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5.2. </w:t>
      </w:r>
      <w:bookmarkStart w:id="31" w:name="_Toc11882499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с.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Киккиакки.</w:t>
      </w:r>
      <w:bookmarkEnd w:id="31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отсутствуют. В связи с этим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реконстру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кция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новое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строительств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электрических сет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обеспечивающих перераспр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еделение электрической нагрузки, не предусматривается.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5.3. </w:t>
      </w:r>
      <w:bookmarkStart w:id="32" w:name="_Toc118824996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об электрических сетях, предлагаемых к новому строительству для обеспечения перспективных приростов электрической нагрузки во вновь осваиваемых районах поселения под жилищную, комплексную или производственную застройку</w:t>
      </w:r>
      <w:bookmarkEnd w:id="3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Информация об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электрических сетях, предлагаемых к новому строительству для обеспечения перспективных приростов электрической нагрузки во вновь осваиваемых районах поселения под жилищную, комплексную или производственную застройку отсутствует.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5.4. </w:t>
      </w:r>
      <w:bookmarkStart w:id="33" w:name="_Toc118824997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об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электрических сетях, предлагаемых к новому строительству для обеспечения перспективных приростов электрической нагрузки в зонах с дефицитом электрической мощности с перераспределением электрической мощности от действующих объектов системы электроснабжения.</w:t>
      </w:r>
      <w:bookmarkEnd w:id="33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отсутствуют.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связи с этим перераспределение электрической нагрузки не предусматривается.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5.5. </w:t>
      </w:r>
      <w:bookmarkStart w:id="34" w:name="_Toc118824998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об электрических сетях, предлагаемых к новому строительству для обеспечения нормативной надежности и безопасности электроснабжения</w:t>
      </w:r>
      <w:bookmarkEnd w:id="3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Электросетевым хозяйством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обеспечивается нормативная надёжность и безопасность электроснабжения. В связи с этим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ново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строительств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 электрических сетей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для обеспечения нормативной надежности и безопасности электроснабжения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потребителей не предусматривается.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5.6. </w:t>
      </w:r>
      <w:bookmarkStart w:id="35" w:name="_Toc118824999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об участках электрических сетей, обеспечивающих вывод электрической мощности от вновь строящихся и реконструируемых объектов системы электроснабжения</w:t>
      </w:r>
      <w:bookmarkEnd w:id="35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Строительство и реконструкция объектов системы электроснабжения,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 которых потребуется вывод электрической мощности, не предполагается.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5.7. 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bookmarkStart w:id="36" w:name="_Toc118825000"/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Сведения о реконструируемых участках электрической сети с увеличением ее пропускной способности для обеспечения перспективных приростов электрической нагрузки</w:t>
      </w:r>
      <w:bookmarkEnd w:id="36"/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Мероприятия по реконструкции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участк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электрической сети с увеличением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пропускной способности для обеспечения перспективных приростов электрической нагрузки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 требуется.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5.8. </w:t>
      </w:r>
      <w:bookmarkStart w:id="37" w:name="_Toc118825001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 реконструируемых участках электрической сети, подлежащих замене в связи с исчерпанием эксплуатационного ресурса (при этом остаточный ресурс требуется определять по текущему состоянию).</w:t>
      </w:r>
      <w:bookmarkEnd w:id="37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Реконстру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кци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участк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электрической сети, подлежащих замене в связи с исчерпанием эксплуатационного ресурса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не планируется.</w:t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bookmarkStart w:id="38" w:name="_Toc118825002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5.9. Сведения о диспетчеризации, телемеханизации и автоматизированных системах управления режимами электроснабжения</w:t>
      </w:r>
      <w:bookmarkEnd w:id="38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АСУЭ выполняют функции дистанционного контроля и управления распределением электроэнергии на предприятии. Основной целью их создания является обеспечение бесперебойного, стабильного электроснабжения предприятия за счет: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предоставления оперативному и диспетчерскому персоналу достоверной информации по текущим характеристикам сетей электроснабжения, состоянию и режимам работы энергетического оборудования электрических подстанций;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реализации функций телеуправления объектами электроснабжения в дистанционном режиме;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предупреждения ошибочных действий персонала, обеспечения своевременного и грамотного реагирования на предаварийные и аварийные ситуации;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автоматического ведения журналов технологических событий и предоставления инструментов для просмотра и анализа аварийных осцил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ограмм, действий операторов, истории изменения контролируемых параметров.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Источниками эффективности применения автоматизированных систем управления электроснабжением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повышение надежности функционирования энергосистемы предприятия. Минимизация простоев технологического оборудования, связанных с перебоями электроснабжения и низким качеством электроэнергии;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повышение качества планирования и управления потреблением электроэнергии. Увеличение коэффициента использования выделенного лимита мощности, минимизация штрафов за превышение лимитов;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повышение прозрачности расчетов с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субабонентами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предупреждение ошибочных действий эксплуатационного и оперативно-диспетчерского персонала. Минимизация последствий нештатных ситуаций;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снижение трудозатрат на сбор первичной информации и формирование отчетных документов.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5.10. Структура автоматизированных систем управления электроснабжением</w:t>
      </w:r>
      <w:r>
        <w:rPr>
          <w:rFonts w:ascii="Liberation Serif" w:hAnsi="Liberation Serif" w:eastAsia="Liberation Serif" w:cs="Liberation Serif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Нижний уровень систем АС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УЭ образуют измерительные преобразователи тока и напряжения, средства технического учета электроэнергии, системы противоаварийной защиты и автоматики, иные устройства, обеспечивающие измерение и регулирование режимов работы оборудования электрической сети.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Первичные данные о состоянии и режимах работы подстанций, параметрах выработки и потребления электроэнергии поступают на устройства сбора, предварительной обработки,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агрегирования телемеханической информации и данных технического учета электроэнергии, образующие средний уровень систем управления электроснабжением.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Агрегированные, предварительно обработанные да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нные с подстанций поступают на верхний уровень АСУЭ, на сервера подсистемы сбора и обработки технологической информации, сервера долговременного хранения данных и выводятся на экран коллективного использования в диспетчерской, а также на АРМ специалистов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энергодиспетчера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инженера-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релейщика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специалистов службы главного энергетика и др.) в формате мнемосхем, графиков, диаграмм, таблиц, сводных панелей показателей, цифровых и текстовых табло.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Основные функциональные возможности систем управления электроснабжением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Основное предназначение систем АСУЭ – обеспечить эффективное оперативно-диспетчерское управление объектами электроснабжения в нормальных, переходных и аварийных режимах. Поэтому, к числу их основных функций относятся: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контроль параметров работы электрической сети и силового оборудования (значение токов, напряжений, мощностей, частоты и др.);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контроль положения коммутационных аппаратов;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контроль состояния основного и вспомогательного электрооборудования;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контроль неэлектрических параметров функционирования подстанций (сигналы охранной и пожарной сигнализации, температурный режим на подстанции и др.);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вычисление расчетных величин (расчет линейных напряжений и токов по фазным, 3Uo, 3Io. U2, I2 и др.);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контроль и регистрация выхода измеряемых параметров за установленные границы, регистрация аварийных событий и нарушений;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формирование сообщений предупредительной и аварийной сигнализации;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изменение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уставок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работы оборудования, формирование и передача команд телеуправления на устройства нижнего 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диагностика и самодиагностика комплекса технических средств системы: измерительных, регистрирующих и регулирующих устройств, линий связи, серверного 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ведение архивов измеряемых и рассчитываемых значений, ведение журналов действий пользователя в системе;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формирование технической, оперативной, эксплуатационной и отчетной документации;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обмен информацией со смежными и внешними информационными системами.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зависимости от задач Заказчика в системах управления электроснабжением может быть такж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 реализована функциональность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информационно-аналитических систем управления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энергоэффективностью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в части учета и анализа параметров потребления электрической энергии, в том числе: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учёт потребления электроэнергии на различные нужды (потребление по отдельным производствам, цехам, участкам);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сравнение потребления однотипных потребителей;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анализ почасовых и сезонных профилей потребления;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контроль над ростом и равномерным распределением нагрузок;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контроль параметров по договорам энергоснабжения;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оперативное планирование потребления электроэнергии;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вычисление балансов электроэнергии, сравнение с проектными решениями, выявление нерационального использования и потерь электрической энергии.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szCs w:val="24"/>
          <w:highlight w:val="white"/>
        </w:rPr>
        <w:t xml:space="preserve">В настоящее время </w:t>
      </w:r>
      <w:r>
        <w:rPr>
          <w:rFonts w:ascii="Liberation Serif" w:hAnsi="Liberation Serif" w:eastAsia="Liberation Serif" w:cs="Liberation Serif"/>
          <w:b w:val="0"/>
          <w:sz w:val="28"/>
          <w:szCs w:val="24"/>
          <w:highlight w:val="white"/>
        </w:rPr>
        <w:t xml:space="preserve">в системе электроснабжения с. </w:t>
      </w:r>
      <w:r>
        <w:rPr>
          <w:rFonts w:ascii="Liberation Serif" w:hAnsi="Liberation Serif" w:eastAsia="Liberation Serif" w:cs="Liberation Serif"/>
          <w:b w:val="0"/>
          <w:sz w:val="28"/>
          <w:szCs w:val="24"/>
          <w:highlight w:val="white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z w:val="28"/>
          <w:szCs w:val="24"/>
          <w:highlight w:val="white"/>
        </w:rPr>
        <w:t xml:space="preserve"> отсутствует автоматизированная система сбора, обработки и хранения показаний приборов учёта электроэнергии.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5.11. 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bookmarkStart w:id="39" w:name="_Toc118825003"/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Сведения об 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АСКУЭ.</w:t>
      </w:r>
      <w:bookmarkEnd w:id="39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АСКУЭ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позволяет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своевременно собирать данные по всем потребителям как по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напряжению, так и по мощности. П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осле этого автоматизированная программа обрабатывает всю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собранную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информацию и составляется подробный отчёт.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Инженерно-технические работники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проводят анализ, а также составляют прогноз на предстоящий период.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этого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выполн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ены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ряд обязательных требований:</w:t>
      </w:r>
      <w:r>
        <w:rPr>
          <w:highlight w:val="white"/>
        </w:rPr>
      </w:r>
      <w:r/>
    </w:p>
    <w:p>
      <w:pPr>
        <w:pStyle w:val="955"/>
        <w:numPr>
          <w:ilvl w:val="0"/>
          <w:numId w:val="32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 всех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ключевых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участках потребления электроэнергии устан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овлены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инновационные средства учёта — счётчики;</w:t>
      </w:r>
      <w:r>
        <w:rPr>
          <w:highlight w:val="white"/>
        </w:rPr>
      </w:r>
      <w:r/>
    </w:p>
    <w:p>
      <w:pPr>
        <w:pStyle w:val="955"/>
        <w:numPr>
          <w:ilvl w:val="0"/>
          <w:numId w:val="32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абсолютно все поступающие от счётчиков цифровые сигналы хран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ят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ся в специальных блоках — сумматорах, с большой памятью;</w:t>
      </w:r>
      <w:r>
        <w:rPr>
          <w:highlight w:val="white"/>
        </w:rPr>
      </w:r>
      <w:r/>
    </w:p>
    <w:p>
      <w:pPr>
        <w:pStyle w:val="955"/>
        <w:numPr>
          <w:ilvl w:val="0"/>
          <w:numId w:val="32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обустро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ены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центры, где обраба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тываться все полученные данные, которые оснащены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компьютерами и современным программным обеспечением;</w:t>
      </w:r>
      <w:r>
        <w:rPr>
          <w:highlight w:val="white"/>
        </w:rPr>
      </w:r>
      <w:r/>
    </w:p>
    <w:p>
      <w:pPr>
        <w:pStyle w:val="955"/>
        <w:numPr>
          <w:ilvl w:val="0"/>
          <w:numId w:val="32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вся система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обвяза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линиями связи, при помощи которых все отчёты отправля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ют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ся потребителям и подотчётным предприятиям.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труктурн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схем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АСКУЭ раздел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ена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на три общих блока. Блок под номером один включает в себя мощные агрегаты для учёта энергии, представленные индукционными или же электронными электросчётч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иками. Такие приборы установлены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исключительно у потребител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 Если же вмонтирован инновационный счётчик, то сбор необходимой информации осуществл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яется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через встроенный порт связи.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 сегодняшний день основной процент приборов комплектуется на заводе мощным интерфейсом для включения в АСКУЭ. Если использ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уется счётчик старого образца 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индукционный, то специалисты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ЭСО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дополнительно оснащают его считывающим устройством, за счёт этого происходит передача данных.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Второй блок выполняет все функции связи.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оказания, которые были удачно собраны ещё на первом этапе, надёжно защищены от взлома мошенниками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переда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ются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несколькими способами:</w:t>
      </w:r>
      <w:r>
        <w:rPr>
          <w:highlight w:val="white"/>
        </w:rPr>
      </w:r>
      <w:r/>
    </w:p>
    <w:p>
      <w:pPr>
        <w:pStyle w:val="955"/>
        <w:numPr>
          <w:ilvl w:val="0"/>
          <w:numId w:val="2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через обычные телефонные линии связи;</w:t>
      </w:r>
      <w:r>
        <w:rPr>
          <w:highlight w:val="white"/>
        </w:rPr>
      </w:r>
      <w:r/>
    </w:p>
    <w:p>
      <w:pPr>
        <w:pStyle w:val="955"/>
        <w:numPr>
          <w:ilvl w:val="0"/>
          <w:numId w:val="2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передача по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Интернету</w:t>
      </w:r>
      <w:r>
        <w:rPr>
          <w:rFonts w:ascii="Liberation Serif" w:hAnsi="Liberation Serif" w:eastAsia="Liberation Serif" w:cs="Liberation Serif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2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мобильная связь разных стандартов (3G, GPRS,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Wi-Fi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Совокупность всех существующих способов для гарантированной безотказной работы системы.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Третий блок сочетает в себе специализированные средства компьютерн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ой обработки полученных данных.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 этом этапе вся собранная информация обрабатывается и анализируется. С технической стороны третий блок обязательно состоит из мощного сервера или же компьютера с актуа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льным программным обеспечением.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szCs w:val="24"/>
          <w:highlight w:val="white"/>
        </w:rPr>
        <w:t xml:space="preserve">В настоящее время в системе электроснабжения с. </w:t>
      </w:r>
      <w:r>
        <w:rPr>
          <w:rFonts w:ascii="Liberation Serif" w:hAnsi="Liberation Serif" w:eastAsia="Liberation Serif" w:cs="Liberation Serif"/>
          <w:b w:val="0"/>
          <w:sz w:val="28"/>
          <w:szCs w:val="24"/>
          <w:highlight w:val="white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z w:val="28"/>
          <w:szCs w:val="24"/>
          <w:highlight w:val="white"/>
        </w:rPr>
        <w:t xml:space="preserve"> отсутствует автоматизированная система сбора, обработки и хранения показаний приборов учёта электроэнергии.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  <w:t xml:space="preserve">VI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. </w:t>
      </w:r>
      <w:bookmarkStart w:id="40" w:name="_Toc118825004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Перспективные балансы производств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а и потребления электроэнергии</w:t>
      </w:r>
      <w:bookmarkEnd w:id="40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связи с отсутствием достоверной информации о существующих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баланс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производства и потребления электроэнергии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а также о перспективе подключения новых абонентов прогнозирование перспективных балансов производства и потребления электрической энергии в 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не представляется возможным.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  <w:lang w:val="en-US"/>
        </w:rPr>
        <w:t xml:space="preserve">VI</w:t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  <w:lang w:val="en-US"/>
        </w:rPr>
        <w:t xml:space="preserve">I</w:t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  <w:lang w:val="ru-RU"/>
        </w:rPr>
        <w:t xml:space="preserve">. </w:t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</w:rPr>
      </w:r>
      <w:bookmarkStart w:id="41" w:name="_Toc118825005"/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</w:rPr>
        <w:t xml:space="preserve">Экологические аспекты мероприятий по строительству и реконструкции о</w:t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</w:rPr>
        <w:t xml:space="preserve">бъектов электроснабжения</w:t>
      </w:r>
      <w:bookmarkEnd w:id="41"/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При проектировании, строительстве, реконструкции, эксплуатации и снятии 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эксплуатации предприятий, зданий и сооружений необходимо предусматривать мероприятия по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охране природы, рациональному использованию и воспроизводству природных ресурсов, 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также выполнять требования экологической безопасности проектируемых объектов и охраны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здоровья населения.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Технические решения при строительстве объектов электроэнергетики должны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соответствовать требованиям действующих экологических, санитарно-гигиенических,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противопожарных и других норм, правил, государственных стандартов и обеспечивать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безопасную для жизни людей и щадящую для окружающей среды эксплуатацию объектов.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целях обеспечения безопасности населения и в соответствии с Федеральным законом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 санитарно-эпидемиологическом благополучии населения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от 30.03.1999 № 52-ФЗ для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объектов и производств, являющихся источниками воздействия на среду обитания и здоровье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человека, устанавливается специальная территория с особым режимом использования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санитарно-защитная зона (СЗЗ), размер которой обеспечивает уменьшение воздействия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загрязнения на атмосферный воздух (химического, биологического, физического) до значений,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установленных гигиеническими нормативами, а для предприятий I и II класса опасности как до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значений, установленных гигиеническими нормативами, так и до величин приемлемого риска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здоровья населения.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 своему функциональному назначению санитарно-защитная зона является защитным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барьером, обеспечивающим уровень безопасности населения при эксплуатации объекта 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штатном режиме.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Санитарно-защитные зоны устанавливаются в соответствии с СанПиН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2.2.1/2.1.1.1200 03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Санитарно-защитные зоны и санитарная классификация предприятий, сооружений и иных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объектов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Охранная зона объектов инженерной и транспортной инфраструктуры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это территория 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особыми условиями использования, которая устанавливается в порядке, определяемом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Правительством Российской Федерации, вокруг объектов инженерной, транспортной и иных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инфраструктур в целях обеспечения охраны окружающей природной среды, нормальных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условий эксплуатации таких объектов и исключения возможности их повреждения.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Охранные зоны выделяются для: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электрических сетей;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линий и сооружений связи;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систем газоснабжения;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магистральных трубопроводов;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автомобильных дорог.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Охранные зоны электрических сетей устанавливаются для электроподстанций,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распределительных устройств, воздушных линий электропередач, подземных и подводных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кабельных линий электропередачи.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Использование территорий, находящихся в зоне ЛЭП, регулируется Правилами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установления охранных зон объектов электросетевого хозяйства и особых условий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использования земельных участков, расположенных в границах таких зон (Постановление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Правительства 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оссийской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едерации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 порядке установления охранных зон объектов электросетевого хозяйства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 особых условий использования земельных участков, расположенных в границах таких зон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от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24.02.2009 № 160).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Введение таких правил обусловлено вредным воздействием электромагнитного поля на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здоровье человека.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Так, по информации Центра электромагнитной безопасности, в соответствии с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результатами проведённых исследований, установлено, что у людей, проживающих вблизи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линий электропередачи и трансформаторных подстанций, могут возникать изменения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функционального состояния нервной, сердечно-сосудистой, нейрогормональной 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эндокринной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систем, нарушаться обменные процессы, иммунитет и воспроизводительная функции.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Поэтому, чем дальше от источников электромагнитного поля находится строение, тем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лучше.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то же время существуют такие зоны, где строительство категорически запрещено.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Дальность распространения электромагнитного поля (и опасного магнитного поля) от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ЛЭП напрямую зависит от её мощности.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Исходя из мощности ЛЭП, для защиты населения от действия электромагнитного поля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установлены санитарно-защитные зоны для линий электропередачи (санитарные правила СНиП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№ 2971-84 –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Защита населения от воздействия электрического поля, создаваемого воздушными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линиями электропередачи переменного тока промышленной частоты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воздушных высоковольтных линий электропередачи (ВЛ) устанавливаются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санитарно-защитные зоны по обе стороны от проекции на землю крайних проводов.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Эти зоны определяют минимальные расстояния до ближайших жилых, производственных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 непроизводственных зданий и сооружений:</w:t>
      </w:r>
      <w:r>
        <w:rPr>
          <w:highlight w:val="white"/>
        </w:rPr>
      </w:r>
      <w:r/>
    </w:p>
    <w:p>
      <w:pPr>
        <w:pStyle w:val="955"/>
        <w:numPr>
          <w:ilvl w:val="0"/>
          <w:numId w:val="3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2 метра – для ВЛ ниже 1кВ;</w:t>
      </w:r>
      <w:r>
        <w:rPr>
          <w:highlight w:val="white"/>
        </w:rPr>
      </w:r>
      <w:r/>
    </w:p>
    <w:p>
      <w:pPr>
        <w:pStyle w:val="955"/>
        <w:numPr>
          <w:ilvl w:val="0"/>
          <w:numId w:val="3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10 метров – для ВЛ 1- 20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15 метров – для ВЛ 35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20 метров – для ВЛ 110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25 метров – для ВЛ 150-220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30 метров –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для ВЛ 330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400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500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40 метров – для ВЛ 750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55 метров – для ВЛ 1150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3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100 метров – для ВЛ через водоёмы (реки, каналы, озёра и др.).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 допускается прохождение ЛЭП по территориям стадионов, учебных и детских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учреждений.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Допускается для ЛЭП (ВЛ) до 20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принимать расстояние от крайних проводов до границ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приусадебных земельных участков, индивидуальных домов и коллективных садовых участков не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менее 20 метров.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Прохождение ЛЭП (ВЛ) над зданиями и сооружениями, как правило, не допускается.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Допускается прохождение ЛЭП (ВЛ) над производственными зданиями и сооружениями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промышленных предприятий I-II степени огнестойкости в соответствии со строительными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нормами и правилами по пожарной безопасности зданий и сооружений с кровлей из негорючих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материалов (для ВЛ 330-750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только над производственными зданиями электрических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подстанций.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охранной зоне ЛЭП (ВЛ) запрещается: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производить строительство, капитальный ремонт, снос любых зданий и сооружений;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осуществлять всякого рода горные, взрывные, мелиоративные работы, производить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посадку деревьев, полив сельскохозяйственных культур;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размещать автозаправочные станции;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загромождать подъезды и подходы к опорам ВЛ;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устраивать свалки снега, мусора и грунта;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складировать корма, удобрения, солому, разводить огонь;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устраивать спортивные площадки, стадионы, остановки транспорта, проводить любые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мероприятия, связанные с большим скоплением людей.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Проведение необходимых мероприятий в охранной зоне ЛЭП может выполняться только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при получении письменного разрешения на производство работ от предприятия (организации), 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ведении которых находятся эти сети.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Нарушение требований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Правил охраны электрических сетей напряжение свыше 1000 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если оно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вызвало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перерыв в обеспечении электроэнергией, может повлечь следующую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административную ответственность: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физические лица наказываются штрафом в размере от 5 до 10 минимальных размеров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оплаты труда;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юридические лица наказываются штрафом от 100 до 200 МРОТ.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соответствии с п.7.1.10 СанПиН 2.2.1/2.1.1.1200-03 для электроподстанций размер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санитарно-защитной зоны устанавливается в зависимости от типа (открытые, закрытые),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мощности на основании расчетов физического воздействия на атмосферный воздух, а также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результатов натурных измерений.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целях защиты населения от воздействия электрического поля, необходимо соблюдать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санитарные разрывы вдоль линий электропередач.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  <w:lang w:val="en-US"/>
        </w:rPr>
        <w:t xml:space="preserve">VI</w:t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  <w:lang w:val="en-US"/>
        </w:rPr>
        <w:t xml:space="preserve">I</w:t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  <w:lang w:val="en-US"/>
        </w:rPr>
        <w:t xml:space="preserve">I</w:t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  <w:lang w:val="ru-RU"/>
        </w:rPr>
        <w:t xml:space="preserve">.</w:t>
      </w:r>
      <w:r>
        <w:rPr>
          <w:rFonts w:ascii="Liberation Serif" w:hAnsi="Liberation Serif" w:eastAsia="Liberation Serif" w:cs="Liberation Serif"/>
          <w:b/>
          <w:i w:val="0"/>
          <w:sz w:val="28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42" w:name="_Toc118825006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Оценка надежности и безопас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ности системы электроснабжения</w:t>
      </w:r>
      <w:bookmarkEnd w:id="42"/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8.1. Под надежностью системы электроснабжения необходимо понимать вероятность того,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что устройство или система будут в полном объеме выполнять свои функции в течение заданного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промежутка времени или при заданных условиях работы.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8.2. Линии электропередачи (ЛЭП).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Самым ненадежным элементом систем электроснабжения являются ЛЭП из-за 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большой протяженности и влияния на них большого числа различных внешних воздействий. 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сетях населенных пунктов по статистике около 90-95 % отключений приходятся на долю ЛЭП.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Отказом линии электропередачи называется всякое вынужденное отключение при ее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повреждениях.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Различают устойчивые повреждения воздушных линий (опоры, провода, изоляторы) 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неустойчивые (самовосстанавливающиеся). Последние ликвидируются путем успешного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действия устройств автоматического повторного включения (АПВ) или ручного включения.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Основными причинами повреждения воздушных линий (ВЛ)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грозовые перекрытия изоляции;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гололедно-изморозевые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отложения;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ветровые нагрузки;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вибрация и пляска проводов;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возгорание деревянных опор;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ослабление прочности деталей опор;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повреждение опор и проводов автотранспортом и др.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Внешние воздействия приводят к перекрытию изоляции, разрушению изоляторов, обрыву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проводов, падению опор.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Повреждения ВЛ возможны и в нормальных условиях работы из-за: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превышения фактических электрических нагрузок расчетных значений;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дефектов, возникших при изготовлении опор, проводов, изоляторов;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неправильного применения типов проводов, опор, изоляторов по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природноклиматическим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зонам;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нарушения правил монтажа и сооружения ВЛ;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недостатков эксплуатации (несоблюдения сроков и объемов проверок, текущих 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капитальных ремонтов).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8.3. Силовые трансформаторы.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Этот вид оборудования повреждается значительно реже, чем линии электропередачи,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однако его отказ ведет к более тяжким последствиям, и восстановление работоспособности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требует длительного времени.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Основные причины повреждения силовых трансформаторов: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повреждение изоляции обмоток трансформатора из-за дефектов конструкции 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изготовления, а также из-за воздействия внешних перенапряжений в сети и токов короткого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замыкания;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повреждение переключателей (в основном регулируемых под нагрузкой), обусловленное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конструктивными и технологическими дефектами;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повреждение вводов, в основном при воздействии внешних перенапряжений в сети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(перекрытие внешней или внутренней изоляции, механические повреждения, некачественные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контактные соединения).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Ремонт трансформаторов больших габаритов производится на месте. Он требует, как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правило, выемки керна трансформатора, применения подъемных механизмов и может длиться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несколько суток.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Ремонт трансформаторов малых габаритов на напряжение 6-20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производится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централизованно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мастерских предприятий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электрических сетей.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Основные способы повышения надежности эксплуатации трансформаторов: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тщательная приемка в эксплуатацию с выполнением контрольных испытаний;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периодические осмотры и проверки в процессе эксплуатации с соблюдением требуемых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сроков и объема испытаний;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соблюдение режимов работы трансформаторов, не допускающих значительной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перегрузки в течение длительного времени;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установка в сети средств снижения мощности коротких замыканий (реакторов) 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величины перенапряжений (разрядников).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8.4. Коммутационные электрические аппараты.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Отказы коммутационных аппаратов (автоматических выключателей, разъединителей,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короткозамыкателей, отделителей) происходят при отключении коротких замыканий,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выполнении ими различных операций, а также в стационарном состоянии.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Основная причина повреждений коммутационных аппаратов – механические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повреждения, связанные с несовершенством конструкции, нарушением технологии изготовления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или правил эксплуатации. Среди них следует выделить дефекты контактных соединений,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неполадки в электроприводе, повреждения из-за ошибочных действий персонала, а также отказы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при выполнении операций включения из-за некачественной регулировки, настройки или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вследствие обледенения.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Электрические повреждения коммутационных аппаратов вызываются перекрытием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изоляции при внешних и внутренних перенапряжениях, пробоем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внутрибаковой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изоляции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выключателей и пр.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Имеют большую повреждаемость линейные разъединители 6-10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из-за недостатков 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конструктивного исполнения.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короткозамыкателей причиной отказов могут быть также самопроизвольные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включения, а для отделителей – отказы в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бестоковую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паузу.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 отказам предохранителей относятся их повреждения, а также неселективные и ложные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срабатывания.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8.5. Релейная защита и автоматика.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Отказами устройств релейной защиты и автоматики (РЗА)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отказы в срабатывании при наличии требования (команды) на срабатывание;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ложные срабатывания при отсутствии требования (команды) на срабатывание;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срабатывания при несоответствии командного импульса, то есть неселективные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срабатывания.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Причиной этих отказов являются повреждения элементов (резисторов, диодов,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транзисторов, тиристоров, конденсаторов, реле), из которых состоят схемы РЗА.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резисторов и полупроводниковых приборов характерен отказ типа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обрыв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(до 90%),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конденсаторов – типа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короткое замыкание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(до 80%).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Пайки, печатный монтаж из-за плохого их выполнения имеют до 95% отказов типа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обрыв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Основным источником отказов реле является контактная система, а причиной отказов 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разрегулировка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контактов, их сваривание, образование на их поверхности непроводящих пленок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из-за коррозии, загрязнения, эрозии.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маломощных реле характерны отказы из-за ложных срабатываний под действием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вибрационных и ударных нагрузок.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Различают два вида отказов: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отказ в работоспособности объекта;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отказ в электроснабжении, т.е., отказ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При анализе надежности системы электроснабжения имеют в виду два процесса: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изменение уровня функционирования;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изменение уровня способности выполнять заданные функции в заданном объеме, т.е.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изменение спроса электроэнергии потребителем.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Возникновение отказа работоспособности объекта не всегда влечет за собой отказ 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электроснабжении и, наоборот, отказ в электроснабжении потребителя не всегда вызывается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отказом работоспособности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Разделение отказов на полные и частичные отражает то, что система электроснабжения 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ее части являются объектами с изменяющимся уровнем эффективности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Например, при повреждении секционированной ЛЭП отключается только часть линии, что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означает частичный отказ ЛЭП. Ограниченное и некачественное электроснабжение является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типичным отказом функционирования системы в отличие от полного перерыва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электроснабжения потребителя (полного отказа).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8.6. Классификация отказов.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 продолжительности различают следующие отказы в электроснабжении: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длительные перерывы в электроснабжении потребителей, вызываемые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многочисленными повреждениями в системе электроснабжения, например,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гололедноветровыми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разрушениями опор и проводов ЛЭП (на период до нескольких суток);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 восстановления работоспособности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отказавшего элемента линии (от 4 до 24 ч.);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время, необходимое для включения резервного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элемента вручную оперативно-выездными бригадами предприятий электрических сетей (от 1,5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до 6 ч.);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 оперативных переключений, выполняемых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дежурным персоналом на подстанциях (несколько минут);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кратковременные перерывы питания потребителей на время автоматического ввода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резервного питания (АВР) или автоматического отключения поврежденного участка сети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(несколько секунд).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 точки зрения информативности отказы бывают: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внезапные, когда потребитель не получает никакой информации об отказе;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внеплановые, сведения о которых поступают потребителю незадолго до момента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отключения;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плановые, о которых потребитель предупреждается заблаговременно.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Критериями отказов являются их признаки (проявления), позволяющие установить факт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нарушения работоспособного состояния. Они приводятся в нормативно-технической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документации на объекты энергетики.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зависимости от характеристики нарушения, степени повреждения и их последствий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учитываются: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аварии;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отказы в работе 1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отказы в работе II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потребительские отключения.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Аварии бывают станционные, электросетевые,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теплосетевые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системные.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 предприятиях электрической сети аварией считается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нарушение нормальной работы электрической сети напряжением 6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выше,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вызвавшее: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 категории, имеющих питание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 двух независимых источников, на срок, превышающий время действия устройств АПВ или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АВР;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потребителей I категории при несоответствии схемы питания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требованиям Правил устройств электроустановок (ПУЭ), то есть не обеспеченным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электроснабжением от двух независимых источников питания, на срок более 2,5 ч, а для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сельскохозяйственных потребителей – более 10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II категории на срок более 2,5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ч; а для сельскохозяйственных потребителей II категории – более 10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III категории на срок более 24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недоотпуск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электроэнергии потребителям в размере 20 тыс.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кВт∙ч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более независимо от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длительности перерыва электроснабжения;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разрушение силового трансформатора мощностью 10 МВА и более, если восстановление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его невозможно или нецелесообразно;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повреждение ВЛ 110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выше, требующее восстановления в течение 24 ч, а также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повреждение КЛ 110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требующее восстановления в течение 36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пожар на подстанции с высшим напряжением 110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выше, вызвавший ее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обесточивание на срок 8 ч и более.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Системными авариями считаются: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нарушение устойчивости работы энергосистемы и разделение ее на части, вызвавшее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отключение потребителей на общую мощность более 5 % от нагрузки энергосистемы;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работы энергосистемы с частотой ниже 49,5 Гц длительностью более 1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многочисленные отключения или повреждения ЛЭП напряжением 6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выше из-за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стихийного явления, приведшие к отключению потребителей на общую мощность более 10 %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нагрузки энергосистемы.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Отказом в работе I степени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нарушение нормальной работы электрической сети, вызвавшее перерыв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электроснабжения одного и более потребителей I категории при несоответствии схемы 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питания требованиям ПУЭ либо одного и более потребителей II категории на срок от 0,5 до 2,5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ч, а для сельскохозяйственных потребителей - от 2 до 10 ч; одного и более потребителей III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категории на срок от 8 до 24 ч;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недоотпуск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электроэнергии потребителям от 5 до 20 тыс.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кВт.ч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повреждение основного электрооборудования сетей, требующее восстановительного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ремонта в установленные сроки;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повреждение ВЛ или КЛ 35 (110)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требующее восстановительного ремонта в срок до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24 (36) ч.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 отказам в работе II степени относятся нарушения нормальной работы электрических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сетей, в том числе: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перерывы в электроснабжении потребителей, не являющиеся аварией 1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повреждение некоторых видов 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недовыполнение диспетчерского графика электрической нагрузки или оперативного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задания диспетчера;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автоматическое отключение или ошибочное отключение оборудования персоналом;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– обесточивание участков электросети напряжением ниже 6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Под потребительским отключением понимают отключение оборудования из-за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неправильных действий персонала потребителя.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Как показывает практика, даже наилучшая конструкция, совершенная технология 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правильная эксплуатация не исключают полностью отказы.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Различают три характерных типа отказов, присущих любым объектам.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Отказы приработанные, обусловленные дефектами проектирования, изготовления,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монтажа. Они в основном устраняются путем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отбраковки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при испытании или наладке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Доля этих отказов снижается по истечении периода приработки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Отказы внезапные (случайные), вызванные воздействием различных случайных факторов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 характерные преимущественно для периода нормальной эксплуатации объекта. Особенностью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таких отказов является невозможность их предсказания.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Отказы постепенные, происходящие в результате износа и старения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Долговечность работы системы можно увеличить за счет периодической замены наиболее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ненадежных составляющих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Рассматриваемые здесь показатели применяются для оценки надежности как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невосстанавливаемых (одноразового использования), так и подлежащих ремонту объектов, т.е.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восстанавливаемых до появления первого отказа.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P(t)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вероятность того, что в заданном интервале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времени (0, t) в системе или элементе не произойдет отказ.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Статистически Р(t) определяется как отношение числа элементов N(t), безотказно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проработавших до момента t, к первоначальному числу наблюдаемых элементов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0):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Р(t)= N(t)/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Число работоспособных в течение времени (0, t) элементов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N(t)=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0)-n(0, t),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0, t) – число отказавших за время (0, t)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Q(t)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вероятность того, что в заданном интервале времени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(0, t) произойдет отказ.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Статистическая оценка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Q(t)=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0, t)/N(0).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Таким образом, всегда имеет место соотношение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Р(t) +Q(t)=1.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Частота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отказов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а(t)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производная от вероятности появления отказа, означающая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вероятность того, что отказ элемента произойдет за единицу времени (t, t+ ∆t).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a(t)=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dQ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(t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)/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dt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dP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(t)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dt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определения величины a(t) можно использовать статистическую оценку: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a(t)=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t, ∆t ) 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 (0) *∆t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t, ∆t) – число элементов, отказавших в интервале времени от t до t+ ∆t.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Точность статистической оценки возрастает с увеличением первоначального числа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наблюдаемых элементов и уменьшением временного интервала ∆t.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Частота отказов, вероятность безотказной работы и вероятность появления отказа связаны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следующими зависимостями: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Р(t)=∫а(х)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dx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Q(t)=∫a(x)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dx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Различие между частотой и интенсивностью отказов в том, что первый показатель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характеризует вероятность отказа за интервал (t, t+ ∆t) элемента, взятого из группы элементов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произвольным образом, причем неизвестно, в каком состоянии (работоспособном или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неработоспособном) находится выбранный элемент. Второй показатель характеризует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вероятность отказа за тот же интервал времени элемента, взятого из группы оставшихся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работоспособными к моменту t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Интенсивность отказов λ(t) – условная вероятность отказа после момента t за единицу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времени ∆t при условии, что до момента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tотказа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элемента не было.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Интенсивность отказов связана с частотой отказов и вероятностью безотказной работы: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λ(t) =a(t)/P(t)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Так как P(t)≤1, то всегда выполняется соотношение λ (t)≥a(t).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Статистически интенсивность отказов определяется таким образом: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высоконадежных элем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ентов и систем: если P(t) ≥0,99, то а(t)= λ((t)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 Поэтому 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практических расчетах возможна при указанном усло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вии взаимная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замена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а(t) и λ(t)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Вероятности безотказной работы в зависимости от интенсивности отказов и времени: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Р(t)=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ехр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[-∫λ(x)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dx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].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Изменение интенсивности отказов во времени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Типичная функция интенсивности отказов во времени (в течение срока службы объекта) имеет U-образный характер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instrText xml:space="preserve"> REF _Ref116565585 \h  \* MERGEFORMAT </w:instrTex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b w:val="0"/>
          <w:color w:val="000000" w:themeColor="text1"/>
          <w:sz w:val="28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 w:val="0"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начальный период I преобладают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приработочные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отказы. После него наступает наиболее продолжительный период нормальной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эксплуатации II, в котором на объект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воздействуют случайные факторы. Последние вызывают внезапные отказы, интенсивность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которых в период нормальной эксплуатации практически не зависит от времени.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jc w:val="center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38475" cy="1743075"/>
                <wp:effectExtent l="0" t="0" r="9525" b="9525"/>
                <wp:docPr id="25" name="Рисунок 9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6179806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3038473" cy="1743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239.2pt;height:137.2pt;mso-wrap-distance-left:0.0pt;mso-wrap-distance-top:0.0pt;mso-wrap-distance-right:0.0pt;mso-wrap-distance-bottom:0.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highlight w:val="white"/>
        </w:rPr>
      </w:r>
      <w:r/>
    </w:p>
    <w:p>
      <w:pPr>
        <w:pStyle w:val="954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b/>
          <w:sz w:val="24"/>
          <w:highlight w:val="white"/>
        </w:rPr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 Интенсивность отказов во времени</w:t>
      </w:r>
      <w:r>
        <w:rPr>
          <w:highlight w:val="white"/>
        </w:rPr>
      </w:r>
      <w:r/>
    </w:p>
    <w:p>
      <w:pPr>
        <w:spacing w:before="0" w:beforeAutospacing="0" w:after="0" w:afterAutospacing="0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период старения и износа III в основном имеют место постепенные отказы,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возникающие вследствие накопления ухудшений физико-химических свойств объекта. Для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основных элементов системы электроснабжения период приработки длится до 3-5 лет. Процессы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старения и износа проявляются для ВЛ на опорах из пропитанной древесины через 15-20 лет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после ввода в эксплуатацию, для трансформаторов и КЛ - через 20-30 лет (в первую очередь за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счет старения изоляции). Старение и износ коммутационной аппаратуры наступает через 40-50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лет. Обычно эта аппаратура морально устаревает раньше, нежели физически. В основном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элементы электрических сетей высоконадежны. Время их безотказной работы значительно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превышает время восстановления.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Средняя наработка на отказ (среднее время безотказной работы) Т представляет собой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математическое ожидание наработки объекта до первого отказа. Этот показатель геометрически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представляет собой площадь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под кривой вероятности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безотказной работы: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 =∫P(t)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dt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Расчетные формулы для экспоненциального закона надежности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Учитывая, что для объектов энергосистемы интенсивность отказов в период нормальной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эксплуатации практически неизменна, т.е. λ(t)=λ, соотношения между основными показателями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надежности можно представить с учетом этого условия в более простой и наглядной форме: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P(t)=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exp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t ),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Q(t)=1-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exp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t ),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a(t)= 1-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exp(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λt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Средняя наработка на отказ для экспоненциального закона принимает вид T=1/λ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таблице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instrText xml:space="preserve"> REF _Ref116565553 \h  \* MERGEFORMAT </w:instrTex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b w:val="0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 w:val="0"/>
          <w:color w:val="000000" w:themeColor="text1"/>
          <w:sz w:val="28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приведены р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асчетные значения показателей надежности основных элементов системы электроснабжения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Расчетные значения показателей надежности основных элементов системы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электроснабжения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001"/>
        <w:gridCol w:w="1361"/>
        <w:gridCol w:w="1434"/>
        <w:gridCol w:w="1506"/>
        <w:gridCol w:w="1325"/>
      </w:tblGrid>
      <w:tr>
        <w:trPr>
          <w:trHeight w:val="840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Элемент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Интенсивность отказов, год-1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Среднее время восстановления ТВ, ч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Интенсивность преднамеренных отключений. год-1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Среднее время обслуживания ТО, 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9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 35, 110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одноцепная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35, 110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двух цепная,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6, 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одноцепная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.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,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5.8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Кабельная линия 6, 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Две кабельные линии в одной траншее,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0,38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Трансформатор с высшим напряжением 35, 110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Трансформатор с высшим напряжением 6, 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35, 110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6, 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внутренней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6, 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КРУП наружной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отделителя (ОД) или коротко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замыкателя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(КЗ) 35, 110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35, 110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6, 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внутренней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3.5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6, 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КРУП наружной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3.5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предохранителя 6, 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2.5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Линейный разъединитель 6. 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Шины ОРУ 35, 110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кВ.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на одно присоединение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Шины РУ 6. 10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на одно присоединение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борка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НН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-0,4 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ТП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 w:val="0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Расчет показателей надежности для распределительных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ТП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6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/0,4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 трансформаторами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 высшим напряжением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6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Р(0,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5)=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(-0,035*0,5)=0,9827;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Q(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0,5)=1-exp(-0,035 *0,5)=0,0173;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Частота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0,5)=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λP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(0,5)=0,035* 0,9827=0,03439;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Средняя наработка на отказ: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T=1/0,035=28,6 лет.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Расчет показателей надежности для ЛЭП ВЛ-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6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на 1 км длины.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Р(0,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5)=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exp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(-0,25*0,5)=0,8825;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Q(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0,5)=1-exp(-0,25* 0,5)=0,1175;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Частота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а(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0,5)=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λP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(0,5)=0,25* 0,8825=0,22063;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Средняя наработка на отказ: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T=1/0,25= 4 года.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оценки надежности объектов многоразового использования используются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дополнительные показатели, учитывающие также процессы восстановления (ремонта) элементов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(объектов).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Параметр потока отказов ω(t) - математическое ожидание числа отказов, происшедших за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единицу времени, начиная с момента t при условии, что все элементы, вышедшие из строя,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заменяются работоспособными, т. е. число наблюдаемых элементов сохраняется одинаковым 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процессе эксплуатации.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экспоненциального закона надежности интенсивность и параметр потока отказов не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зависят от времени и совпадают, т. е.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(t) 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ω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(t)=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ω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=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const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 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Вероятность восстановления S(t) - вероятность того, что отказавший элемент будет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восстановлен в течение заданного времени t, т. е. вероятность своевременного завершения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ремонта.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)≤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1,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(0)=0,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(∞)=1.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Для определения величины S(t) используется следующая статистическая оценка: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S(t)=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/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(0),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(0) – число элементов, поставленных на восстановление в начальный момент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времени t = 0;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– число элементов, время восстановления которых оказалось меньше заданного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времени t, т. е. восстановленных на интервале (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0,t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Вероятность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невосстановления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(несвоевременного завершения ремонта) G(t)- вероятность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того, что отказавший элемент не будет восстановлен в течение заданного времени t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  <w:t xml:space="preserve">IX</w:t>
      </w:r>
      <w:r>
        <w:rPr>
          <w:rFonts w:ascii="Liberation Serif" w:hAnsi="Liberation Serif" w:eastAsia="Liberation Serif" w:cs="Liberation Serif"/>
          <w:b/>
          <w:sz w:val="28"/>
          <w:highlight w:val="white"/>
          <w:lang w:val="ru-RU"/>
        </w:rPr>
        <w:t xml:space="preserve">.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45" w:name="_Toc118825007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Оценка капитальных вложений в новое строительство, реконструкцию и модернизацию объектов систем электроснабжения</w:t>
      </w:r>
      <w:bookmarkEnd w:id="45"/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9.1. </w:t>
      </w:r>
      <w:bookmarkStart w:id="46" w:name="_Toc118825008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Мероприятия по строительству, реконструкции и модернизации сетей электроснабжения</w:t>
      </w:r>
      <w:bookmarkEnd w:id="46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Мероприятия по строительству, реконструкции и модернизации сетей электроснабжения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на территории 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не запланированы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9.2. 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bookmarkStart w:id="47" w:name="_Toc118825009"/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Мероприятия по строительству, реконструкции и модернизации распред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елительных пунктов и подстанций.</w:t>
      </w:r>
      <w:bookmarkEnd w:id="47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Мероприятия по строительству, реконструкции и модернизации распределительных пунктов и подстанций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 запланированы.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9.3. 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</w:r>
      <w:bookmarkStart w:id="48" w:name="_Toc118825010"/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Оценка величины необходимых капитальных вложений в строительство, реконструкцию и модернизацию об</w:t>
      </w:r>
      <w:r>
        <w:rPr>
          <w:rFonts w:ascii="Liberation Serif" w:hAnsi="Liberation Serif" w:eastAsia="Liberation Serif" w:cs="Liberation Serif"/>
          <w:b w:val="0"/>
          <w:sz w:val="28"/>
          <w:highlight w:val="white"/>
        </w:rPr>
        <w:t xml:space="preserve">ъектов системы электроснабжения.</w:t>
      </w:r>
      <w:bookmarkEnd w:id="48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В связи с отсутствием планов по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строительств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у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, реконструкци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и модернизаци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объектов системы электроснабжения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с.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Киккиаки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 о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ценка величины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необходимых капитальных вложений 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не приводится</w:t>
      </w:r>
      <w:r>
        <w:rPr>
          <w:rFonts w:ascii="Liberation Serif" w:hAnsi="Liberation Serif" w:eastAsia="Liberation Serif" w:cs="Liberation Serif"/>
          <w:b w:val="0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spacing w:before="0" w:beforeAutospacing="0" w:after="0" w:afterAutospacing="0"/>
        <w:shd w:val="nil" w:color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  <w:br w:type="page" w:clear="all"/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ТОМ </w:t>
      </w: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4. СЕЛО </w:t>
      </w: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</w:rPr>
        <w:t xml:space="preserve">РАТТА</w:t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8"/>
          <w:highlight w:val="white"/>
          <w:lang w:val="en-US"/>
        </w:rPr>
        <w:t xml:space="preserve">I.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2" w:name="_Toc118822246"/>
      <w:r>
        <w:rPr>
          <w:rStyle w:val="956"/>
          <w:rFonts w:ascii="Liberation Serif" w:hAnsi="Liberation Serif" w:eastAsia="Liberation Serif" w:cs="Liberation Serif"/>
          <w:b/>
          <w:bCs/>
          <w:sz w:val="28"/>
          <w:highlight w:val="white"/>
        </w:rPr>
        <w:t xml:space="preserve">Существующее положение в сфере производства, передачи и потребления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 электроэнергии</w:t>
      </w:r>
      <w:bookmarkEnd w:id="2"/>
      <w:r>
        <w:rPr>
          <w:highlight w:val="white"/>
        </w:rPr>
      </w:r>
      <w:r/>
    </w:p>
    <w:p>
      <w:pPr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pStyle w:val="989"/>
        <w:numPr>
          <w:ilvl w:val="1"/>
          <w:numId w:val="20"/>
        </w:numPr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Оказанием услуг по электроснабжению жилищного фонда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села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Ратта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занима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е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тся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организация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ООО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«Ямал-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Энерго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».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Система электроснабжения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Красноселькупского района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локализована и не имеет подключения к федеральной сетевой компании.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Дизельное топливо для работы электростанций завозится централизованно водным транспортом в навигационный период, что создает району энергетическую уязвимость и зависимость от нефтеперерабатывающих заводов и поставок топлива.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По состоянию на 01.01.202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г. электроснабжение с.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Ратта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осуществляется от дизельной электростанци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и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. 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З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дание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дизельной электростанци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и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(совмещённое здание) зарегистрировано по адресу: с.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Ратта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ул.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Источная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д.7.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- оборудовано дизельными генераторами: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-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АД 315-Т400-1рм с двигателем ЯМЗ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-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АД 200-Т400-1рм с двигателем ЯМЗ;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-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АД 200-Т400-2Р с двигателем ЯМЗ.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Три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дизеля-генератора с установленной мощностью 0,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7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15 МВт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Дизели работают автономно, поочерёдно (установка на одной стальной раме отсутствует).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В категорию потребителей электроснабжения входят 100% всех потребителей села, в том числе: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-бюджетные организации;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-сторонние организации;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-население.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Общая протяжённость электрических сетей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с.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Ратта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- 2,453 км.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1.2.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" w:name="_Toc118822247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Анализ существующей структуры электрос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набжения напряжением 6-20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кВ</w:t>
      </w:r>
      <w:bookmarkEnd w:id="3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Электроснабжение с.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Ратта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осуществляется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по смешанной схеме, радиальной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и магистральной, через распределительный пункт от которого осуществляется питани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е основной части потребителей.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1.3.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4" w:name="_Toc118822248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Распределительные пункты (РП).</w:t>
      </w:r>
      <w:bookmarkEnd w:id="4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Характеристик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оборудования распределительного пункта 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таблице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_Ref118822287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spacing w:val="-1"/>
          <w:sz w:val="28"/>
          <w:szCs w:val="24"/>
          <w:highlight w:val="white"/>
          <w:lang w:eastAsia="ru-RU"/>
        </w:rPr>
        <w:t xml:space="preserve">Таблица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5" w:name="_Ref118822287"/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Таблица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end"/>
      </w:r>
      <w:bookmarkEnd w:id="5"/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. Характеристика оборудования распределительного пункта               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23" w:type="pct"/>
        <w:tblLayout w:type="fixed"/>
        <w:tblLook w:val="04A0" w:firstRow="1" w:lastRow="0" w:firstColumn="1" w:lastColumn="0" w:noHBand="0" w:noVBand="1"/>
      </w:tblPr>
      <w:tblGrid>
        <w:gridCol w:w="551"/>
        <w:gridCol w:w="2801"/>
        <w:gridCol w:w="1610"/>
        <w:gridCol w:w="1318"/>
        <w:gridCol w:w="1701"/>
        <w:gridCol w:w="1559"/>
      </w:tblGrid>
      <w:tr>
        <w:trPr>
          <w:trHeight w:val="20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80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610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Год ввода в эксплуатацию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1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Количество секций шин,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шт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Количество разъединителей 6-10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шт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Количество выключателей нагрузки 6-10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шт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  <w:tblHeader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80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61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80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Дизельная электростанция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61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80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Дизельная электростанция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61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5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801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Дизельная электростанция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610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2006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318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701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559" w:type="dxa"/>
            <w:vAlign w:val="center"/>
            <w:textDirection w:val="lrTb"/>
            <w:noWrap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1.4.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6" w:name="_Toc118822249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Т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рансформаторные подстанции (ТП).</w:t>
      </w:r>
      <w:bookmarkEnd w:id="6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Трансформаторные подстанции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</w:t>
      </w:r>
      <w:r>
        <w:rPr>
          <w:rFonts w:ascii="Liberation Serif" w:hAnsi="Liberation Serif" w:eastAsia="Liberation Serif" w:cs="Liberation Serif"/>
          <w:iCs/>
          <w:color w:val="000000" w:themeColor="text1"/>
          <w:sz w:val="28"/>
          <w:szCs w:val="24"/>
          <w:highlight w:val="white"/>
        </w:rPr>
        <w:t xml:space="preserve">территории </w:t>
      </w:r>
      <w:r>
        <w:rPr>
          <w:rFonts w:ascii="Liberation Serif" w:hAnsi="Liberation Serif" w:eastAsia="Liberation Serif" w:cs="Liberation Serif"/>
          <w:iCs/>
          <w:color w:val="000000" w:themeColor="text1"/>
          <w:sz w:val="28"/>
          <w:szCs w:val="24"/>
          <w:highlight w:val="white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отсутствуют.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iCs/>
          <w:color w:val="000000"/>
          <w:sz w:val="28"/>
          <w:szCs w:val="24"/>
          <w:highlight w:val="white"/>
        </w:rPr>
        <w:t xml:space="preserve">1.5.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7" w:name="_Toc118822250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Линии, соединяющи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е центры питания (ЦП) с РП и ТП.</w:t>
      </w:r>
      <w:bookmarkEnd w:id="7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Система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муниципального округа Красноселькупский район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децентрализованная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(изолированная энергосистема) и не имеет подключения к единой энергетической системе России.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Электроснабжение с.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Ратта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осуществляется по смешанной схеме, радиальной и магистральной, через распределительный пункт от которого осуществляется питани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е основной части потребителей.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Линии, соединяющие центры питания (ЦП) с ТП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отсутствуют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электрические сети, соединяющие РП с потребителями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представлены в электронной модели, являющ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ся неотъемлемой частью Схемы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highlight w:val="non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Характеристика воздушных линий электропередач в 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представлена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_Ref118727511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sz w:val="28"/>
          <w:highlight w:val="white"/>
        </w:rPr>
      </w:pPr>
      <w:r>
        <w:rPr>
          <w:b w:val="0"/>
          <w:sz w:val="28"/>
          <w:highlight w:val="none"/>
        </w:rPr>
      </w:r>
      <w:r>
        <w:rPr>
          <w:b w:val="0"/>
          <w:sz w:val="28"/>
          <w:highlight w:val="none"/>
        </w:rPr>
      </w:r>
      <w:r/>
    </w:p>
    <w:p>
      <w:pPr>
        <w:pStyle w:val="954"/>
        <w:ind w:firstLine="0"/>
        <w:jc w:val="right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i w:val="0"/>
          <w:color w:val="000000"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Таб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лица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Характеристика воздушных линий электропередач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с.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Ратта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8"/>
          <w:szCs w:val="24"/>
          <w:highlight w:val="white"/>
        </w:rPr>
        <w:t xml:space="preserve"> </w:t>
      </w:r>
      <w:r>
        <w:rPr>
          <w:highlight w:val="white"/>
        </w:rPr>
      </w:r>
      <w:r/>
    </w:p>
    <w:p>
      <w:pPr>
        <w:spacing w:after="0" w:afterAutospacing="0" w:line="240" w:lineRule="auto"/>
        <w:rPr>
          <w:highlight w:val="white"/>
        </w:rPr>
      </w:pPr>
      <w:r>
        <w:rPr>
          <w:highlight w:val="white"/>
        </w:rPr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907"/>
        <w:gridCol w:w="2409"/>
        <w:gridCol w:w="6311"/>
      </w:tblGrid>
      <w:tr>
        <w:trPr>
          <w:trHeight w:val="503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1" w:type="pct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  <w:suppressLineNumbers w:val="0"/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br/>
              <w:t xml:space="preserve">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51" w:type="pct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  <w:suppressLineNumbers w:val="0"/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Напряжение в сети,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279" w:type="pct"/>
            <w:vAlign w:val="center"/>
            <w:textDirection w:val="lrTb"/>
            <w:noWrap w:val="false"/>
          </w:tcPr>
          <w:p>
            <w:pPr>
              <w:ind w:firstLine="0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  <w:suppressLineNumbers w:val="0"/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Протяженность воздушных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br/>
              <w:t xml:space="preserve">сетей (в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одноцепном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 исполнении), км</w:t>
            </w:r>
            <w:r>
              <w:rPr>
                <w:highlight w:val="white"/>
              </w:rPr>
            </w:r>
            <w:r/>
          </w:p>
          <w:p>
            <w:pPr>
              <w:ind w:firstLine="0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  <w:suppressLineNumbers w:val="0"/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</w:r>
            <w:r>
              <w:rPr>
                <w:highlight w:val="white"/>
              </w:rPr>
            </w:r>
            <w:r/>
          </w:p>
        </w:tc>
      </w:tr>
      <w:tr>
        <w:trPr>
          <w:trHeight w:val="143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1" w:type="pct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  <w:suppressLineNumbers w:val="0"/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51" w:type="pct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  <w:suppressLineNumbers w:val="0"/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279" w:type="pct"/>
            <w:vAlign w:val="center"/>
            <w:vMerge w:val="restart"/>
            <w:textDirection w:val="lrTb"/>
            <w:noWrap w:val="false"/>
          </w:tcPr>
          <w:p>
            <w:pPr>
              <w:ind w:firstLine="0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  <w:suppressLineNumbers w:val="0"/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71" w:type="pct"/>
            <w:vAlign w:val="center"/>
            <w:textDirection w:val="lrTb"/>
            <w:noWrap/>
          </w:tcPr>
          <w:p>
            <w:pPr>
              <w:ind w:firstLine="0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  <w:suppressLineNumbers w:val="0"/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251" w:type="pct"/>
            <w:vAlign w:val="center"/>
            <w:textDirection w:val="lrTb"/>
            <w:noWrap/>
          </w:tcPr>
          <w:p>
            <w:pPr>
              <w:ind w:firstLine="0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  <w:suppressLineNumbers w:val="0"/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0,4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3279" w:type="pct"/>
            <w:vAlign w:val="center"/>
            <w:textDirection w:val="lrTb"/>
            <w:noWrap/>
          </w:tcPr>
          <w:p>
            <w:pPr>
              <w:ind w:firstLine="0"/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  <w:suppressLineNumbers w:val="0"/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2,453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sz w:val="28"/>
          <w:highlight w:val="non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none"/>
        </w:rPr>
      </w:r>
      <w:r>
        <w:rPr>
          <w:rFonts w:ascii="Liberation Serif" w:hAnsi="Liberation Serif" w:eastAsia="Liberation Serif" w:cs="Liberation Serif"/>
          <w:b w:val="0"/>
          <w:sz w:val="28"/>
          <w:highlight w:val="non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 w:val="0"/>
          <w:sz w:val="28"/>
          <w:highlight w:val="none"/>
        </w:rPr>
      </w:pPr>
      <w:r>
        <w:rPr>
          <w:rFonts w:ascii="Liberation Serif" w:hAnsi="Liberation Serif" w:eastAsia="Liberation Serif" w:cs="Liberation Serif"/>
          <w:b w:val="0"/>
          <w:sz w:val="28"/>
          <w:highlight w:val="none"/>
        </w:rPr>
      </w:r>
      <w:r>
        <w:rPr>
          <w:rFonts w:ascii="Liberation Serif" w:hAnsi="Liberation Serif" w:eastAsia="Liberation Serif" w:cs="Liberation Serif"/>
          <w:b w:val="0"/>
          <w:color w:val="000000" w:themeColor="text1"/>
          <w:spacing w:val="-1"/>
          <w:sz w:val="28"/>
          <w:szCs w:val="24"/>
          <w:highlight w:val="none"/>
          <w:lang w:eastAsia="ru-RU"/>
        </w:rPr>
        <w:t xml:space="preserve">С</w:t>
      </w:r>
      <w:r>
        <w:rPr>
          <w:rFonts w:ascii="Liberation Serif" w:hAnsi="Liberation Serif" w:eastAsia="Liberation Serif" w:cs="Liberation Serif"/>
          <w:b w:val="0"/>
          <w:color w:val="000000" w:themeColor="text1"/>
          <w:spacing w:val="-1"/>
          <w:sz w:val="28"/>
          <w:szCs w:val="24"/>
          <w:highlight w:val="white"/>
          <w:lang w:eastAsia="ru-RU"/>
        </w:rPr>
        <w:t xml:space="preserve">хема электроснабжения с. </w:t>
      </w:r>
      <w:r>
        <w:rPr>
          <w:rFonts w:ascii="Liberation Serif" w:hAnsi="Liberation Serif" w:eastAsia="Liberation Serif" w:cs="Liberation Serif"/>
          <w:b w:val="0"/>
          <w:sz w:val="28"/>
          <w:highlight w:val="none"/>
        </w:rPr>
        <w:t xml:space="preserve">Ратта представлена на рисунке Рисунок 1.</w:t>
      </w:r>
      <w:r>
        <w:rPr>
          <w:rFonts w:ascii="Liberation Serif" w:hAnsi="Liberation Serif" w:eastAsia="Liberation Serif" w:cs="Liberation Serif"/>
          <w:b w:val="0"/>
          <w:sz w:val="28"/>
          <w:highlight w:val="non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none"/>
          <w:lang w:eastAsia="ru-RU"/>
        </w:rPr>
      </w: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none"/>
          <w:lang w:eastAsia="ru-RU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4"/>
          <w:szCs w:val="24"/>
          <w:highlight w:val="white"/>
        </w:rPr>
        <w:sectPr>
          <w:footnotePr/>
          <w:endnotePr/>
          <w:type w:val="nextPage"/>
          <w:pgSz w:w="11906" w:h="16838" w:orient="portrait"/>
          <w:pgMar w:top="1134" w:right="708" w:bottom="1134" w:left="1701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highlight w:val="none"/>
        </w:rPr>
      </w:r>
      <w:r>
        <w:rPr>
          <w:rFonts w:ascii="Liberation Serif" w:hAnsi="Liberation Serif" w:eastAsia="Liberation Serif" w:cs="Liberation Serif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8139207" cy="5755160"/>
                <wp:effectExtent l="0" t="0" r="0" b="0"/>
                <wp:docPr id="26" name="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3158952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flipH="0" flipV="0">
                          <a:off x="0" y="0"/>
                          <a:ext cx="8139206" cy="57551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640.9pt;height:453.2pt;mso-wrap-distance-left:0.0pt;mso-wrap-distance-top:0.0pt;mso-wrap-distance-right:0.0pt;mso-wrap-distance-bottom:0.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none"/>
          <w:lang w:eastAsia="ru-RU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b/>
          <w:i/>
          <w:color w:val="000000" w:themeColor="text1"/>
          <w:sz w:val="24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4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Схема электроснабжения с. </w:t>
      </w: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none"/>
          <w:lang w:eastAsia="ru-RU"/>
        </w:rPr>
        <w:t xml:space="preserve">Ратта</w:t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szCs w:val="24"/>
        </w:rPr>
        <w:sectPr>
          <w:footnotePr/>
          <w:endnotePr/>
          <w:type w:val="nextPage"/>
          <w:pgSz w:w="16838" w:h="11906" w:orient="landscape"/>
          <w:pgMar w:top="1134" w:right="680" w:bottom="1276" w:left="1701" w:header="709" w:footer="709" w:gutter="0"/>
          <w:cols w:num="1" w:sep="0" w:space="708" w:equalWidth="1"/>
          <w:docGrid w:linePitch="360"/>
        </w:sectPr>
        <w:suppressLineNumbers w:val="0"/>
      </w:pPr>
      <w:r>
        <w:rPr>
          <w:szCs w:val="24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  <w:lang w:eastAsia="ru-RU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1.6.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9" w:name="_Toc118822251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Ли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нии, соединяющие ТП между собой.</w:t>
      </w:r>
      <w:bookmarkEnd w:id="9"/>
      <w:r>
        <w:rPr>
          <w:highlight w:val="white"/>
        </w:rPr>
      </w:r>
      <w:r/>
    </w:p>
    <w:p>
      <w:pPr>
        <w:pStyle w:val="989"/>
        <w:ind w:firstLine="0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Электроснабжение с.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Ратта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осуществляется по смешанной схеме, радиальной и магистральной, через распределительный пункт от которого осуществляется питани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е основной части потребителей.</w:t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Линии, соединяющие центры питания (ЦП) с ТП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отсутствуют, электрические сети, соединяющие РП с потребителями представлены в электронной модели, являющейся неотъемлемой частью Схемы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  <w:t xml:space="preserve">1.7.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0" w:name="_Toc118822252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Питающие линии промышленных предприятий, находящихся на террит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ории муниципального образования.</w:t>
      </w:r>
      <w:bookmarkEnd w:id="10"/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территории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отсутствуют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итающие линии промышленных предприятий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  <w:t xml:space="preserve">1.8.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1" w:name="_Toc118822253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Резервы и дефициты ЦП и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электроприемников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потребителей.</w:t>
      </w:r>
      <w:bookmarkEnd w:id="11"/>
      <w:r>
        <w:rPr>
          <w:highlight w:val="white"/>
        </w:rPr>
      </w:r>
      <w:r/>
    </w:p>
    <w:p>
      <w:pPr>
        <w:pStyle w:val="989"/>
        <w:ind w:firstLine="708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ДЭС в 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максимальная фактическая нагрузка в зимнее время составила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0,28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МВт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В настоящее время дизельный генератор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АД 315-Т400-1рм с двигателем ЯМЗ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обеспечивает электрической энергией потребителей села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, оставшиеся дизельные генераторы работают поочередно и не могут обеспечить в полном объеме покрытие подключенной нагрузки, что в свою очередь приводит к частым отключениям.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С учетом планируемого увеличения подключенной нагрузки в будущем покрытие нужд потребителей электростанция с существующим оборудованием обеспечить не сможет, для этого потребуется реконструкция с увеличением установленной мощности.</w:t>
      </w:r>
      <w:r>
        <w:rPr>
          <w:highlight w:val="white"/>
        </w:rPr>
      </w:r>
      <w:r/>
    </w:p>
    <w:p>
      <w:pPr>
        <w:pStyle w:val="989"/>
        <w:ind w:firstLine="0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ab/>
        <w:t xml:space="preserve">1.9.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2" w:name="_Toc118822254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Безопасность и над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ежность систем электроснабжения.</w:t>
      </w:r>
      <w:bookmarkEnd w:id="12"/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Надежность – свойство, которое 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олжно учитываться при исследова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нии, создании, функционировании и прогнозировании перспективного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развития. Однако в отличие от элементной надежности пути обеспечения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надёжности сложных систем не очевидны и в каждом отдельном случае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обусловлены особенностями исследуемой системы. По мере усложнения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 становится более сложной и оценка их надёжности. Классические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показатели надёжности элементов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простых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систем такие, как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время безотказной работы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в течение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заданного промежутка времени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целый ряд других, применительно 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многим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сложным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системам, лиш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ены практического смысла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сложной системы задача оценки надёжности формулируется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предположении известных, полученн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 статистическими методами ха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рактеристик интенсивности отказов её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элементов и восстановлений в те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чение определённого времени: матема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тического ожидания и дисперсии,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закона распределения времени между отказами и др. В самом общем виде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под отказом сложной системы понимается событие,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огда выходной объ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ём информации снижается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уровня, меньше допустимого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Однако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известно, что многие сложные системы могут выполнять практически все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свои функции при условии, что некоторая часть их элементов и связей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между ними находится в нерабочем (и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 отличающемся в пределах допу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стимых норм от рабочего) состоянии.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Например, отказ отдельных элементов в системах энергетики может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вообще не отразиться на работе потребителей. Но в этих случаях речь идет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 об отказе системы, а лишь о возможном снижении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показателей эффек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тивности её работы.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Сосредоточивая внимание на самом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факте отказа, классические еди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ничные показатели надёжности 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асто не позволяют установить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следствия отказа и влияние его на конечный эффект функционирования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системы. Поэтому для выработки обо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снованных рекомендаций по обес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печению требуемого уровня надёжности сложных систем необходимы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научные исследования, соизмеримые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своим масштабам разработке ос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новной идее построения системы. Относительно недавно появились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предложения по прогнозированию уровня надёжности оказываемых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услуг при управлении единой национа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льной (общероссийской) электри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ческой сетью (ЕНЭС) и территориальными сетевыми организациями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(ТСО)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основе комплексных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оказателей, применяемых зарубеж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ными эне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ргокомпаниями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где в качестве индикаторов системной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надежности используются: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System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среднее число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перерывов электроснабжения в расчёте на одного конечного потребителя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(клиента), которые он испытывает в течение года</w:t>
      </w:r>
      <w:r>
        <w:rPr>
          <w:highlight w:val="white"/>
        </w:rPr>
      </w:r>
      <w:r/>
    </w:p>
    <w:p>
      <w:pPr>
        <w:contextualSpacing/>
        <w:ind w:left="0" w:right="0"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где: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число потребителей, для которых наблюдались перерывы (отказы)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 – обще число потребителей энергокомпании.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System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Duration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индекс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длительности перерывов (отключений)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конечных потре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бителей в течение года</w:t>
      </w:r>
      <w:r>
        <w:rPr>
          <w:highlight w:val="white"/>
        </w:rPr>
      </w:r>
      <w:r/>
    </w:p>
    <w:p>
      <w:pPr>
        <w:contextualSpacing/>
        <w:ind w:left="0" w:right="0"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Т – среднегодовое время простоя потребителей энергокомпании.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Customer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Duration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продолжительность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отключений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отдельных случаях – среднее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время восстановления или среднее время простоя в течение года</w:t>
      </w:r>
      <w:r>
        <w:rPr>
          <w:highlight w:val="white"/>
        </w:rPr>
      </w:r>
      <w:r/>
    </w:p>
    <w:p>
      <w:pPr>
        <w:contextualSpacing/>
        <w:ind w:left="0" w:right="0"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CAIDI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SAIDI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Relative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Network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Reconstruction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Efficiency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относительная эффективность реконструкции сети,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характеризующая, насколько улуч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шится SAIFI после реконструкции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сравнению с ситуацией до рекон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струкции</w:t>
      </w:r>
      <w:r>
        <w:rPr>
          <w:highlight w:val="white"/>
        </w:rPr>
      </w:r>
      <w:r/>
    </w:p>
    <w:p>
      <w:pPr>
        <w:contextualSpacing/>
        <w:ind w:left="0" w:right="0"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=(1-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0)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SAIFI(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0) – среднее количество установившихся повреждений в год на одного потребителя до и после реконструкции соответственно.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ARAE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Recloser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Fpplicftion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Efficiency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средняя эффективность применения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реклоузеров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характеризующая среднюю эффективность применения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реклоузеров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то есть, наско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лько удалось улучшить SAIFI кажд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ого фидера реконструированной сети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сравнению с ситуацией до рекон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струкции в пересчёте на один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реклоузер</w:t>
      </w:r>
      <w:r>
        <w:rPr>
          <w:highlight w:val="white"/>
        </w:rPr>
      </w:r>
      <w:r/>
    </w:p>
    <w:p>
      <w:pPr>
        <w:contextualSpacing/>
        <w:ind w:left="0" w:right="0"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ARAE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=(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RNRE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)/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F – количество фидеров, вход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ящих в реконструированную сеть,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R – 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личество установленных в процессе реконструкции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реклоузеров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Customer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редняя частота отключения одного потребителя.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MAIFI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Momentary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Average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Interruption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Frequency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Index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мгновенный индекс средней частоты отключений.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LOEE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Energy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Expectation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математическое ожидание годово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объёма ограничений потребителей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электрической энергии из-за ава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рийных длительных ремонтов оборудования (см. EUE).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EUE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Expected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Unserved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Energy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математическое ожидание годового объёма ограничений потребителей в электрической энергии М[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W] из-за аварийных длительных ремонтов оборудования (см. LOEE).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LOLE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Expectation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ожидаемое число суток в году, когда происходит потеря нагрузки или среднее чи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сло суток в году, когда возника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 дефицит мощности.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LOLH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Hours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среднее число часов дефицита мощности или длительность потери нагрузки в часах.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LOLP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Probability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вероятность потери нагрузки; вероятность дефицита мощности на малом (заданном) интервале времени, как правило, в период максимальной нагрузки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LOLP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вероятность состояния отказа системы – доля времени, в течение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которого систем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 находится в состоянии отказа;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– параметр модели.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LCOE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Levelized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Cost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Electricity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средняя расчётная (нормированная) себестоимость производства электр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оэнергии на протяжении жизненно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цикла электростанции (включая все возможные инвестиции, затраты и доходы).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LOLD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Loss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of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Load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Duration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продолжительность потери нагрузки.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LOLF (Loss of Load Frequency)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потери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нагрузки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MTBFO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Mean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time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between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forced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outages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– среднее время между вынужденными отключениями.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Несмотря на множество предложенных показателей, они позволяют лишь в среднем оценить состоян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ие СЭС на основе не всегда достаточной и достоверной ретроспективной информации. Применение их в целях оценки и (или) прогнозирования функционирования системы на более коротких интервалах, в разных режимах и при переменной структуре практически невозможно.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 под надёжностью СЭС можно понимать и степень соответствия возможных или фактически достигнутых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результатов B требуемым для вы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полнения стоящих перед ней задач. Тогда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{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↑}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R – событие, заключающееся в выполнении СЭС заданных функций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(задач) в заданном объёме, с соблюдением всех установленных нормативов;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нижний и верхний пределы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необходимого результата функцио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нирования СЭС.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выражению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оценивается надёжность одноцелевой (простой)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системы или обобщённый результат 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ункционирования многоцелевой 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стемы (например, РГ, ВИЭ). Возможно также определение вероятности 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степени соответствия результатов 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ребуемым для выполнения соответ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ствующих задач: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{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↑}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необходимости оценки надёжно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сти многоцелевой системы с пред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ставлением результатов выполнения каждой из n целей в отдельности,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обобщённая надёжность СЭС может быть представлена как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3552825</wp:posOffset>
                </wp:positionH>
                <wp:positionV relativeFrom="paragraph">
                  <wp:posOffset>3175</wp:posOffset>
                </wp:positionV>
                <wp:extent cx="19050" cy="571500"/>
                <wp:effectExtent l="0" t="0" r="19050" b="19050"/>
                <wp:wrapNone/>
                <wp:docPr id="27" name="Прямая соединительная линия 3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9049" cy="57150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6" o:spid="_x0000_s26" style="position:absolute;left:0;text-align:left;z-index:251661312;mso-wrap-distance-left:9.0pt;mso-wrap-distance-top:0.0pt;mso-wrap-distance-right:9.0pt;mso-wrap-distance-bottom:0.0pt;visibility:visible;" from="279.8pt,0.2pt" to="281.2pt,45.2pt" filled="f" strokecolor="#000000" strokeweight="0.50pt">
                <v:stroke dashstyle="solid"/>
              </v:line>
            </w:pict>
          </mc:Fallback>
        </mc:AlternateConten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2461895</wp:posOffset>
                </wp:positionH>
                <wp:positionV relativeFrom="paragraph">
                  <wp:posOffset>20955</wp:posOffset>
                </wp:positionV>
                <wp:extent cx="19050" cy="571500"/>
                <wp:effectExtent l="0" t="0" r="19050" b="19050"/>
                <wp:wrapNone/>
                <wp:docPr id="28" name="Прямая соединительная линия 2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19049" cy="571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27" o:spid="_x0000_s27" style="position:absolute;left:0;text-align:left;z-index:251659264;mso-wrap-distance-left:9.0pt;mso-wrap-distance-top:0.0pt;mso-wrap-distance-right:9.0pt;mso-wrap-distance-bottom:0.0pt;visibility:visible;" from="193.8pt,1.6pt" to="195.3pt,46.6pt" filled="f" strokecolor="#000000" strokeweight="0.50pt">
                <v:stroke dashstyle="solid"/>
              </v:line>
            </w:pict>
          </mc:Fallback>
        </mc:AlternateConten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highlight w:val="white"/>
        </w:rPr>
      </w:r>
      <w:r/>
    </w:p>
    <w:p>
      <w:pPr>
        <w:contextualSpacing/>
        <w:spacing w:before="0" w:beforeAutospacing="0" w:after="0" w:afterAutospacing="0" w:line="240" w:lineRule="auto"/>
        <w:tabs>
          <w:tab w:val="left" w:pos="3345" w:leader="none"/>
          <w:tab w:val="center" w:pos="4818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B↓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B↑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нижний и верхний пределы необходимого результата фун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ционирования СЭС при решении i-й задачи;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возможны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или фактиче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ский результат функционирования СЭС для выполнения i-й задачи.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Надёжность – составная час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ть и основная характеристика эф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фективности функционирования СЭС. Результат функционирования – группа случайных событий, число котор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 равно числу целей (задач)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ставленных перед конкретной СЭС. Зде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сь возможен анализ следующих со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бытий: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выполнение СЭС всех n поставленных задач;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выполнение СЭС ряда наиболее важных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k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задач;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выполнение СЭС не менее заданного числа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задач и др.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Показатели надёжности могут бы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ть определены вероятностями осу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ществления соответствующих событий: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k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&lt;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их математическим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ожиданиями и дисперсиями, а при нал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ичии достаточного количества ин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формации – функциями распределения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ероятностей результатов функцио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3671570</wp:posOffset>
                </wp:positionH>
                <wp:positionV relativeFrom="paragraph">
                  <wp:posOffset>154940</wp:posOffset>
                </wp:positionV>
                <wp:extent cx="85725" cy="609600"/>
                <wp:effectExtent l="0" t="0" r="28575" b="19050"/>
                <wp:wrapNone/>
                <wp:docPr id="29" name="Правая круглая скобка 7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85725" cy="609599"/>
                        </a:xfrm>
                        <a:prstGeom prst="rightBracket">
                          <a:avLst>
                            <a:gd name="adj" fmla="val 8333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" o:spid="_x0000_s28" o:spt="86" type="#_x0000_t86" style="position:absolute;z-index:251666432;o:allowoverlap:true;o:allowincell:true;mso-position-horizontal-relative:text;margin-left:289.1pt;mso-position-horizontal:absolute;mso-position-vertical-relative:text;margin-top:12.2pt;mso-position-vertical:absolute;width:6.8pt;height:48.0pt;mso-wrap-distance-left:9.0pt;mso-wrap-distance-top:0.0pt;mso-wrap-distance-right:9.0pt;mso-wrap-distance-bottom:0.0pt;visibility:visible;" filled="f" strokecolor="#000000" strokeweight="0.50pt">
                <v:stroke dashstyle="solid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2604770</wp:posOffset>
                </wp:positionH>
                <wp:positionV relativeFrom="paragraph">
                  <wp:posOffset>173990</wp:posOffset>
                </wp:positionV>
                <wp:extent cx="76200" cy="590550"/>
                <wp:effectExtent l="0" t="0" r="19050" b="19050"/>
                <wp:wrapNone/>
                <wp:docPr id="30" name="Левая круглая скобка 6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76199" cy="590548"/>
                        </a:xfrm>
                        <a:prstGeom prst="leftBracket">
                          <a:avLst>
                            <a:gd name="adj" fmla="val 8333"/>
                          </a:avLst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" o:spid="_x0000_s29" o:spt="85" type="#_x0000_t85" style="position:absolute;z-index:251665408;o:allowoverlap:true;o:allowincell:true;mso-position-horizontal-relative:text;margin-left:205.1pt;mso-position-horizontal:absolute;mso-position-vertical-relative:text;margin-top:13.7pt;mso-position-vertical:absolute;width:6.0pt;height:46.5pt;mso-wrap-distance-left:9.0pt;mso-wrap-distance-top:0.0pt;mso-wrap-distance-right:9.0pt;mso-wrap-distance-bottom:0.0pt;visibility:visible;" filled="f" strokecolor="#000000" strokeweight="0.50pt">
                <v:stroke dashstyle="solid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общем виде формула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представляется как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  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1</w:t>
      </w:r>
      <w:r>
        <w:rPr>
          <w:highlight w:val="white"/>
        </w:rPr>
      </w:r>
      <w:r/>
    </w:p>
    <w:p>
      <w:pPr>
        <w:contextualSpacing/>
        <w:spacing w:before="0" w:beforeAutospacing="0" w:after="0" w:afterAutospacing="0" w:line="240" w:lineRule="auto"/>
        <w:tabs>
          <w:tab w:val="left" w:pos="3345" w:leader="none"/>
          <w:tab w:val="center" w:pos="4818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ab/>
        <w:t xml:space="preserve"> 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i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  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B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↑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n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 – вероятность выполнения СЭС всех функций.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Проверка и подтверждение требова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ний к результатам B функциониро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вания СЭС осуществляется на основе 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ормативных значений соответствую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щих показателей надёжности. Правиль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ность их выбора (критерий досто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верности подтверждения надёжности СЭС) оценивается вероятностью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нормативное и фактическое значения показателя надёжности.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функционал, значение которого соответствует показателю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эффективности, вычисленному при условии, что отказы элементов имеют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интенсивности, соответствующие заданным (расчётным) характеристикам,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то, что все элементы абсолютно надёжны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(интенсивности отказов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элементов равны нулю), показатель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дёжности сложной системы определится разностью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откуда видно снижение эффективности системы из-за отказов её элементов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сравнению с идеальной системой, э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лементы которой абсолютно надёж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ны. Поскольку идеальной системы не су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ществует, такая оценка эффектив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ности может быть использована только дл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 сравнения вариантов (по полно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 и точности исходной информации, структурным особенностям, качеству управляющих алгоритмов и т. п.).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Безопасность – один из важнейш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их показателей качества и эффек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тивности функционирования системы. Другие комплексные показатели, такие, как надёжность, стоимость могут в полной мере применяться для оценки того или иного варианта созд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ания или функционирования систе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мы, тогда как меры по обеспечению безопасности предпринимаются уже на этапе разработки системы. В последние годы термин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безопасность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получил широкое распространение, поскольку защита от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многочислен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ных угроз всего населения Земли и отдельного индивидуума выходит на первое место в системе приоритетов человечества, потеснив проблемы повышения производительности труда и создания новых технологий.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Внутренняя безопасность – характеристика цел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остности системы,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казатель ее гомеостаза. Она определяет способность системы поддерживать свое нормальное функционирование в ус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ловиях внешних и внутренних воз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действий.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Внешняя безопасность – способность системы взаимодействовать со средой без нарушения гомеостаза. Другими словами, воздействие системы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среду не приводит к необратимы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 изменениям или нарушениям важ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нейших параметров, характеризующих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состояние среды, принятое за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пустимое.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Живучесть способность СЭС (подсистемы, объ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екта, элемента) в 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елом сохранять свойства, необходимы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для выполнения требуемых функ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ций, при наличии воздействий, не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редусмотренных условиями нормал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ьной эксплуатации. Это способность её полностью или в ограниченном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объеме выполнять свои функции при нарушении работоспособного состояния и восстанавливать их полностью или частично за допустимый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(нормированный) период времени. Для объектов электроэнергетики – это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способность полностью или в огра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ниченном (договорном или нормиро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ванном) объёме выполнять свои фу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нкции при воздействиях, не преду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смотренных условиями нормальной э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ксплуатации, а при нарушении 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ботоспособного состояния – восстанав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ливать его за технологически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пустимый период времени. Живучесть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определяется также активной ре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акцией системы на возмущения за счёт рационально организованной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структуры, выбором целесообразных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режимов функционирования, не 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опускающих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каскадного развития аварий, ограничивая глубину (тяжесть)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 с возможностью массового нарушения режима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потребителей.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Свойство управляемости заключается в приспособленности СЭС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предупреждению и обнаружению выхода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значений параметров за допусти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мую область и возврату их в эту область средствами управления за конечный промежуток вр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емени. Управляемость обеспечива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 возможность эффективного управления режимом объекта энергетики,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максимально возможную безотказность и восстанавливаемость его, что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предполагает наличие достаточных ресурсов и технических средств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осуществления соответствующего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при одном и том же внешнем воздействии (или при внутренних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отказах элементов) управление системой возможно в вариантах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…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γ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 показатель эффективности системы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значениями функцио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нала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соответствующими вариантам управления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…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γ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Тогда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величина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y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представляющая сравнитель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ную оценку вариантов управления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y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α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β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получения абсолютной оценки качества управления необходима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информация об идеальном его варианте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при котором эффективность мак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симальна, но этот вариант (также, как и его показатели) в общем случае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остаётся неизвестным.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Помеха – воздействие, искажающее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сигнал, несущий полезную инфор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мацию и вызывающее нежелательное искажающее воздейс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твие на электро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установку или на результаты измерений.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Тогда помехозащищённость – спо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собность ослаблять действие случайных или несанкционированных помех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 счёт дополнительных средств защиты объекта для выполнения им своих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функций в пределах технологических регламентов.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значение показателя эффектив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ности R соответствует функциони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рованию системы в условиях помех с заданными характеристиками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относится к работе системы без помех, показатель помехозащищённости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аналогично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val="en-US" w:eastAsia="ru-RU"/>
        </w:rPr>
        <w:t xml:space="preserve">H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и показыв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ает, насколько изменяется эффек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тивность системы под влиянием помех с заданными параметрами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ΔR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val="en-US" w:eastAsia="ru-RU"/>
        </w:rPr>
        <w:t xml:space="preserve">O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R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bscript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vertAlign w:val="superscript"/>
          <w:lang w:eastAsia="ru-RU"/>
        </w:rPr>
        <w:t xml:space="preserve">*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Устойчиво способность – свойство 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бъекта энергетики непрерывно со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хранять устойчивость в течение некоторого времени до выхода значений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параметров за допустимую область без повреждения объекта. В теории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устойчивость – характеристикой того, что стабильно и стремится сохранить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своё равновесное состояние во времени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Устойчивость электрической 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стемы – способность сохранять состояни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равновесия в период нормально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режима работы, при его возмущениях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 аварийных условиях, возвра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щаясь в исходный режим после снятия возмущений или режим близкий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нему, допустимый по условиям эксплуатации ЭЭС, 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сли возмущающее воз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действие не снято.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Экономичность – совокупность экономических характеристик объекта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энергетики, его технологии, эксплуатации и организационно-технических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структур, обеспечивающих экономичес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кую целесообразность использова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ния данного объекта в данных условиях. Научно обоснованный минимум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суммарных инвестиционных и эксплуатационных расходов энергосистемы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или её элементов (электростанций, электрических сетей и др.), включая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ущерб от нарушений электроснабжения, представляют экономический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терий надежности. Экономическая эффективность повышения надежности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потребителей опред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еляется разностью изменения сум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марного ущерба от отказов (или изменения режимов) в системе затрат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осуществление мероприятий по повышению надежности.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Среди множества свойств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энергообъектов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влияния их на надёжность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выделяются внешние (входные), вну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тренние и производные от них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Внешние представляют собой: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ресурсоёмкость, влияющую на надёжность через затраты ресурсов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её обеспечение;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ресурсозависимость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характериз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ующую влияние ресурса (первично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 энергоносителя) на создание, функционирование, развитие и ликвидацию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(утилизацию) объекта энергетики, особен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 в условиях хозяйственной,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литической или другого вида нестабильности;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ресурсообеспеченность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обеспеч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ивающую гарантии поставки ресур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 в условиях природных, техногенных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социально-экономических возму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щений.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свойству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ресурсообеспеченности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относится также обеспечение нор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мальных и аварийных режимов функц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ионирования системы генерирующи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ми мощностями, трудовыми и финансовыми ресурсами.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основным внутренним свойствам объектов энергетики относятся: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производительность, маневренность, ине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рционность, адаптивность, управ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ляемость, надёжность, наблюдаемость, избыточность и ряд других.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качестве выходного свойства объекта энергетики выступает технико-экономический ущерб как от внезапных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(или) плановых нарушений элек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троснабжения, так и от управления режимами генерации и потребления.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Вместе с тем, наряду с надёжностью уже рассматрива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ются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вопросы живучести систем энерге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В этих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работах отмечалось, что в ЭЭС возраста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 цена отдельных аварий и повы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шается её уязвимость в целом. Оценка живучести в значительной степени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определяется стойкостью элементов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(объектов) ЭЭС к внешним воздей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ствиям и возможностями их восстановления.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обеспечения возможности управления структурой современные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ЭЭС (СЭС) должны обладать свойством гибкости, которое рассматривается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как способность с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необходимой скоростью изменять свою структуру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обеспечения нормального развития, 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также функционирования при воз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можных возмущениях и при оптимизации режимов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Один из источников гибкости в СЭС – управление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спросом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Это механизм изменения потребления э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лектроэнергии конечными потреби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телями относительно их нормального профиля нагрузки в ответ на ценовые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сигналы ЭЭС или прямые команды СО.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Такими сигналами могут быть из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менение цен на электроэнергию во времени; стимулирующие выплаты,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предусмотренные для снижения потребл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ения в периоды высоких цен оптового рынка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моменты, когда системная надёжность находится под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угрозой. Управление спросом наряду с традиционной, распределённой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возобновляемой генерацией, а также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копителями энергии способно ока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зывать услуги по регулированию и восстановлению частоты, обеспечивая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системную гибкость.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Усиление негативного влияния чрезвычайных ситуаций природного,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техногенного, экономического и политич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еского характера потребовали 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тивизации исследований, связанных с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обеспечением энергетической без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опасности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Таким образом, сложилось пространство свойств ЭЭС,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непосредственно связанных с надёжностью.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Создание, развитие и эксплуатация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интеллектуальных ЭЭС с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активно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адаптивной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сетью (ИЭС ААС) сопрово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ждается массовым внедрением циф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ровых технологий, обеспечивающих 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ункционирование большого количе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ства датчиков сбора, обработки и инфо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рмационного обмена по вертикаль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ным и горизонтальным уровням ЭЭС, свя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занного с режимами сети, состоя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нием основного и вспомогательного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оборудования. ИЭС ААС характери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зуются наличием интеллектуальных сис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оценки,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текущей и прогнозиро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вания будущей ситуации, быстродейств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ующих автоматических и автомати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зированных исполнительных органов упр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авления элементами системы в ре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альном масштабе времени.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оценки безопасности и надёжности системы электроснабжения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актуальных данных в необходимом объёме 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предоставлено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1.10.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3" w:name="_Toc118822255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Существующие технические и технологические проблемы в системах электроснабжени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я выделенного класса напряжения.</w:t>
      </w:r>
      <w:bookmarkEnd w:id="13"/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По данным инженерно-технического анализа были выявлены следующие технические и технологические проблемы в системе электроснабжения:</w:t>
      </w:r>
      <w:r>
        <w:rPr>
          <w:highlight w:val="white"/>
        </w:rPr>
      </w:r>
      <w:r/>
    </w:p>
    <w:p>
      <w:pPr>
        <w:pStyle w:val="989"/>
        <w:numPr>
          <w:ilvl w:val="0"/>
          <w:numId w:val="19"/>
        </w:numPr>
        <w:ind w:left="709" w:firstLine="0"/>
        <w:jc w:val="both"/>
        <w:spacing w:before="0" w:beforeAutospacing="0" w:after="0" w:afterAutospacing="0" w:line="240" w:lineRule="auto"/>
        <w:tabs>
          <w:tab w:val="left" w:pos="993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незначительный износ сетей электроснабжения;</w:t>
      </w:r>
      <w:r>
        <w:rPr>
          <w:highlight w:val="white"/>
        </w:rPr>
      </w:r>
      <w:r/>
    </w:p>
    <w:p>
      <w:pPr>
        <w:pStyle w:val="989"/>
        <w:numPr>
          <w:ilvl w:val="0"/>
          <w:numId w:val="19"/>
        </w:numPr>
        <w:ind w:left="0" w:right="0" w:firstLine="709"/>
        <w:jc w:val="both"/>
        <w:spacing w:before="0" w:beforeAutospacing="0" w:after="0" w:afterAutospacing="0" w:line="240" w:lineRule="auto"/>
        <w:tabs>
          <w:tab w:val="left" w:pos="993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использование ламп накаливания в местах общего пользования МЖК и других объектах ЖКХ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.</w:t>
      </w:r>
      <w:r>
        <w:rPr>
          <w:highlight w:val="white"/>
        </w:rPr>
      </w:r>
      <w:r/>
    </w:p>
    <w:p>
      <w:pPr>
        <w:pStyle w:val="989"/>
        <w:ind w:right="0"/>
        <w:jc w:val="both"/>
        <w:spacing w:before="0" w:beforeAutospacing="0" w:after="0" w:afterAutospacing="0"/>
        <w:tabs>
          <w:tab w:val="left" w:pos="993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pStyle w:val="989"/>
        <w:ind w:right="0"/>
        <w:jc w:val="center"/>
        <w:spacing w:before="0" w:beforeAutospacing="0" w:after="0" w:afterAutospacing="0"/>
        <w:tabs>
          <w:tab w:val="left" w:pos="993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z w:val="28"/>
          <w:szCs w:val="24"/>
          <w:highlight w:val="white"/>
          <w:lang w:val="en-US"/>
        </w:rPr>
        <w:t xml:space="preserve">II.</w:t>
      </w:r>
      <w:r>
        <w:rPr>
          <w:rFonts w:ascii="Liberation Serif" w:hAnsi="Liberation Serif" w:eastAsia="Liberation Serif" w:cs="Liberation Serif"/>
          <w:b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14" w:name="_Toc118822256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Балансы производства и потребления электроэнергии</w:t>
      </w:r>
      <w:bookmarkEnd w:id="14"/>
      <w:r>
        <w:rPr>
          <w:highlight w:val="white"/>
        </w:rPr>
      </w:r>
      <w:r/>
    </w:p>
    <w:p>
      <w:pPr>
        <w:pStyle w:val="989"/>
        <w:ind w:right="0"/>
        <w:jc w:val="both"/>
        <w:spacing w:before="0" w:beforeAutospacing="0" w:after="0" w:afterAutospacing="0"/>
        <w:tabs>
          <w:tab w:val="left" w:pos="993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pStyle w:val="989"/>
        <w:ind w:left="0" w:right="0" w:firstLine="709"/>
        <w:jc w:val="both"/>
        <w:spacing w:before="0" w:beforeAutospacing="0" w:after="0" w:afterAutospacing="0"/>
        <w:tabs>
          <w:tab w:val="left" w:pos="993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2.1.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5" w:name="_Toc118822257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Фактический баланс по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требления электрической энергии.</w:t>
      </w:r>
      <w:bookmarkEnd w:id="15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Фактические балансы потребления электрической энергии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годы представлены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_Ref116551037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3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Фактические балансы потребления электрической эне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ргии на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территории 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777"/>
        <w:gridCol w:w="5102"/>
        <w:gridCol w:w="1250"/>
        <w:gridCol w:w="1248"/>
        <w:gridCol w:w="1250"/>
      </w:tblGrid>
      <w:tr>
        <w:trPr>
          <w:trHeight w:val="20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показателя</w:t>
            </w:r>
            <w:r>
              <w:rPr>
                <w:highlight w:val="white"/>
              </w:rPr>
            </w:r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4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Суммарное поступление за год,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кВт×ч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330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2019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2020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 г.</w:t>
            </w:r>
            <w:r>
              <w:rPr>
                <w:highlight w:val="white"/>
              </w:rPr>
            </w:r>
            <w:r/>
          </w:p>
        </w:tc>
      </w:tr>
      <w:tr>
        <w:trPr>
          <w:trHeight w:val="105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Выработано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887 220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923 141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991 692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Отпущено на собственные и технологические нужды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152 970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141 617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180 201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Отпуск (факт), в т. ч.: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734 260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781 524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811 491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смежным сетевым организациям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полезный отпуск конечным потребителям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666 980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699 480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723 622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6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 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Потери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67 270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82 044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87 869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vMerge w:val="continue"/>
            <w:textDirection w:val="lrTb"/>
            <w:noWrap w:val="false"/>
          </w:tcPr>
          <w:p>
            <w:r/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11%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40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50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норматив потерь - 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9,96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9,96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4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10,2</w:t>
            </w:r>
            <w:r>
              <w:rPr>
                <w:highlight w:val="white"/>
              </w:rPr>
            </w:r>
            <w:r/>
          </w:p>
        </w:tc>
      </w:tr>
    </w:tbl>
    <w:p>
      <w:pPr>
        <w:pStyle w:val="934"/>
        <w:numPr>
          <w:ilvl w:val="0"/>
          <w:numId w:val="0"/>
        </w:numPr>
        <w:ind w:left="0" w:firstLine="0"/>
        <w:spacing w:before="0" w:beforeAutospacing="0" w:after="0" w:afterAutospacing="0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2.2. 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</w:r>
      <w:bookmarkStart w:id="17" w:name="_Toc118822258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Структурны</w:t>
      </w: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й баланс электрической мощности.</w:t>
      </w:r>
      <w:bookmarkEnd w:id="17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_Ref116552467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приведена структура потребления электрической энергии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годы.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4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С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труктура потребления электрической энергии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годы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762"/>
        <w:gridCol w:w="5189"/>
        <w:gridCol w:w="1226"/>
        <w:gridCol w:w="1225"/>
        <w:gridCol w:w="1225"/>
      </w:tblGrid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показателя</w:t>
            </w:r>
            <w:r>
              <w:rPr>
                <w:highlight w:val="white"/>
              </w:rPr>
            </w:r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90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Суммарное поступление за год,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кВт×ч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1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4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2019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2020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 г.</w:t>
            </w:r>
            <w:r>
              <w:rPr>
                <w:highlight w:val="white"/>
              </w:rPr>
            </w:r>
            <w:r/>
          </w:p>
        </w:tc>
      </w:tr>
      <w:tr>
        <w:trPr>
          <w:trHeight w:val="234"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69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7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9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Полезный отпуск конечным потребителям, всего, в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т.ч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811 060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830 688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791 876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9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население, потребители, приравненные к населению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546 660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567 781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551 460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9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бюджетные организации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000000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79 710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87 833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77 984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9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прочие потребители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40 610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43 866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40 954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9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1.4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94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внутрицеховые нужды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7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144 080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131 208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63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121 478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2.3.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19" w:name="_Toc118822259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Потер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и электрической энергии в сетях.</w:t>
      </w:r>
      <w:bookmarkEnd w:id="19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Фактические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потери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электрической энергии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электрических сетях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годы представлены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_Ref116552617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5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Фактические потери электрической энергии в электрических сетях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 201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9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по 202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1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годы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ook w:val="04A0" w:firstRow="1" w:lastRow="0" w:firstColumn="1" w:lastColumn="0" w:noHBand="0" w:noVBand="1"/>
      </w:tblPr>
      <w:tblGrid>
        <w:gridCol w:w="1049"/>
        <w:gridCol w:w="3525"/>
        <w:gridCol w:w="1685"/>
        <w:gridCol w:w="1683"/>
        <w:gridCol w:w="1685"/>
      </w:tblGrid>
      <w:tr>
        <w:trPr>
          <w:trHeight w:val="227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показателя</w:t>
            </w:r>
            <w:r>
              <w:rPr>
                <w:highlight w:val="white"/>
              </w:rPr>
            </w:r>
            <w:r/>
          </w:p>
        </w:tc>
        <w:tc>
          <w:tcPr>
            <w:gridSpan w:val="3"/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262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Суммарное поступление за год,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кВт×ч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243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2019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2020 г.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 г.</w:t>
            </w:r>
            <w:r>
              <w:rPr>
                <w:highlight w:val="white"/>
              </w:rPr>
            </w:r>
            <w:r/>
          </w:p>
        </w:tc>
      </w:tr>
      <w:tr>
        <w:trPr>
          <w:trHeight w:val="192"/>
          <w:tblHeader/>
        </w:trPr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7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Потери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67 270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82 044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87 869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7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11%</w:t>
            </w:r>
            <w:r>
              <w:rPr>
                <w:highlight w:val="white"/>
              </w:rPr>
            </w:r>
            <w:r/>
          </w:p>
        </w:tc>
      </w:tr>
      <w:tr>
        <w:trPr>
          <w:trHeight w:val="227"/>
        </w:trPr>
        <w:tc>
          <w:tcPr>
            <w:shd w:val="clear" w:color="ffffff" w:fill="ffffff"/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4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1831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норматив потерь - 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9,96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9,96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none" w:color="000000" w:sz="4" w:space="0"/>
              <w:left w:val="none" w:color="000000" w:sz="4" w:space="0"/>
              <w:bottom w:val="single" w:color="000000" w:sz="4" w:space="0"/>
              <w:right w:val="single" w:color="000000" w:sz="4" w:space="0"/>
            </w:tcBorders>
            <w:tcW w:w="8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10,2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2.4.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21" w:name="_Toc118822260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Существующие нормативы потребления электрической энергии для населения в эле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ментах территориального деления.</w:t>
      </w:r>
      <w:bookmarkEnd w:id="21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Существующие 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ормативы потребления коммунальной услуги по электроснабжению в жилых помещениях многоквартирных домов и жилых домах, в том числе общежитиях квартирного типа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(утверждены </w:t>
      </w:r>
      <w:hyperlink w:tooltip="#sub_0" w:anchor="sub_0" w:history="1">
        <w:r>
          <w:rPr>
            <w:rFonts w:ascii="Liberation Serif" w:hAnsi="Liberation Serif" w:eastAsia="Liberation Serif" w:cs="Liberation Serif"/>
            <w:spacing w:val="-1"/>
            <w:sz w:val="28"/>
            <w:szCs w:val="24"/>
            <w:highlight w:val="white"/>
            <w:lang w:eastAsia="ru-RU"/>
          </w:rPr>
          <w:t xml:space="preserve">постановлением</w:t>
        </w:r>
      </w:hyperlink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Правительства Ямало-Ненецкого автономного округа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br/>
        <w:t xml:space="preserve">от 04.08.2016 № 748-П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в таблице Таблица 6.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Таблица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6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. Существующие нормативы потребления электрической энергии для населения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</w:tblBorders>
        <w:tblLook w:val="0000" w:firstRow="0" w:lastRow="0" w:firstColumn="0" w:lastColumn="0" w:noHBand="0" w:noVBand="0"/>
      </w:tblPr>
      <w:tblGrid>
        <w:gridCol w:w="500"/>
        <w:gridCol w:w="3723"/>
        <w:gridCol w:w="1192"/>
        <w:gridCol w:w="1359"/>
        <w:gridCol w:w="529"/>
        <w:gridCol w:w="529"/>
        <w:gridCol w:w="529"/>
        <w:gridCol w:w="529"/>
        <w:gridCol w:w="737"/>
      </w:tblGrid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Категория жилых помещений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Единица измерения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Количество комнат в жилом помещении</w:t>
            </w:r>
            <w:r>
              <w:rPr>
                <w:highlight w:val="white"/>
              </w:rPr>
            </w:r>
            <w:r/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483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Норматив потребления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483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количество человек, проживающих в помещении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 и более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не оборудованные в установленном порядке стационарными электроплитами для приготовления пищи, электроотопительными,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115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261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118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квартирные дома, жилые дома, общежития квартирного типа, оборудованные в установленном порядке стационарными электроплитами для приготовления пищи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111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99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тирные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или электронагревательными установками для целей горячего водоснабжения, в отопительный период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или электронагревательными установками для целей горячего водоснабжения, вне отопительного периода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артирные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 электронагревательными установками для целей горячего водоснабжения, в отопительный период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498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526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326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545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337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6.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рные дома, жилые дома, общежития квартирного типа, не оборудованные стационарными электроплитами, но оборудованные в установленном порядке электроотопительными и электронагревательными установками для целей горячего водоснабжения, вне отопительного периода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107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384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238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150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133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403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7.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оборудованные в установленном порядке стационарными электроплитами, электроотопительными или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362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127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392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189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138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412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425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264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204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149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8.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Многоквартирные дома, жилые дома, общежития квартирного типа, оборудованные в установленном порядке стационарными электроплитами,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 в месяц на человека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504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312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242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177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534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331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257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188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554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343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265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218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194</w:t>
            </w:r>
            <w:r>
              <w:rPr>
                <w:highlight w:val="white"/>
              </w:rPr>
            </w:r>
            <w:r/>
          </w:p>
        </w:tc>
      </w:tr>
      <w:tr>
        <w:trPr>
          <w:jc w:val="center"/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5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933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19" w:type="pct"/>
            <w:vAlign w:val="center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70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4 и более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567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352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272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223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384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199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Существующие нормативы потребления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коммунальных услуг и нормативов потребления коммунальных ресурсов в целях содержания общего имущества в многоквартирном доме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утверждены Постановлением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Правительства Ямало-Ненецкого автономного округа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04.08.2016 № 748-П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 приведены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_Ref116553275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7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7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Существующие нормативы потребления коммунальных услуг и нормативов потребления коммунальных ресурсов в целях содержания общего имущества в многоквартирном доме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highlight w:val="white"/>
        </w:rPr>
      </w:r>
      <w:r/>
    </w:p>
    <w:p>
      <w:pPr>
        <w:contextualSpacing/>
        <w:ind w:firstLine="708"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8"/>
          <w:szCs w:val="24"/>
          <w:highlight w:val="white"/>
        </w:rPr>
      </w:r>
      <w:r>
        <w:rPr>
          <w:highlight w:val="white"/>
        </w:rPr>
      </w:r>
      <w:r/>
    </w:p>
    <w:tbl>
      <w:tblPr>
        <w:tblW w:w="5000" w:type="pct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</w:tblBorders>
        <w:tblLook w:val="0000" w:firstRow="0" w:lastRow="0" w:firstColumn="0" w:lastColumn="0" w:noHBand="0" w:noVBand="0"/>
      </w:tblPr>
      <w:tblGrid>
        <w:gridCol w:w="539"/>
        <w:gridCol w:w="5397"/>
        <w:gridCol w:w="1619"/>
        <w:gridCol w:w="2072"/>
      </w:tblGrid>
      <w:tr>
        <w:trPr>
          <w:trHeight w:val="368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N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br/>
              <w:t xml:space="preserve">п/п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Категория многоквартирных домов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Единица измерения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Норматив потребления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  <w:tblHeader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не оборудованные лифтами и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1,97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2.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оборудованные лифтами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3,98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не оборудованные лифтами и оборудованные электроотопительными и (или) электронагревательными установками для целей горячего водоснабжения, в отопительный период </w:t>
            </w:r>
            <w:hyperlink w:tooltip="#sub_3111" w:anchor="sub_3111" w:history="1">
              <w:r>
                <w:rPr>
                  <w:rStyle w:val="984"/>
                  <w:rFonts w:ascii="Liberation Serif" w:hAnsi="Liberation Serif" w:eastAsia="Liberation Serif" w:cs="Liberation Serif"/>
                  <w:sz w:val="20"/>
                  <w:szCs w:val="20"/>
                  <w:highlight w:val="white"/>
                </w:rPr>
                <w:t xml:space="preserve">*</w:t>
              </w:r>
            </w:hyperlink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4.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Многоквартирные дома, не оборудованные лифтами и оборудованные электроотопительными и (или) электронагревательными установками для целей горячего водоснабжения, вне отопительного периода</w:t>
            </w:r>
            <w:hyperlink w:tooltip="#sub_3111" w:anchor="sub_3111" w:history="1">
              <w:r>
                <w:rPr>
                  <w:rStyle w:val="984"/>
                  <w:rFonts w:ascii="Liberation Serif" w:hAnsi="Liberation Serif" w:eastAsia="Liberation Serif" w:cs="Liberation Serif"/>
                  <w:sz w:val="20"/>
                  <w:szCs w:val="20"/>
                  <w:highlight w:val="white"/>
                </w:rPr>
                <w:t xml:space="preserve">*</w:t>
              </w:r>
            </w:hyperlink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pStyle w:val="986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кВт·ч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pStyle w:val="985"/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55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Общежития, не оборудованные лифтами и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кВт-ч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1,97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tcW w:w="28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66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803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Общежития, оборудованные лифтами и не оборудованные электроотопительными и электронагревательными установками для целей горячего водоснабжения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841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кВт-ч в месяц на кв. метр</w:t>
            </w:r>
            <w:r>
              <w:rPr>
                <w:highlight w:val="white"/>
              </w:rPr>
            </w:r>
            <w:r/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tcW w:w="1076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  <w:t xml:space="preserve">3,98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4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jc w:val="both"/>
        <w:keepLines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color w:val="000000"/>
          <w:sz w:val="24"/>
          <w:szCs w:val="24"/>
          <w:highlight w:val="white"/>
        </w:rPr>
      </w:r>
      <w:r>
        <w:rPr>
          <w:rFonts w:ascii="Liberation Serif" w:hAnsi="Liberation Serif" w:eastAsia="Liberation Serif" w:cs="Liberation Serif"/>
          <w:color w:val="000000"/>
          <w:sz w:val="24"/>
          <w:szCs w:val="24"/>
          <w:highlight w:val="white"/>
        </w:rPr>
        <w:tab/>
      </w:r>
      <w:r>
        <w:rPr>
          <w:rFonts w:ascii="Liberation Serif" w:hAnsi="Liberation Serif" w:eastAsia="Liberation Serif" w:cs="Liberation Serif"/>
          <w:color w:val="000000"/>
          <w:sz w:val="28"/>
          <w:szCs w:val="24"/>
          <w:highlight w:val="white"/>
        </w:rPr>
        <w:t xml:space="preserve">2.5.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24" w:name="_Toc118822261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Существующая система коммерческого учета и планы по установке прибор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ов учета.</w:t>
      </w:r>
      <w:bookmarkEnd w:id="24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системе электроснабжения учёт отпуска электрической энергии имеется на всех центрах питания,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учета электрической энергии, потребляемой гражданами, а также на границе раздела объектов электросетевого хозяйства и внутридомовых инженерных систем многоквартирного дома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приборы учета класса точности 2,0 и выше.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многоквартирных домах на границе раздела объектов электросетевого хозяйства и внутридомовых инженерных систем устан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овлены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коллективные (общедомовые) приборы учета класса точности 1,0 и выше.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учета электрической энергии, потребляемой потребителями, с максимальной мощностью менее 670 кВт,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приборы учета класса точности 1,0 и выше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учета электрической энергии, потребляемой потребителями с максимальной мощностью не менее 670 кВт,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приборы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учета, позволяющие измерять почасовые объемы потребления электрической энергии, класса точности 0,5S и выше, обеспечивающие хранение данных о почасовых объемах потребления электрической энергии за последние 120 дней и более или включенные в систему учета.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Класс точности измерительных трансформаторов, используемых в измерительных комплексах для установки (подключения) приборов учета, не ниже 0,5.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 также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измерительны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трансформатор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напряжения класса точности 1,0 для установки (подключения) приборов учета класса точности 2,0.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Приборы учета установ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границах балансовой принадлежности объектов электроэнергетики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энергопринимающих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устройств), а также в ины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 местах, с соблюдением установленных законодательством Российской Федерации требований к местам установки приборов учета. При отсутствии технической возможности установки прибора учета на границе балансовой принадлежности объектов электроэнергетики прибор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установлены в местах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максимально приближенн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 границ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балансовой принадлежности, в котор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име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тся техническ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возможност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установки. При этом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расчёта за потреблённую электрическую энергию учитываются потери на участке электрической сети от границы раздела балансовой принадлежности до местонахождения прибора учёта.</w:t>
      </w:r>
      <w:r>
        <w:rPr>
          <w:highlight w:val="white"/>
        </w:rPr>
      </w:r>
      <w:r/>
    </w:p>
    <w:p>
      <w:pPr>
        <w:pStyle w:val="989"/>
        <w:ind w:firstLine="709"/>
        <w:jc w:val="both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Доля поставки электрической энергии по приборам учета составляет 100%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Сведения 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план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 установке приборов учета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отсутствуют.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III.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25" w:name="_Toc118822262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Электронная модель схемы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электроснабжения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End w:id="25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highlight w:val="white"/>
        </w:rPr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3.1. Универсальным инструментом разработки перспективных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схем электроснабжения является их электронная модель.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Электронная модель схем электроснабжения – единая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информационная система, включающая в себя базы данных,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программное и техническое обеспечение, предназначенная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хранения, мониторинга и актуализации информации о технико-экономическом состоянии централизованных систем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электроснабжения, осуществления их оперативно-диспетчерского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управления.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Задачи, решаемые электронной моделью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графическо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представлени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объектов электроснабжения, с привязкой 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топографической основе МО и полным описанием связности объектов;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паспортизации объектов электроснабжения;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описания единиц административного деления земельных участков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возможностью формирования и генерации пространственных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технологических запросов и отчетов по системе электроснабжения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административно-территориальных разрезах;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расчетов режима сетей выше 1 до 35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компенсации токов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замыкания на землю;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расчетов токов короткого замыкания;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расчета балансов электроснабжения;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расчета показателей надежности;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построения графиков для разработки и анализа сценариев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перспективного развития.</w:t>
      </w:r>
      <w:r>
        <w:rPr>
          <w:highlight w:val="white"/>
        </w:rPr>
      </w:r>
      <w:r/>
    </w:p>
    <w:p>
      <w:pPr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3.2.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26" w:name="_Toc118822263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Графическое представление существующих объектов системы электроснабжения с привязкой к топографической основе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населенного пункта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и полн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ым описанием связности объектов</w:t>
      </w:r>
      <w:bookmarkEnd w:id="26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Пример графического представления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существующих объектов системы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с привязкой к топографической основе населённого пункта представлен на рисунке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_Ref116553614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jc w:val="both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4"/>
          <w:highlight w:val="white"/>
        </w:rPr>
      </w:pPr>
      <w:r>
        <w:rPr>
          <w:rFonts w:ascii="Liberation Serif" w:hAnsi="Liberation Serif" w:eastAsia="Liberation Serif" w:cs="Liberation Serif"/>
          <w:sz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z w:val="24"/>
          <w:highlight w:val="whit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9495" cy="3642360"/>
                <wp:effectExtent l="0" t="0" r="0" b="0"/>
                <wp:docPr id="31" name="Рисунок 1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7128082" name="Снимок.JPG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19493" cy="36423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81.8pt;height:286.8pt;mso-wrap-distance-left:0.0pt;mso-wrap-distance-top:0.0pt;mso-wrap-distance-right:0.0pt;mso-wrap-distance-bottom:0.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highlight w:val="white"/>
        </w:rPr>
      </w:r>
      <w:r/>
    </w:p>
    <w:p>
      <w:pPr>
        <w:pStyle w:val="954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4"/>
          <w:highlight w:val="white"/>
        </w:rPr>
      </w:pP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1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.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Пример графического представления существующих объектов системы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электроснабжения с привязкой к топографической основе населённого пункта</w:t>
      </w:r>
      <w:r>
        <w:rPr>
          <w:highlight w:val="white"/>
        </w:rPr>
      </w:r>
      <w:r/>
    </w:p>
    <w:p>
      <w:pPr>
        <w:pStyle w:val="954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4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pStyle w:val="954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i w:val="0"/>
          <w:color w:val="000000"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highlight w:val="white"/>
        </w:rPr>
      </w:r>
      <w:r>
        <w:rPr>
          <w:rFonts w:ascii="Liberation Serif" w:hAnsi="Liberation Serif" w:eastAsia="Liberation Serif" w:cs="Liberation Serif"/>
          <w:i w:val="0"/>
          <w:color w:val="000000" w:themeColor="text1"/>
          <w:sz w:val="28"/>
          <w:highlight w:val="white"/>
        </w:rPr>
        <w:t xml:space="preserve">3.3. </w:t>
      </w:r>
      <w:bookmarkStart w:id="28" w:name="_Toc118822264"/>
      <w:r>
        <w:rPr>
          <w:rFonts w:ascii="Liberation Serif" w:hAnsi="Liberation Serif" w:eastAsia="Liberation Serif" w:cs="Liberation Serif"/>
          <w:i w:val="0"/>
          <w:color w:val="000000" w:themeColor="text1"/>
          <w:sz w:val="28"/>
          <w:highlight w:val="white"/>
        </w:rPr>
        <w:t xml:space="preserve">Описание объектов существующей системы электроснабжения.</w:t>
      </w:r>
      <w:bookmarkEnd w:id="28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Электронная модель отражает объекты электрической сети по видам и с отражением их характеристик: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трансформаторные подстанции (ТП), в том числе трансформаторы;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распределительные пункты (РП);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линии, соединяющие центры питания (ЦП) с РП и ТП;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линии, соединяющие ТП между собой;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питающие линии промышленных предприятий, находящихся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населенного пункта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распределительные сети, кроме ведомственных сетей и сетей промышленных предприятий;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генераторы, реакторы, конденсаторы в электрических сетях;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выключатели, выключатели нагрузки, разъединители ПС, ТП, РП и линий;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оборудование релейной защиты и автоматики (РЗА), установленные на ПС, РП.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3.4.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29" w:name="_Toc118822265"/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Составление</w:t>
      </w:r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 шаблонов пользовательских форм (генератор форм элек</w:t>
      </w:r>
      <w:r>
        <w:rPr>
          <w:rStyle w:val="970"/>
          <w:rFonts w:ascii="Liberation Serif" w:hAnsi="Liberation Serif" w:eastAsia="Liberation Serif" w:cs="Liberation Serif"/>
          <w:b w:val="0"/>
          <w:bCs/>
          <w:i w:val="0"/>
          <w:iCs/>
          <w:sz w:val="28"/>
          <w:highlight w:val="white"/>
        </w:rPr>
        <w:t xml:space="preserve">тронных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таблиц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Microsoft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Excel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)</w:t>
      </w:r>
      <w:bookmarkEnd w:id="29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аблон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пользовательских форм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построены с помощью VBA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создать форму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добавив в книгу элементы управления содержимым, такие как кнопки, флажки, списки и поля со списками. После этого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можно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заполнить эту форму в приложении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при желании распечатать 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1. Отображение вкладки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Разработчик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меню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выберите элемент Параметры.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разделе Разработка выберите Представление.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разделе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Показывать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ленте установите флажок Вкладка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Разработчик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2. Добавление и форматирование элементов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управления содержимым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вкладке Разработчик выберите элемент управления, который хотите добавить.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листе щелкните место, куда нужно вставить элемент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Чтобы задать свойства элемента управления, щелкните его, удерживая нажатой клавишу CONTROL, и выберите пункт Формат элемента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окне Формат объекта задайте такие свойства элемента управления, как шрифт, выравнивание и цвет.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Повторите действия 1–4 для каждого добавляемого элемента управления.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3. Защита листа, содержащего форму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меню Сервис наведите указатель на пункт Защита и выберите команду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Защитить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лист.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Выберите нужные параметры защиты.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Сохраните и закройте книгу.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Шаг 4. Проверка формы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необходимости вы можете проверить форму, прежде чем распространять 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Защитите форму, как указано в описании шага 3.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Откройте форму еще раз, заполните ее обычным способом и сохраните как копию.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3.5.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0" w:name="_Toc118822266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Пол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учени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е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реестра объектов моделей.</w:t>
      </w:r>
      <w:bookmarkEnd w:id="30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режиме работы окна семантической информации Ответ или База предусмотрен экспорт соответствующего набор записей в лист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Microsoft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для последующего анализа.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экспорта данных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Microsoft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окне семантической информации на вкладке Ответ или База нажмите кнопку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диалоговом окне Экспорт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Microsoft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из списка Шаблоны отчетов выберите нужный шаблон, при экспорте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используются либо такие же шаблоны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как и для печатных отчетов, либо шаблоны на основе файлов шаблонов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(формата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xlt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не устраивают существующие шаблоны, то нужно нажать кнопку Новый и создать новый шаблон;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строке Путь к книге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нажмите кнопку Обзор..., укажите полный путь до него, затем: для экспорта в книгу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из списка тип файла выберите Книга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Excel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(*.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xls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); для экспорта в электронную таблицу ODS из списка тип файла выберите Электронная таблица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OpenOffice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(*.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ods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строке Имя листа укажите имя листа, на котором будут размещены данные,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например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Лист1; 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нажмите кнопку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Сохранить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после чего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начнет процедуру экспорта, о чем будет информировать индикатор процесса. Процедуру экспорта можно прервать, нажав кнопку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Отмена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панели этого индикатора.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3.6.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1" w:name="_Toc118822267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Получени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е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сводных форм в виде эле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ктронных таблиц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Microsoft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Excel.</w:t>
      </w:r>
      <w:bookmarkEnd w:id="31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Имея исходную таблицу в формате EXCEL, для создания Сводной таблицы достаточно выделить любую ячейку исходной таблицы и в меню Работа с таблицами/ Конструктор/ Сервис выбрать пункт Сводная таблица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появившемся окне нажмем ОК, согласившись с тем, что Сводная таблица будет размещена на отдельном листе.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отдельном листе появится заготовка Сводной таблицы и Список полей, размещенный справа от листа (отображается только когда активная ячейка находится в диапазоне ячеек Сводной таблицы).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появившемся окне выбираем Названия строк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Списка полей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для этого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поставим галочку в Списке полей 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необходимого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поля (поле и столбец - синонимы)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ячейки столбца имеют текстовый формат, то они автоматически попадут в область Названия строк Списка полей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ячейки столбца имеют числовой формат, то они автоматически попадут в раздел Списка полей Значения.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д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обавлени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фильтра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необходимы следующие действия: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выделите любое значение Сводной таблицы, нажмите пункт меню Работа со сводными таблицами/ Параметры/ Действия/ Очистить/ Очистить все;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ставим галочки в Списке полей у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необходимых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полей;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переносим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поле из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области Названия строк Списка полей в область Фильтр отчета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IV.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32" w:name="_Toc118822268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Перспективные показатели потребления электроэнергии по разным категориям пользователей</w:t>
      </w:r>
      <w:bookmarkEnd w:id="32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4.1. В соответствии с пунктом 1 протокола от 08.11.2021 № 107 рабочей встречи Губернатор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 Ямало-Ненецкого автономного округа Д.А. Артюхова и генерального директора АО "Почта России" М.А. Акимова в 2022-2023 годах планируется приобретение комплекта мобильного (инвентарного) здания для размещения отделения почтовой связи АО «Почта России» в 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Красноселькупского района.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Также согласно адресной инвестиционной программы Ямало-Ненецкого автономного округа в перспективе в селе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2024 году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планируется строительство объекта капитального строительства «Школа-интернат на 60 мест со спальным корпусом на 20 мест, 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Красноселькупского района». В текущем году ГКУ «Дирекция капитального строительства и инвестиций Ямало-Ненецкого автономного округа» осуществляет корректировку проектно-сметной документации.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текущий момент сведения о возможном подключении к централизованной системе электроснабжения отсутствуют, учитывая загруженность существующей электростанции, возможно устройство индивидуальных источников электрической энергии для вышеуказанных объектов.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необходимо провести мероприятия по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недрению энергосберегающих технологий на предприятиях, позволяющих при тех же технологических режимах значительно сократить потребление электроэнергии; осуществить работу по установке у потребителей приборов учета и систем регулирования всех видов энергии.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4.2. Электрические нагрузки. Проектная схема.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Электрические нагрузки жилищно-коммунального сектора определены по срокам проектирования на основе численности населения, принятой настоящим проектом,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Нормативов для определения расчетных электрических нагрузок зданий (квартир), коттеджей, микрорайонов (кварталов) застройки и элементов распределительной сети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утвержденных приказом Мин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истерства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лива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етики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Росси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йской Федерации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29.07.1999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№ 213. Указанные нормативы учитывают изменения и дополнения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Инструкции по проектированию электрических сетей РД 34.20.185-94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Согласно нормативам, укрупненный показатель расхода электроэнергии коммунально-бытовых потребителей принят на расчетный срок для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населенного пункта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2170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×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/чел в год, годовое число часов использования максимума электрической нагрузки – 5300. При этом укрупненный показатель удельной расчетной коммунально-бытовой нагрузки составляет в среднем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0,41 кВт/чел.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Максимальная нагрузка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расчетный срок составит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0,295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МВт.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Годовой расход электроэнергии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составит на расчетный срок около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0,85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млн.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×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Рост электрических нагрузок на сроки проектирования обусловлен необходимостью создания комфортных условий для проживания населения и развития промышленности,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сельского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хозяйства и общественно-деловой инфраструктуры.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Покрытие электрических нагрузок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предусматривается от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децентрализованной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энергосистемы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села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за счет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существующей ДЭС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V.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33" w:name="_Toc118822269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Предложения по строительству, реконструкции и модерниз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ации объектов электроснабжения</w:t>
      </w:r>
      <w:bookmarkEnd w:id="33"/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pStyle w:val="934"/>
        <w:numPr>
          <w:ilvl w:val="0"/>
          <w:numId w:val="0"/>
        </w:numPr>
        <w:ind w:left="0" w:right="0" w:firstLine="708"/>
        <w:spacing w:before="0" w:beforeAutospacing="0" w:after="0" w:afterAutospacing="0"/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5.1. </w:t>
      </w:r>
      <w:bookmarkStart w:id="34" w:name="_Toc118822270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Сведения о реконструируемых и предлагаемых к новому строительству электрических сетях, обеспечивающих перераспределение электрической нагрузки из зон с дефицитом в зоны с избытком электрических мощностей (использование существующих резервов)</w:t>
      </w:r>
      <w:bookmarkEnd w:id="34"/>
      <w:r>
        <w:rPr>
          <w:rFonts w:ascii="Liberation Serif" w:hAnsi="Liberation Serif" w:eastAsia="Liberation Serif" w:cs="Liberation Serif"/>
          <w:b w:val="0"/>
          <w:i w:val="0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Мероприятия по реконструкции и новому строительству электрических сетей, обеспечивающих перераспределение электрической нагрузки из зон с дефицитом в зоны с избытком электрических мощностей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не запланировано.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5.2.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5" w:name="_Toc118822271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с.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Ратта.</w:t>
      </w:r>
      <w:bookmarkEnd w:id="35"/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отсутствуют. В связи с этим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реконстру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кция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новое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строительств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электрических сет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обеспечивающих перераспр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еделение электрической нагрузки, не предусматривается.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5.3.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6" w:name="_Toc118822272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об электрических сетях, предлагаемых к новому строительству для обеспечения перспективных приростов электрической нагрузки во вновь осваиваемых районах поселения под жилищную, комплексную или производственную застройку</w:t>
      </w:r>
      <w:bookmarkEnd w:id="36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Информация об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электрических сетях, предлагаемых к новому строительству для обеспечения перспективных приростов электрической нагрузки во вновь осваиваемых районах поселения под жилищную, комплексную или производственную застройку отсутствует.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5.4.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7" w:name="_Toc118822273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об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электрических сетях, предлагаемых к новому строительству для обеспечения перспективных приростов электрической нагрузки в зонах с дефицитом электрической мощности с перераспределением электрической мощности от действующих объектов системы электроснабжения.</w:t>
      </w:r>
      <w:bookmarkEnd w:id="37"/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Зоны с дефицитом электрических мощностей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отсутствуют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связи с этим перераспределение электрической нагрузки не предусматривается.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5.5.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8" w:name="_Toc118822274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об электрических сетях, предлагаемых к новому строительству для обеспечения нормативной надежности и безопасности электроснабжения</w:t>
      </w:r>
      <w:bookmarkEnd w:id="38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Электросетевым хозяйством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обеспечивается нормативная надёжность и безопасность электроснабжения. В связи с этим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ново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строительств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 электрических сетей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для обеспечения нормативной надежности и безопасности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потребителей не предусматривается.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5.6.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39" w:name="_Toc118822275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об участках электрических сетей, обеспечивающих вывод электрической мощности от вновь строящихся и реконструируемых объектов системы электроснабжения.</w:t>
      </w:r>
      <w:bookmarkEnd w:id="39"/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Строительство и реконструкция объектов системы электроснабжения,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которых потребуется вывод электрической мощности, не предполагается.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5.7.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40" w:name="_Toc118822276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 реконструируемых участках электрической сети с увеличением ее пропускной способности для обеспечения перспективных приростов электрической нагрузки</w:t>
      </w:r>
      <w:bookmarkEnd w:id="40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Мероприятия по реконструкции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участк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электрической сети с увеличением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пропускной способности для обеспечения перспективных приростов электрической нагрузки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 требуется.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5.8.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41" w:name="_Toc118822277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 реконструируемых участках электрической сети, подлежащих замене в связи с исчерпанием эксплуатационного ресурса (при этом остаточный ресурс требуется определять по текущему состоянию).</w:t>
      </w:r>
      <w:bookmarkEnd w:id="41"/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рамках проведения ежегодного капитального ремонта электросетевого хозяйства ООО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Ямал-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планируется замена участков электрических сетей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связи с исчерпанием эксплуатационного ресурса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5.9.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42" w:name="_Toc118822278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 диспетчеризации, телемеханизации и автоматизированных системах управления режимами электроснабжения</w:t>
      </w:r>
      <w:bookmarkEnd w:id="42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Автоматизированные си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стемы управления электроснабжением (АСУЭ) выполняют функции дистанционного контроля и управления распределением электроэнергии на предприятии. Основной целью их создания является обеспечение бесперебойного, стабильного электроснабжения предприятия за счет: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предоставления оперативному и диспетчерскому персоналу достоверной информации по текущим характеристикам сетей электроснабжения, состоянию и режимам работы энергетического оборудования электрических подстанций;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реализации функций телеуправления объектами электроснабжения в дистанционном режиме;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предупреждения ошибочных действий персонала, обеспечения своевременного и грамотного реагирования на предаварийные и аварийные ситуации;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автоматического ведения журналов технологических событий и предоставления инструментов для просмотра и анализа аварийных осцил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ограмм, действий операторов, истории изменения контролируемых параметров.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Источниками эффективности применения автоматизированных систем управления электроснабжением являются: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повышение надежности функционирования энергосистемы предприятия. Минимизация простоев технологического оборудования, связанных с перебоями электроснабжения и низким качеством электроэнергии;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повышение качества планирования и управления потреблением электроэнергии. Увеличение коэффициента использования выделенного лимита мощности, минимизация штрафов за превышение лимитов;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повышение прозрачности расчетов с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субабонентами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предупреждение ошибочных действий эксплуатационного и оперативно-диспетчерского персонала. Минимизация последствий нештатных ситуаций;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снижение трудозатрат на сбор первичной информации и формирование отчетных документов.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Структура автоматизированных систем управления электроснабжением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Нижний уровень систем АС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УЭ образуют измерительные преобразователи тока и напряжения, средства технического учета электроэнергии, системы противоаварийной защиты и автоматики, иные устройства, обеспечивающие измерение и регулирование режимов работы оборудования электрической сети.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Первичные данные о состоянии и режимах работы подстанций,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араметрах выработки и потребления электроэнергии поступают на устройства сбора, предварительной обработки, агрегирования телемеханической информации и данных технического учета электроэнергии, образующие средний уровень систем управления электроснабжением.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Агрегированные, предварительно обработанные да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нные с подстанций поступают на верхний уровень АСУЭ, на сервера подсистемы сбора и обработки технологической информации, сервера долговременного хранения данных и выводятся на экран коллективного использования в диспетчерской, а также на АРМ специалистов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энергодиспетчера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инженера-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релейщика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специалистов службы главного энергетика и др.) в формате мнемосхем, графиков, диаграмм, таблиц, сводных панелей показателей, цифровых и текстовых табло.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5.10. Основные функциональные возможности систем управления электроснабжением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Основное предназначение систем АСУЭ – обеспечить эффективное оперативно-диспетчерское управление объектами электроснабжения в нормальных, переходных и аварийных режимах. Поэтому, к числу их основных функций относятся: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параметров работы электрической сети и силового оборудования (значение токов, напряжений, мощностей, частоты и др.);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положения коммутационных аппаратов;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состояния основного и вспомогательного электрооборудования;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неэлектрических параметров функционирования подстанций (сигналы охранной и пожарной сигнализации, температурный режим на подстанции и др.);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вычисление расчетных величин (расчет линейных напряжений и токов по фазным, 3Uo, 3Io. U2, I2 и др.);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и регистрация выхода измеряемых параметров за установленные границы, регистрация аварийных событий и нарушений;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формирование сообщений предупредительной и аварийной сигнализации;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изменение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уставок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работы оборудования, формирование и передача команд телеуправления на устройства нижнего оборудования;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диагностика и самодиагностика комплекса технических средств системы: измерительных, регистрирующих и регулирующих устройств, линий связи, серверного оборудования;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ведение архивов измеряемых и рассчитываемых значений, ведение журналов действий пользователя в системе;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формирование технической, оперативной, эксплуатационной и отчетной документации;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обмен информацией со смежными и внешними информационными системами.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зависимости от задач Заказчика в системах управления электроснабжением может быть такж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 реализована функциональность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информационно-аналитических систем управления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энергоэффективностью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 части учета и анализа параметров потребления электрической энергии, в том числе: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учёт потребления электроэнергии на различные нужды (потребление по отдельным производствам, цехам, участкам);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сравнение потребления однотипных потребителей;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анализ почасовых и сезонных профилей потребления;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над ростом и равномерным распределением нагрузок;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контроль параметров по договорам энергоснабжения;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оперативное планирование потребления электроэнергии;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вычисление балансов электроэнергии, сравнение с проектными решениями, выявление нерационального использования и потерь электрической энергии.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В настоящее время у ООО «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Ямал-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Энерго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» отсутствует автоматизированная система сбора, обработки и хранения показаний приборов учёта электроэнергии. Снятие расчетных и контрольных показаний происходит в ручном режиме, что приводит 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рассогласованиям при сведении балансов вследствие разности временных промежутков снятия показаний.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5.11.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43" w:name="_Toc118822279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Сведения об автоматической системе контроля и упр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авления энергоресурсами (АСКУЭ)</w:t>
      </w:r>
      <w:bookmarkEnd w:id="43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АСКУЭ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позволяет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своевременно собирать данные по всем потребителям как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напряжению, так и по мощности. 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осле этого автоматизированная программа обрабатывает всю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собранную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информацию и составляется подробный отчёт.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Инженерно-технические работники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проводят анализ, а также составляют прогноз на предстоящий период.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этого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выполн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ряд обязательных требований:</w:t>
      </w:r>
      <w:r>
        <w:rPr>
          <w:highlight w:val="white"/>
        </w:rPr>
      </w:r>
      <w:r/>
    </w:p>
    <w:p>
      <w:pPr>
        <w:pStyle w:val="955"/>
        <w:numPr>
          <w:ilvl w:val="0"/>
          <w:numId w:val="35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всех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ключевых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участках потребления электроэнергии устан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овлены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инновационные средства учёта — счётчики;</w:t>
      </w:r>
      <w:r>
        <w:rPr>
          <w:highlight w:val="white"/>
        </w:rPr>
      </w:r>
      <w:r/>
    </w:p>
    <w:p>
      <w:pPr>
        <w:pStyle w:val="955"/>
        <w:numPr>
          <w:ilvl w:val="0"/>
          <w:numId w:val="35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абсолютно все поступающие от счётчиков цифровые сигналы хран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ся в специальных блоках — сумматорах, с большой памятью;</w:t>
      </w:r>
      <w:r>
        <w:rPr>
          <w:highlight w:val="white"/>
        </w:rPr>
      </w:r>
      <w:r/>
    </w:p>
    <w:p>
      <w:pPr>
        <w:pStyle w:val="955"/>
        <w:numPr>
          <w:ilvl w:val="0"/>
          <w:numId w:val="35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обустро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центры, где обраба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тываться все полученные данные, которые оснащены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компьютерами и современным программным обеспечением;</w:t>
      </w:r>
      <w:r>
        <w:rPr>
          <w:highlight w:val="white"/>
        </w:rPr>
      </w:r>
      <w:r/>
    </w:p>
    <w:p>
      <w:pPr>
        <w:pStyle w:val="955"/>
        <w:numPr>
          <w:ilvl w:val="0"/>
          <w:numId w:val="35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вся система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обвяза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линиями связи, при помощи которых все отчёты отправля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ся потребителям и подотчётным предприятиям.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труктурн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схем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АСКУЭ раздел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три общих блока. Блок под номером один включает в себя мощные агрегаты для учёта энергии, представленные индукционными или же электронными электросчётч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иками. Такие приборы установлены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исключительно у потребител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Если же вмонтирован инновационный счётчик, то сбор необходимой информации осуществл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через встроенный порт связи.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 сегодняшний день основной процент приборов комплектуется на заводе мощным интерфейсом для включения в АСКУЭ. Если использ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уется счётчик старого образца 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индукционный, то специалисты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ЭСО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дополнительно оснащают его считывающим устройством, за счёт этого происходит передача данных.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Второй блок выполняет все функции связи.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оказания, которые были удачно собраны ещё на первом этапе, надёжно защищены от взлома мошенниками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переда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несколькими способами:</w:t>
      </w:r>
      <w:r>
        <w:rPr>
          <w:highlight w:val="white"/>
        </w:rPr>
      </w:r>
      <w:r/>
    </w:p>
    <w:p>
      <w:pPr>
        <w:pStyle w:val="955"/>
        <w:numPr>
          <w:ilvl w:val="0"/>
          <w:numId w:val="21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через обычные телефонные линии связи;</w:t>
      </w:r>
      <w:r>
        <w:rPr>
          <w:highlight w:val="white"/>
        </w:rPr>
      </w:r>
      <w:r/>
    </w:p>
    <w:p>
      <w:pPr>
        <w:pStyle w:val="955"/>
        <w:numPr>
          <w:ilvl w:val="0"/>
          <w:numId w:val="21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передача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Интернету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21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мобильная связь разных стандартов (3G, GPRS,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Wi-Fi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Совокупность всех существующих способов для гарантированной безотказной работы системы.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Третий блок сочетает в себе специализированные средства компьютерн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ой обработки полученных данных.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этом этапе вся собранная информация обрабатывается и анализируется. С технической стороны третий блок обязательно состоит из мощного сервера или же компьютера с актуа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льным программным обеспечением.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В настоящее время у ООО «Ямал-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Энерго</w:t>
      </w:r>
      <w:r>
        <w:rPr>
          <w:rFonts w:ascii="Liberation Serif" w:hAnsi="Liberation Serif" w:eastAsia="Liberation Serif" w:cs="Liberation Serif"/>
          <w:sz w:val="28"/>
          <w:szCs w:val="24"/>
          <w:highlight w:val="white"/>
        </w:rPr>
        <w:t xml:space="preserve">» отсутствует автоматизированная система сбора, обработки и хранения показаний приборов учёта электроэнергии. Снятие расчетных и контрольных показаний происходит в ручном режиме, что приводит к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рассогласованиям при сведении балансов вследствие разности временных промежутков снятия показаний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left="0" w:righ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VI.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Перспективные балансы производств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а и потребления электроэнергии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Перспективные балансы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производства и потребления электроэнергии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_Ref116565516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9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left="0" w:right="0"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pStyle w:val="933"/>
        <w:ind w:firstLine="0"/>
        <w:spacing w:before="0" w:beforeAutospacing="0" w:after="0" w:afterAutospacing="0"/>
        <w:rPr>
          <w:rFonts w:ascii="Liberation Serif" w:hAnsi="Liberation Serif" w:eastAsia="Liberation Serif" w:cs="Liberation Serif"/>
          <w:sz w:val="28"/>
          <w:highlight w:val="white"/>
        </w:rPr>
        <w:sectPr>
          <w:footnotePr/>
          <w:endnotePr/>
          <w:type w:val="nextPage"/>
          <w:pgSz w:w="11906" w:h="16838" w:orient="portrait"/>
          <w:pgMar w:top="1134" w:right="708" w:bottom="1134" w:left="1701" w:header="709" w:footer="709" w:gutter="0"/>
          <w:cols w:num="1" w:sep="0" w:space="708" w:equalWidth="1"/>
          <w:docGrid w:linePitch="360"/>
        </w:sectPr>
        <w:suppressLineNumbers w:val="0"/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9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Перспективные балансы производства и потребления электроэнергии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на территории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с.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Ратта</w:t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  <w:suppressLineNumbers w:val="0"/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ook w:val="04A0" w:firstRow="1" w:lastRow="0" w:firstColumn="1" w:lastColumn="0" w:noHBand="0" w:noVBand="1"/>
      </w:tblPr>
      <w:tblGrid>
        <w:gridCol w:w="801"/>
        <w:gridCol w:w="5405"/>
        <w:gridCol w:w="955"/>
        <w:gridCol w:w="955"/>
        <w:gridCol w:w="955"/>
        <w:gridCol w:w="955"/>
        <w:gridCol w:w="955"/>
        <w:gridCol w:w="1194"/>
        <w:gridCol w:w="1194"/>
        <w:gridCol w:w="1191"/>
      </w:tblGrid>
      <w:tr>
        <w:trPr>
          <w:trHeight w:val="20"/>
          <w:tblHeader/>
        </w:trPr>
        <w:tc>
          <w:tcPr>
            <w:shd w:val="clear" w:color="ffffff" w:fill="ffffff"/>
            <w:tcW w:w="2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№ п/п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5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Наименование показателя</w:t>
            </w:r>
            <w:r>
              <w:rPr>
                <w:highlight w:val="white"/>
              </w:rPr>
            </w:r>
            <w:r/>
          </w:p>
        </w:tc>
        <w:tc>
          <w:tcPr>
            <w:gridSpan w:val="8"/>
            <w:shd w:val="clear" w:color="ffffff" w:fill="ffffff"/>
            <w:tcW w:w="2869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Суммарное поступление за год,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кВт×ч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312"/>
          <w:tblHeader/>
        </w:trPr>
        <w:tc>
          <w:tcPr>
            <w:tcW w:w="275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tcW w:w="1856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2026-2030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2031-2035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2036-2038</w:t>
            </w:r>
            <w:r>
              <w:rPr>
                <w:highlight w:val="white"/>
              </w:rPr>
            </w:r>
            <w:r/>
          </w:p>
        </w:tc>
      </w:tr>
      <w:tr>
        <w:trPr>
          <w:trHeight w:val="134"/>
          <w:tblHeader/>
        </w:trPr>
        <w:tc>
          <w:tcPr>
            <w:tcW w:w="2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tcW w:w="1856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56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Выработано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991 692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848 170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854 098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854 098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854 098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854 098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854 098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854 098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56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Отпущено на собственные и технологические нужды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180 201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123 952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129 880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129 880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129 880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129 880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129 880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129 880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56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Отпуск (факт), в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т.ч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.: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811 491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724 219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724 218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724 218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724 218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724 218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724 218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724 218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56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смежным сетевым организациям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56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полезный отпуск конечным потребителям, всего, в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т.ч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.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723 622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670 399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670 398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670 398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670 398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670 398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670 398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670 398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56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население, потребители, приравненные к населению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603 779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551 461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551 460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551 460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551 460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551 460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551 460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551 460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56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бюджетные организации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74 616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77 984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77 984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77 984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77 984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77 984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77 984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77 984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275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3.2.3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56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прочие потребители и внутрицеховые нужды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45 227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40 954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40 954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40 954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40 954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40 954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40 954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40 954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275" w:type="pct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856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Потери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87 869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53 820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53 820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53 820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53 820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53 820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53 820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53 820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tcW w:w="275" w:type="pct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W w:w="1856" w:type="pct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11%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328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7%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410" w:type="pct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7%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pStyle w:val="933"/>
        <w:spacing w:before="0" w:beforeAutospacing="0" w:after="0" w:afterAutospacing="0"/>
        <w:rPr>
          <w:rFonts w:ascii="Liberation Serif" w:hAnsi="Liberation Serif" w:eastAsia="Liberation Serif" w:cs="Liberation Serif"/>
          <w:highlight w:val="white"/>
        </w:rPr>
        <w:sectPr>
          <w:footnotePr/>
          <w:endnotePr/>
          <w:type w:val="nextPage"/>
          <w:pgSz w:w="16838" w:h="11906" w:orient="landscape"/>
          <w:pgMar w:top="1135" w:right="680" w:bottom="851" w:left="1701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highlight w:val="white"/>
        </w:rPr>
      </w:r>
      <w:bookmarkStart w:id="46" w:name="_Toc118822281"/>
      <w:r>
        <w:rPr>
          <w:highlight w:val="white"/>
        </w:rPr>
      </w:r>
      <w:r/>
    </w:p>
    <w:p>
      <w:pPr>
        <w:pStyle w:val="933"/>
        <w:numPr>
          <w:ilvl w:val="0"/>
          <w:numId w:val="0"/>
        </w:numPr>
        <w:ind w:left="0"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  <w:lang w:val="en-US"/>
        </w:rPr>
        <w:t xml:space="preserve">VII.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Экологические аспекты мероприятий по строительству и реконструкции о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бъектов электроснабжения</w:t>
      </w:r>
      <w:bookmarkEnd w:id="46"/>
      <w:r>
        <w:rPr>
          <w:highlight w:val="white"/>
        </w:rPr>
      </w:r>
      <w:r/>
    </w:p>
    <w:p>
      <w:pPr>
        <w:spacing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проектировании, строительстве, реконструкции, эксплуатации и снятии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эксплуатации предприятий, зданий и сооружений необходимо предусматривать мероприятия по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охране природы, рациональному использованию и воспроизводству природных ресурсов, 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также выполнять требования экологической безопасности проектируемых объектов и охраны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здоровья населения.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Технические решения при строительстве объектов электроэнергетики должны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соответствовать требованиям действующих экологических, санитарно-гигиенических,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противопожарных и других норм, правил, государственных стандартов и обеспечивать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безопасную для жизни людей и щадящую для окружающей среды эксплуатацию объектов.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целях обеспечения безопасности населения и в соответствии с Федеральным законом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 санитарно-эпидемиологическом благополучии населения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 30.03.1999 № 52-ФЗ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объектов и производств, являющихся источниками воздействия на среду обитания и здоровье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человека, устанавливается специальная территория с особым режимом использования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санитарно-защитная зона (СЗЗ), размер которой обеспечивает уменьшение воздействия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загрязнения на атмосферный воздух (химического, биологического, физического) до значений,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установленных гигиеническими нормативами, а для предприятий I и II класса опасности как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значений, установленных гигиеническими нормативами, так и до величин приемлемого риска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здоровья населения.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своему функциональному назначению санитарно-защитная зона является защитным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барьером, обеспечивающим уровень безопасности населения при эксплуатации объекта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штатном режиме.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Санитарно-защитные зоны устанавливаются в соответствии с СанПиН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2.2.1/2.1.1.1200 03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Санитарно-защитные зоны и санитарная классификация предприятий, сооружений и иных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объектов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Охранная зона объектов инженерной и транспортной инфраструктуры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это территория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особыми условиями использования, которая устанавливается в порядке, определяемом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Правительством Российской Федерации, вокруг объектов инженерной, транспортной и иных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инфраструктур в целях обеспечения охраны окружающей природной среды, нормальных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условий эксплуатации таких объектов и исключения возможности их повреждения.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Охранные зоны выделяются для: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электрических сетей;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линий и сооружений связи;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систем газоснабжения;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магистральных трубопроводов;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автомобильных дорог.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Охранные зоны электрических сетей устанавливаются для электроподстанций,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распределительных устройств, воздушных линий электропередач, подземных и подводных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кабельных линий электропередачи.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Использование территорий, находящихся в зоне ЛЭП, регулируется Правилами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установления охранных зон объектов электросетевого хозяйства и особых условий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использования земельных участков, расположенных в границах таких зон (Постановление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Правительства 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оссийской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едерации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 порядке установления охранных зон объектов электросетевого хозяйства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особых условий использования земельных участков, расположенных в границах таких зон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24.02.2009 № 160).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Введение таких правил обусловлено вредным воздействием электромагнитного поля 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здоровье человека.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Так, по информации Центра электромагнитной безопасности, в соответствии с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результатами проведённых исследований, установлено, что у людей, проживающих вблизи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линий электропередачи и трансформаторных подстанций, могут возникать изменения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функционального состояния нервной, сердечно-сосудистой, нейрогормональной и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эндокринной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систем, нарушаться обменные процессы, иммунитет и воспроизводительная функции.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Поэтому, чем дальше от источников электромагнитного поля находится строение, тем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лучше.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то же время существуют такие зоны, где строительство категорически запрещено.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Дальность распространения электромагнитного поля (и опасного магнитного поля)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ЛЭП напрямую зависит от её мощности.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Исходя из мощности ЛЭП, для защиты населения от действия электромагнитного поля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установлены санитарно-защитные зоны для линий электропередачи (санитарные правила СНиП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№ 2971-84 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Защита населения от воздействия электрического поля, создаваемого воздушными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линиями электропередачи переменного тока промышленной частоты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воздушных высоковольтных линий электропередачи (ВЛ) устанавливаются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санитарно-защитные зоны по обе стороны от проекции на землю крайних проводов.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Эти зоны определяют минимальные расстояния до ближайших жилых, производственных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непроизводственных зданий и сооружений:</w:t>
      </w:r>
      <w:r>
        <w:rPr>
          <w:highlight w:val="white"/>
        </w:rPr>
      </w:r>
      <w:r/>
    </w:p>
    <w:p>
      <w:pPr>
        <w:pStyle w:val="955"/>
        <w:numPr>
          <w:ilvl w:val="0"/>
          <w:numId w:val="3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 метра – для ВЛ ниже 1кВ;</w:t>
      </w:r>
      <w:r>
        <w:rPr>
          <w:highlight w:val="white"/>
        </w:rPr>
      </w:r>
      <w:r/>
    </w:p>
    <w:p>
      <w:pPr>
        <w:pStyle w:val="955"/>
        <w:numPr>
          <w:ilvl w:val="0"/>
          <w:numId w:val="3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10 метров – для ВЛ 1- 20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15 метров – для ВЛ 35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20 метров – для ВЛ 110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25 метров – для ВЛ 150-220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30 метров –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для ВЛ 330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400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500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40 метров – для ВЛ 750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55 метров – для ВЛ 1150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;</w:t>
      </w:r>
      <w:r>
        <w:rPr>
          <w:highlight w:val="white"/>
        </w:rPr>
      </w:r>
      <w:r/>
    </w:p>
    <w:p>
      <w:pPr>
        <w:pStyle w:val="955"/>
        <w:numPr>
          <w:ilvl w:val="0"/>
          <w:numId w:val="36"/>
        </w:numPr>
        <w:contextualSpacing/>
        <w:ind w:left="0" w:right="0" w:firstLine="709"/>
        <w:jc w:val="both"/>
        <w:spacing w:before="0" w:beforeAutospacing="0" w:after="0" w:afterAutospacing="0" w:line="240" w:lineRule="auto"/>
        <w:tabs>
          <w:tab w:val="left" w:pos="992" w:leader="none"/>
        </w:tabs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100 метров – для ВЛ через водоёмы (реки, каналы, озёра и др.).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 допускается прохождение ЛЭП по территориям стадионов, учебных и детских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учреждений.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Допускается для ЛЭП (ВЛ) до 20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принимать расстояние от крайних проводов до границ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приусадебных земельных участков, индивидуальных домов и коллективных садовых участков 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менее 20 метров.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Прохождение ЛЭП (ВЛ) над зданиями и сооружениями, как правило, не допускается.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Допускается прохождение ЛЭП (ВЛ) над производственными зданиями и сооружениями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промышленных предприятий I-II степени огнестойкости в соответствии со строительными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нормами и правилами по пожарной безопасности зданий и сооружений с кровлей из негорючих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материалов (для ВЛ 330-750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только над производственными зданиями электрических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подстанций.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охранной зоне ЛЭП (ВЛ) запрещается: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производить строительство, капитальный ремонт, снос любых зданий и сооружений;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осуществлять всякого рода горные, взрывные, мелиоративные работы, производить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посадку деревьев, полив сельскохозяйственных культур;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размещать автозаправочные станции;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загромождать подъезды и подходы к опорам ВЛ;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устраивать свалки снега, мусора и грунта;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складировать корма, удобрения, солому, разводить огонь;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устраивать спортивные площадки, стадионы, остановки транспорта, проводить любые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мероприятия, связанные с большим скоплением людей.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Проведение необходимых мероприятий в охранной зоне ЛЭП может выполняться только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получении письменного разрешения на производство работ от предприятия (организации),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ведении которых находятся эти сети.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Нарушение требований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Правил охраны электрических сетей напряжение свыше 1000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если оно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вызвало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перерыв в обеспечении электроэнергией, может повлечь следующую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административную ответственность: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физические лица наказываются штрафом в размере от 5 до 10 минимальных размеров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оплаты труда;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юридические лица наказываются штрафом от 100 до 200 МРОТ.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соответствии с п.7.1.10 СанПиН 2.2.1/2.1.1.1200-03 для электроподстанций размер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санитарно-защитной зоны устанавливается в зависимости от типа (открытые, закрытые),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мощности на основании расчетов физического воздействия на атмосферный воздух, а также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результатов натурных измерений.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целях защиты населения от воздействия электрического поля, необходимо соблюдать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санитарные разрывы вдоль линий электропередач.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</w:pPr>
      <w:r>
        <w:rPr>
          <w:b/>
          <w:highlight w:val="white"/>
        </w:rPr>
      </w:r>
      <w:bookmarkStart w:id="47" w:name="_Toc118822282"/>
      <w:r>
        <w:rPr>
          <w:rFonts w:ascii="Liberation Serif" w:hAnsi="Liberation Serif" w:eastAsia="Liberation Serif" w:cs="Liberation Serif"/>
          <w:b/>
          <w:sz w:val="28"/>
          <w:highlight w:val="white"/>
          <w:lang w:val="en-US"/>
        </w:rPr>
        <w:t xml:space="preserve">VIII.</w:t>
      </w:r>
      <w:r>
        <w:rPr>
          <w:rFonts w:ascii="Liberation Serif" w:hAnsi="Liberation Serif" w:eastAsia="Liberation Serif" w:cs="Liberation Serif"/>
          <w:b/>
          <w:sz w:val="28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Оценка надежности и безопас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ности системы электроснабжения</w:t>
      </w:r>
      <w:bookmarkEnd w:id="47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8.1. Под надежностью системы электроснабжения необходимо понимать вероятность того,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что устройство или система будут в полном объеме выполнять свои функции в течение заданного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промежутка времени или при заданных условиях работы.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8.2. Линии электропередачи (ЛЭП).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Самым ненадежным элементом систем электроснабжения являются ЛЭП из-за 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большой протяженности и влияния на них большого числа различных внешних воздействий.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сетях населенных пунктов по статистике около 90-95 % отключений приходятся на долю ЛЭП.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Отказом линии электропередачи называется всякое вынужденное отключение при 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повреждениях.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Различают устойчивые повреждения воздушных линий (опоры, провода, изоляторы)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неустойчивые (самовосстанавливающиеся). Последние ликвидируются путем успешного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действия устройств автоматического повторного включения (АПВ) или ручного включения.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Основными причинами повреждения воздушных линий (ВЛ)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грозовые перекрытия изоляции;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гололедно-изморозевые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отложения;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ветровые нагрузки;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вибрация и пляска проводов;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возгорание деревянных опор;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ослабление прочности деталей опор;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опор и проводов автотранспортом и др.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Внешние воздействия приводят к перекрытию изоляции, разрушению изоляторов, обрыву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проводов, падению опор.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Повреждения ВЛ возможны и в нормальных условиях работы из-за: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превышения фактических электрических нагрузок расчетных значений;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дефектов, возникших при изготовлении опор, проводов, изоляторов;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неправильного применения типов проводов, опор, изоляторов по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природноклиматическим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зонам;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нарушения правил монтажа и сооружения ВЛ;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недостатков эксплуатации (несоблюдения сроков и объемов проверок, текущих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капитальных ремонтов).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8.3. Силовые трансформаторы.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Этот вид оборудования повреждается значительно реже, чем линии электропередачи,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однако его отказ ведет к более тяжким последствиям, и восстановление работоспособности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требует длительного времени.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Основные причины повреждения силовых трансформаторов: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изоляции обмоток трансформатора из-за дефектов конструкции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изготовления, а также из-за воздействия внешних перенапряжений в сети и токов короткого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замыкания;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переключателей (в основном регулируемых под нагрузкой), обусловленное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конструктивными и технологическими дефектами;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вводов, в основном при воздействии внешних перенапряжений в сети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(перекрытие внешней или внутренней изоляции, механические повреждения, некачественные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контактные соединения).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 трансформаторов больших габаритов производится на месте. Он требует, как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правило, выемки керна трансформатора, применения подъемных механизмов и может длиться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несколько суток.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 трансформаторов малых габаритов на напряжение 6-20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производится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централизованно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мастерских предприятий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электрических сетей.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Основные способы повышения надежности эксплуатации трансформаторов: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тщательная приемка в эксплуатацию с выполнением контрольных испытаний;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периодические осмотры и проверки в процессе эксплуатации с соблюдением требуемых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сроков и объема испытаний;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соблюдение режимов работы трансформаторов, не допускающих значительной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перегрузки в течение длительного времени;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установка в сети средств снижения мощности коротких замыканий (реакторов)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величины перенапряжений (разрядников).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8.4. Коммутационные электрические аппараты.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коммутационных аппаратов (автоматических выключателей, разъединителей,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короткозамыкателей, отделителей) происходят при отключении коротких замыканий,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выполнении ими различных операций, а также в стационарном состоянии.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Основная причина повреждений коммутационных аппаратов – механические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повреждения, связанные с несовершенством конструкции, нарушением технологии изготовления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или правил эксплуатации. Среди них следует выделить дефекты контактных соединений,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неполадки в электроприводе, повреждения из-за ошибочных действий персонала, а также отказы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выполнении операций включения из-за некачественной регулировки, настройки или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вследствие обледенения.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Электрические повреждения коммутационных аппаратов вызываются перекрытием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изоляции при внешних и внутренних перенапряжениях, пробоем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внутрибаковой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изоляции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выключателей и пр.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Имеют большую повреждаемость линейные разъединители 6-10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из-за недостатков 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конструктивного исполнения.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короткозамыкателей причиной отказов могут быть также самопроизвольные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включения, а для отделителей – отказы 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бестоковую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паузу.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отказам предохранителей относятся их повреждения, а также неселективные и ложные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срабатывания.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8.5. Релейная защита и автоматика.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Отказами устройств релейной защиты и автоматики (РЗА)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отказы в срабатывании при наличии требования (команды) на срабатывание;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ложные срабатывания при отсутствии требования (команды) на срабатывание;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срабатывания при несоответствии командного импульса, то есть неселективные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срабатывания.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Причиной этих отказов являются повреждения элементов (резисторов, диодов,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транзисторов, тиристоров, конденсаторов, реле), из которых состоят схемы РЗА.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резисторов и полупроводниковых приборов характерен отказ типа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обрыв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(до 90%),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конденсаторов – типа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короткое замыкание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(до 80%).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Пайки, печатный монтаж из-за плохого их выполнения имеют до 95% отказов типа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обрыв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Основным источником отказов реле является контактная система, а причиной отказов 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разрегулировка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контактов, их сваривание, образование на их поверхности непроводящих пленок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из-за коррозии, загрязнения, эрозии.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маломощных реле характерны отказы из-за ложных срабатываний под действием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вибрационных и ударных нагрузок.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Различают два вида отказов: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 в работоспособности объекта;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 в электроснабжении, т.е., отказ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 анализе надежности системы электроснабжения имеют в виду два процесса: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изменение уровня функционирования;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изменение уровня способности выполнять заданные функции в заданном объеме, т.е.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изменение спроса электроэнергии потребителем.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Возникновение отказа работоспособности объекта не всегда влечет за собой отказ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электроснабжении и, наоборот, отказ в электроснабжении потребителя не всегда вызывается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отказом работоспособности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Разделение отказов на полные и частичные отражает то, что система электроснабжения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ее части являются объектами с изменяющимся уровнем эффективности функционирования.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Например, при повреждении секционированной ЛЭП отключается только часть линии, что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означает частичный отказ ЛЭП. Ограниченное и некачественное электроснабжение является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типичным отказом функционирования системы в отличие от полного перерыва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потребителя (полного отказа).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8.6. Классификация отказов.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 продолжительности различают следующие отказы в электроснабжении: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длительные перерывы в электроснабжении потребителей, вызываемые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многочисленными повреждениями в системе электроснабжения, например,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гололедноветровыми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разрушениями опор и проводов ЛЭП (на период до нескольких суток);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 восстановления работоспособности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отказавшего элемента линии (от 4 до 24 ч.);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время, необходимое для включения резервного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элемента вручную оперативно-выездными бригадами предприятий электрических сетей (от 1,5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 6 ч.);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прекращение питания потребителей на время оперативных переключений, выполняемых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дежурным персоналом на подстанциях (несколько минут);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кратковременные перерывы питания потребителей на время автоматического ввода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резервного питания (АВР) или автоматического отключения поврежденного участка сети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(несколько секунд).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точки зрения информативности отказы бывают: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внезапные, когда потребитель не получает никакой информации об отказе;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внеплановые, сведения о которых поступают потребителю незадолго до момента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отключения;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плановые, о которых потребитель предупреждается заблаговременно.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Критериями отказов являются их признаки (проявления), позволяющие установить факт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нарушения работоспособного состояния. Они приводятся в нормативно-технической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документации на объекты энергетики.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зависимости от характеристики нарушения, степени повреждения и их последствий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учитываются: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аварии;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отказы в работе 1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отказы в работе II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потребительские отключения.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Аварии бывают станционные, электросетевые,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теплосетевые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системные.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 предприятиях электрической сети аварией считается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нарушение нормальной работы электрической сети напряжением 6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выше,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вызвавшее: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 категории, имеющих питание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 двух независимых источников, на срок, превышающий время действия устройств АПВ или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АВР;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потребителей I категории при несоответствии схемы питания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требованиям Правил устройств электроустановок (ПУЭ), то есть не обеспеченным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электроснабжением от двух независимых источников питания, на срок более 2,5 ч, а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сельскохозяйственных потребителей – более 10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II категории на срок более 2,5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ч; а для сельскохозяйственных потребителей II категории – более 10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 электроснабжения одного и более потребителей III категории на срок более 24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недоотпуск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электроэнергии потребителям в размере 20 тыс.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кВт∙ч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более независимо от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длительности перерыва электроснабжения;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разрушение силового трансформатора мощностью 10 МВА и более, если восстановление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его невозможно или нецелесообразно;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ВЛ 110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выше, требующее восстановления в течение 24 ч, а также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повреждение КЛ 110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требующее восстановления в течение 36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пожар на подстанции с высшим напряжением 110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выше, вызвавший 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обесточивание на срок 8 ч и более.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Системными авариями считаются: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нарушение устойчивости работы энергосистемы и разделение ее на части, вызвавшее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отключение потребителей на общую мощность более 5 % от нагрузки энергосистемы;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работы энергосистемы с частотой ниже 49,5 Гц длительностью более 1 ч;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многочисленные отключения или повреждения ЛЭП напряжением 6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выше из-за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стихийного явления, приведшие к отключению потребителей на общую мощность более 10 %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нагрузки энергосистемы.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Отказом в работе I степени являются: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нарушение нормальной работы электрической сети, вызвавшее перерыв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электроснабжения одного и более потребителей I категории при несоответствии схемы 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питания требованиям ПУЭ либо одного и более потребителей II категории на срок от 0,5 до 2,5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ч, а для сельскохозяйственных потребителей - от 2 до 10 ч; одного и более потребителей III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категории на срок от 8 до 24 ч;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недоотпуск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электроэнергии потребителям от 5 до 20 тыс.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кВт.ч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основного электрооборудования сетей, требующее восстановительного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ремонта в установленные сроки;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ВЛ или КЛ 35 (110)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требующее восстановительного ремонта в срок до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24 (36) ч.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 отказам в работе II степени относятся нарушения нормальной работы электрических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сетей, в том числе: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перерывы в электроснабжении потребителей, не являющиеся аварией 1 степени;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повреждение некоторых видов оборудования;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недовыполнение диспетчерского графика электрической нагрузки или оперативного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задания диспетчера;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автоматическое отключение или ошибочное отключение оборудования персоналом;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– обесточивание участков электросети напряжением ниже 6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Под потребительским отключением понимают отключение оборудования из-за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неправильных действий персонала потребителя.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Как показывает практика, даже наилучшая конструкция, совершенная технология 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правильная эксплуатация не исключают полностью отказы.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Различают три характерных типа отказов, присущих любым объектам.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приработанные, обусловленные дефектами проектирования, изготовления,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монтажа. Они в основном устраняются путем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отбраковки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 испытании или наладке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Доля этих отказов снижается по истечении периода приработки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внезапные (случайные), вызванные воздействием различных случайных факторов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 характерные преимущественно для периода нормальной эксплуатации объекта. Особенностью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таких отказов является невозможность их предсказания.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Отказы постепенные, происходящие в результате износа и старения объекта.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Долговечность работы системы можно увеличить за счет периодической замены наиболее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ненадежных составляющих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Рассматриваемые здесь показатели применяются для оценки надежности как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невосстанавливаемых (одноразового использования), так и подлежащих ремонту объектов, т.е.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восстанавливаемых до появления первого отказа.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P(t)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вероятность того, что в заданном интервале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(0, t) в системе или элементе не произойдет отказ.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Статистически Р(t) определяется как отношение числа элементов N(t), безотказно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проработавших до момента t, к первоначальному числу наблюдаемых элементов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0):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Р(t)= N(t)/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Число работоспособных в течение времени (0, t) элементов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N(t)=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0)-n(0, t),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 t) – число отказавших за время (0, t)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Q(t)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вероятность того, что в заданном интервале времени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(0, t) произойдет отказ.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Статистическая оценка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Q(t)=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 t)/N(0).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Таким образом, всегда имеет место соотношение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 +Q(t)=1.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отказов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а(t)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производная от вероятности появления отказа, означающая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того, что отказ элемента произойдет за единицу времени (t, t+ ∆t).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a(t)=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dQ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)/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(t)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dt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определения величины a(t) можно использовать статистическую оценку: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a(t)=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t, ∆t ) 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 (0) *∆t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t, ∆t) – число элементов, отказавших в интервале времени от t до t+ ∆t.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Точность статистической оценки возрастает с увеличением первоначального числа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наблюдаемых элементов и уменьшением временного интервала ∆t.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отказов, вероятность безотказной работы и вероятность появления отказа связаны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следующими зависимостями: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Р(t)=∫а(х)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dx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, Q(t)=∫a(x)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dx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Различие между частотой и интенсивностью отказов в том, что первый показатель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характеризует вероятность отказа за интервал (t, t+ ∆t) элемента, взятого из группы элементов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произвольным образом, причем неизвестно, в каком состоянии (работоспособном или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неработоспособном) находится выбранный элемент. Второй показатель характеризует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отказа за тот же интервал времени элемента, взятого из группы оставшихся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работоспособными к моменту t элементов.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Интенсивность отказов λ(t) – условная вероятность отказа после момента t за единицу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∆t при условии, что до момента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tотказа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элемента не было.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Интенсивность отказов связана с частотой отказов и вероятностью безотказной работы: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λ(t) =a(t)/P(t)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Так как P(t)≤1, то всегда выполняется соотношение λ (t)≥a(t).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Статистически интенсивность отказов определяется таким образом: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высоконадежных элем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ентов и систем: если P(t) ≥0,99, то а(t)= λ((t)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Поэтому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практических расчетах возможна при указанном усло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вии взаимная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замена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а(t) и λ(t)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Вероятности безотказной работы в зависимости от интенсивности отказов и времени: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Р(t)=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ехр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[-∫λ(x)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dx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].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Изменение интенсивности отказов во времени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Типичная функция интенсивности отказов во времени (в течение срока службы объекта) имеет U-образный характер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_Ref116565585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начальный период I преобладают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приработочные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отказы. После него наступает наиболее продолжительный период нормальной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эксплуатации II, в котором на объект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воздействуют случайные факторы. Последние вызывают внезапные отказы, интенсивность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которых в период нормальной эксплуатации практически не зависит от времени.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jc w:val="center"/>
        <w:keepNext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z w:val="28"/>
          <w:highlight w:val="whit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97134" cy="1776725"/>
                <wp:effectExtent l="0" t="0" r="0" b="0"/>
                <wp:docPr id="32" name="Рисунок 9" hidden="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0421690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flipH="0" flipV="0">
                          <a:off x="0" y="0"/>
                          <a:ext cx="3097133" cy="1776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243.9pt;height:139.9pt;mso-wrap-distance-left:0.0pt;mso-wrap-distance-top:0.0pt;mso-wrap-distance-right:0.0pt;mso-wrap-distance-bottom:0.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highlight w:val="white"/>
        </w:rPr>
      </w:r>
      <w:r/>
    </w:p>
    <w:p>
      <w:pPr>
        <w:pStyle w:val="954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4"/>
          <w:highlight w:val="white"/>
        </w:rPr>
      </w:pP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Рисунок 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instrText xml:space="preserve"> SEQ Рисунок \* ARABIC </w:instrTex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2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z w:val="24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i w:val="0"/>
          <w:color w:val="000000" w:themeColor="text1"/>
          <w:spacing w:val="-1"/>
          <w:sz w:val="24"/>
          <w:szCs w:val="24"/>
          <w:highlight w:val="white"/>
          <w:lang w:eastAsia="ru-RU"/>
        </w:rPr>
        <w:t xml:space="preserve"> Интенсивность отказов во времени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период старения и износа III в основном имеют место постепенные отказы,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возникающие вследствие накопления ухудшений физико-химических свойств объекта. Для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основных элементов системы электроснабжения период приработки длится до 3-5 лет. Процессы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старения и износа проявляются для ВЛ на опорах из пропитанной древесины через 15-20 лет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после ввода в эксплуатацию, для трансформаторов и КЛ - через 20-30 лет (в первую очередь 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счет старения изоляции). Старение и износ коммутационной аппаратуры наступает через 40-50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лет. Обычно эта аппаратура морально устаревает раньше, нежели физически. В основном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элементы электрических сетей высоконадежны. Время их безотказной работы значительно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превышает время восстановления.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 (среднее время безотказной работы) Т представляет собой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математическое ожидание наработки объекта до первого отказа. Этот показатель геометрически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представляет собой площадь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под кривой вероятности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безотказной работы: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 =∫P(t)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dt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Расчетные формулы для экспоненциального закона надежности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Учитывая, что для объектов энергосистемы интенсивность отказов в период нормальной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эксплуатации практически неизменна, т.е. λ(t)=λ, соотношения между основными показателями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надежности можно представить с учетом этого условия в более простой и наглядной форме: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P(t)=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exp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 ),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Q(t)=1-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exp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 ),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a(t)= 1-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-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 для экспоненциального закона принимает вид T=1/λ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_Ref116565553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10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р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асчетные значения показателей надежности основных элементов системы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10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Расчетные значения показателей надежности основных элементов системы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электроснабжения</w:t>
      </w:r>
      <w:r>
        <w:rPr>
          <w:highlight w:val="white"/>
        </w:rPr>
      </w:r>
      <w:r/>
    </w:p>
    <w:p>
      <w:pPr>
        <w:contextualSpacing/>
        <w:ind w:firstLine="708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5000" w:type="pct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001"/>
        <w:gridCol w:w="1361"/>
        <w:gridCol w:w="1434"/>
        <w:gridCol w:w="1506"/>
        <w:gridCol w:w="1325"/>
      </w:tblGrid>
      <w:tr>
        <w:trPr>
          <w:trHeight w:val="857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Элемент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Интенсивность отказов, год-1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Среднее время восстановления ТВ, ч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Интенсивность преднамеренных отключений. год-1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Среднее время обслуживания ТО, ч</w:t>
            </w:r>
            <w:r>
              <w:rPr>
                <w:highlight w:val="white"/>
              </w:rPr>
            </w:r>
            <w:r/>
          </w:p>
        </w:tc>
      </w:tr>
      <w:tr>
        <w:trPr>
          <w:trHeight w:val="213"/>
          <w:tblHeader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и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одноцепная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двух цепная,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одноцепная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.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,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5.8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Кабельная линия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Две кабельные линии в одной траншее,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Воздушная линия 0,38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, на 1 км длины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Трансформатор с высшим напряжением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22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Трансформатор с высшим напряжением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внутренней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выключателя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КРУП наружной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отделителя (ОД) или коротко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замыкателя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(КЗ)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внутренней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3.5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разъединителя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КРУП наружной установки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3.5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Ячейка предохранителя 6,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2.5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Линейный разъединитель 6.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Шины ОРУ 35, 110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кВ.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на одно присоединение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Шины РУ 6. 10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на одно присоединение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0.16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3308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С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борка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НН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-0,4 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кВ</w:t>
            </w: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 ТП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2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0.007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18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24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0.2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left w:w="28" w:type="dxa"/>
              <w:top w:w="0" w:type="dxa"/>
              <w:right w:w="28" w:type="dxa"/>
              <w:bottom w:w="0" w:type="dxa"/>
            </w:tcMar>
            <w:tcW w:w="1095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val="ru"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Расчет показателей надежности для распределительных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ТП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/0,4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с трансформаторами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 высшим напряжением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Р(0,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(-0,035*0,5)=0,9827;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Q(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0,5)=1-exp(-0,035 *0,5)=0,0173;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0,5)=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(0,5)=0,035* 0,9827=0,03439;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T=1/0,035=28,6 лет.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Расчет показателей надежности для ЛЭП ВЛ-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6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кВ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на 1 км длины.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безотказной работы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Р(0,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5)=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exp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(-0,25*0,5)=0,8825;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появления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Q(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0,5)=1-exp(-0,25* 0,5)=0,1175;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Частота отказа для момента времени t = 6 месяцев: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а(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0,5)=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λP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(0,5)=0,25* 0,8825=0,22063;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Средняя наработка на отказ:</w:t>
      </w:r>
      <w:r>
        <w:rPr>
          <w:highlight w:val="white"/>
        </w:rPr>
      </w:r>
      <w:r/>
    </w:p>
    <w:p>
      <w:pPr>
        <w:contextualSpacing/>
        <w:ind w:firstLine="709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T=1/0,25= 4 года.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оценки надежности объектов многоразового использования используются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дополнительные показатели, учитывающие также процессы восстановления (ремонта) элементов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(объектов).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Параметр потока отказов ω(t) - математическое ожидание числа отказов, происшедших за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единицу времени, начиная с момента t при условии, что все элементы, вышедшие из строя,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заменяются работоспособными, т. е. число наблюдаемых элементов сохраняется одинаковым 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процессе эксплуатации.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экспоненциального закона надежности интенсивность и параметр потока отказов не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зависят от времени и совпадают, т. е.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(t) 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ω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(t)=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ω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=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const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 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восстановления S(t) - вероятность того, что отказавший элемент будет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восстановлен в течение заданного времени t, т. е. вероятность своевременного завершения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ремонта.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)≤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1,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(0)=0,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val="en-US" w:eastAsia="ru-RU"/>
        </w:rPr>
        <w:t xml:space="preserve">S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(∞)=1.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Для определения величины S(t) используется следующая статистическая оценка:</w:t>
      </w:r>
      <w:r>
        <w:rPr>
          <w:highlight w:val="white"/>
        </w:rPr>
      </w:r>
      <w:r/>
    </w:p>
    <w:p>
      <w:pPr>
        <w:contextualSpacing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S(t)=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/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(0),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где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(0) – число элементов, поставленных на восстановление в начальный момент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t = 0;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Nв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– число элементов, время восстановления которых оказалось меньше заданного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времени t, т. е. восстановленных на интервале (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0,t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).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Вероятность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невосстановления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(несвоевременного завершения ремонта) G(t)- вероятность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того, что отказавший элемент не будет восстановлен в течение заданного времени t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0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center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z w:val="28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en-US"/>
        </w:rPr>
        <w:t xml:space="preserve">IX.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val="ru-RU"/>
        </w:rPr>
        <w:t xml:space="preserve"> </w:t>
      </w:r>
      <w:r>
        <w:rPr>
          <w:rFonts w:ascii="Liberation Serif" w:hAnsi="Liberation Serif" w:eastAsia="Liberation Serif" w:cs="Liberation Serif"/>
          <w:b/>
          <w:sz w:val="28"/>
          <w:highlight w:val="white"/>
        </w:rPr>
      </w:r>
      <w:bookmarkStart w:id="50" w:name="_Toc118822283"/>
      <w:r>
        <w:rPr>
          <w:rFonts w:ascii="Liberation Serif" w:hAnsi="Liberation Serif" w:eastAsia="Liberation Serif" w:cs="Liberation Serif"/>
          <w:b/>
          <w:sz w:val="28"/>
          <w:highlight w:val="white"/>
        </w:rPr>
        <w:t xml:space="preserve">Оценка капитальных вложений в новое строительство, реконструкцию и модернизацию объектов систем электроснабжения</w:t>
      </w:r>
      <w:bookmarkEnd w:id="50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9.1.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51" w:name="_Toc118822284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Мероприятия по строительству, реконструкции и модернизации сетей электроснабжения</w:t>
      </w:r>
      <w:bookmarkEnd w:id="51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рамках проведения ежегодного капитального ремонта электросетевого хозяйства ООО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«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Ямал-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Энерго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»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планируется капитальный ремонт объектов систем электроснабжения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9.2. </w:t>
      </w:r>
      <w:r>
        <w:rPr>
          <w:rFonts w:ascii="Liberation Serif" w:hAnsi="Liberation Serif" w:eastAsia="Liberation Serif" w:cs="Liberation Serif"/>
          <w:sz w:val="28"/>
          <w:highlight w:val="white"/>
        </w:rPr>
      </w:r>
      <w:bookmarkStart w:id="52" w:name="_Toc118822285"/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Мероприятия по строительству, реконструкции и модернизации распред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елительных пунктов и подстанций.</w:t>
      </w:r>
      <w:bookmarkEnd w:id="52"/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рамках реализации различных муниципальных программ в ближайшие годы планируется увеличение потребляемой электрической энергии, с учетом отсутствия резерва мощности на существующей электрической станции в 2023 году планируется приобретение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трех дизель-генераторов мощностью по 400 кВт, которые будут установлены на существующей электростанции.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9.3. </w:t>
      </w:r>
      <w:r>
        <w:rPr>
          <w:rFonts w:ascii="Liberation Serif" w:hAnsi="Liberation Serif" w:eastAsia="Liberation Serif" w:cs="Liberation Serif"/>
          <w:sz w:val="28"/>
          <w:highlight w:val="white"/>
        </w:rPr>
        <w:t xml:space="preserve">Оценка величины необходимых капитальных вложений в строительство, реконструкцию и модернизацию объектов системы электроснабжения.</w:t>
      </w:r>
      <w:r>
        <w:rPr>
          <w:highlight w:val="white"/>
        </w:rPr>
      </w:r>
      <w:r/>
    </w:p>
    <w:p>
      <w:pPr>
        <w:contextualSpacing/>
        <w:ind w:firstLine="709"/>
        <w:jc w:val="both"/>
        <w:spacing w:after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Оценка величины необходимых капитальных вложений в строительство, реконструкцию и модернизацию объектов системы электроснабжения на территории с. Ратта произведена на основании данных реализации различных муниципальных программ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и средств, включаемых в тариф электроэнергии, </w:t>
      </w:r>
      <w:r>
        <w:rPr>
          <w:rFonts w:ascii="Liberation Serif" w:hAnsi="Liberation Serif" w:eastAsia="Liberation Serif" w:cs="Liberation Serif"/>
          <w:sz w:val="28"/>
          <w:szCs w:val="28"/>
          <w:highlight w:val="white"/>
          <w:lang w:eastAsia="ru-RU"/>
        </w:rPr>
        <w:t xml:space="preserve">в рамках проведения ежегодного капитального ремонта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. </w:t>
      </w:r>
      <w:r>
        <w:rPr>
          <w:highlight w:val="white"/>
        </w:rPr>
      </w:r>
      <w:r/>
    </w:p>
    <w:p>
      <w:pPr>
        <w:ind w:firstLine="708"/>
        <w:jc w:val="both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В таблице 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begin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instrText xml:space="preserve"> REF _Ref116566416 \h  \* MERGEFORMAT </w:instrTex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separate"/>
      </w:r>
      <w:r>
        <w:rPr>
          <w:rFonts w:ascii="Liberation Serif" w:hAnsi="Liberation Serif" w:eastAsia="Liberation Serif" w:cs="Liberation Serif"/>
          <w:vanish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color w:val="000000" w:themeColor="text1"/>
          <w:sz w:val="28"/>
          <w:szCs w:val="24"/>
          <w:highlight w:val="white"/>
        </w:rPr>
        <w:t xml:space="preserve">11</w:t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fldChar w:fldCharType="end"/>
      </w: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  <w:t xml:space="preserve"> приведены сведения о величине необходимых капитальных вложений в строительство, реконструкцию и модернизацию объектов системы электроснабжения</w:t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color w:val="000000"/>
          <w:sz w:val="28"/>
          <w:szCs w:val="24"/>
          <w:highlight w:val="white"/>
        </w:rPr>
        <w:sectPr>
          <w:footnotePr/>
          <w:endnotePr/>
          <w:type w:val="nextPage"/>
          <w:pgSz w:w="11906" w:h="16838" w:orient="portrait"/>
          <w:pgMar w:top="680" w:right="851" w:bottom="1701" w:left="1135" w:header="709" w:footer="709" w:gutter="0"/>
          <w:cols w:num="1" w:sep="0" w:space="708" w:equalWidth="1"/>
          <w:docGrid w:linePitch="360"/>
        </w:sectPr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</w:r>
      <w:r>
        <w:rPr>
          <w:highlight w:val="white"/>
        </w:rPr>
      </w:r>
      <w:r/>
    </w:p>
    <w:p>
      <w:pPr>
        <w:contextualSpacing/>
        <w:ind w:firstLine="0"/>
        <w:jc w:val="right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</w:rPr>
      </w:pP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Таблица 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begin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instrText xml:space="preserve"> SEQ Таблица \* ARABIC </w:instrTex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separate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11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fldChar w:fldCharType="end"/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.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 С</w:t>
      </w:r>
      <w:r>
        <w:rPr>
          <w:rFonts w:ascii="Liberation Serif" w:hAnsi="Liberation Serif" w:eastAsia="Liberation Serif" w:cs="Liberation Serif"/>
          <w:b/>
          <w:color w:val="000000" w:themeColor="text1"/>
          <w:sz w:val="28"/>
          <w:szCs w:val="24"/>
          <w:highlight w:val="white"/>
        </w:rPr>
        <w:t xml:space="preserve">ведения о величине необходимых капитальных вложений в </w:t>
      </w:r>
      <w:r>
        <w:rPr>
          <w:rFonts w:ascii="Liberation Serif" w:hAnsi="Liberation Serif" w:eastAsia="Liberation Serif" w:cs="Liberation Serif"/>
          <w:b/>
          <w:spacing w:val="-1"/>
          <w:sz w:val="28"/>
          <w:szCs w:val="24"/>
          <w:highlight w:val="white"/>
          <w:lang w:eastAsia="ru-RU"/>
        </w:rPr>
        <w:t xml:space="preserve">строительство, реконструкцию и модернизацию объектов системы электроснабжения</w:t>
      </w:r>
      <w:r>
        <w:rPr>
          <w:highlight w:val="white"/>
        </w:rPr>
      </w:r>
      <w:r/>
    </w:p>
    <w:p>
      <w:pPr>
        <w:contextualSpacing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sz w:val="28"/>
          <w:highlight w:val="white"/>
        </w:rPr>
      </w:pPr>
      <w:r>
        <w:rPr>
          <w:rFonts w:ascii="Liberation Serif" w:hAnsi="Liberation Serif" w:eastAsia="Liberation Serif" w:cs="Liberation Serif"/>
          <w:spacing w:val="-1"/>
          <w:sz w:val="28"/>
          <w:szCs w:val="24"/>
          <w:highlight w:val="white"/>
          <w:lang w:eastAsia="ru-RU"/>
        </w:rPr>
      </w:r>
      <w:r>
        <w:rPr>
          <w:highlight w:val="white"/>
        </w:rPr>
      </w:r>
      <w:r/>
    </w:p>
    <w:tbl>
      <w:tblPr>
        <w:tblW w:w="1456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4A0" w:firstRow="1" w:lastRow="0" w:firstColumn="1" w:lastColumn="0" w:noHBand="0" w:noVBand="1"/>
      </w:tblPr>
      <w:tblGrid>
        <w:gridCol w:w="5524"/>
        <w:gridCol w:w="1134"/>
        <w:gridCol w:w="992"/>
        <w:gridCol w:w="992"/>
        <w:gridCol w:w="1134"/>
        <w:gridCol w:w="992"/>
        <w:gridCol w:w="1007"/>
        <w:gridCol w:w="929"/>
        <w:gridCol w:w="929"/>
        <w:gridCol w:w="932"/>
      </w:tblGrid>
      <w:tr>
        <w:trPr>
          <w:trHeight w:val="20"/>
        </w:trPr>
        <w:tc>
          <w:tcPr>
            <w:shd w:val="clear" w:color="ffffff" w:fill="ffffff"/>
            <w:tcW w:w="552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Наименование мероприятия</w:t>
            </w:r>
            <w:r>
              <w:rPr>
                <w:highlight w:val="white"/>
              </w:rPr>
            </w:r>
            <w:r/>
          </w:p>
        </w:tc>
        <w:tc>
          <w:tcPr>
            <w:gridSpan w:val="9"/>
            <w:shd w:val="clear" w:color="ffffff" w:fill="ffffff"/>
            <w:tcW w:w="9041" w:type="dxa"/>
            <w:vAlign w:val="bottom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highlight w:val="white"/>
                <w:lang w:eastAsia="ru-RU"/>
              </w:rPr>
              <w:t xml:space="preserve">График реализации проекта, тыс. руб. (без НДС)</w:t>
            </w:r>
            <w:r>
              <w:rPr>
                <w:highlight w:val="white"/>
              </w:rPr>
            </w:r>
            <w:r/>
          </w:p>
        </w:tc>
      </w:tr>
      <w:tr>
        <w:trPr>
          <w:trHeight w:val="465"/>
        </w:trPr>
        <w:tc>
          <w:tcPr>
            <w:tcW w:w="5524" w:type="dxa"/>
            <w:vAlign w:val="center"/>
            <w:vMerge w:val="continue"/>
            <w:textDirection w:val="lrTb"/>
            <w:noWrap w:val="false"/>
          </w:tcPr>
          <w:p>
            <w:pPr>
              <w:spacing w:after="0" w:line="240" w:lineRule="auto"/>
              <w:rPr>
                <w:rFonts w:ascii="Times New Roman" w:hAnsi="Times New Roman" w:eastAsia="Times New Roman" w:cs="Times New Roman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ВСЕГО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2021 (факт)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2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2026-2030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2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2031-2035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3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2036-2038</w:t>
            </w:r>
            <w:r>
              <w:rPr>
                <w:highlight w:val="white"/>
              </w:rPr>
            </w:r>
            <w:r/>
          </w:p>
        </w:tc>
      </w:tr>
      <w:tr>
        <w:trPr>
          <w:trHeight w:val="258"/>
        </w:trPr>
        <w:tc>
          <w:tcPr>
            <w:tcW w:w="552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0"/>
                <w:szCs w:val="20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sz w:val="20"/>
                <w:szCs w:val="20"/>
                <w:highlight w:val="white"/>
                <w:lang w:eastAsia="ru-RU"/>
              </w:rPr>
              <w:t xml:space="preserve">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3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07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2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8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2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3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color w:val="000000"/>
                <w:sz w:val="20"/>
                <w:szCs w:val="20"/>
                <w:highlight w:val="white"/>
                <w:lang w:eastAsia="ru-RU"/>
              </w:rPr>
              <w:t xml:space="preserve">10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552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Прио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бретение трех дизель-генераторов мощностью 400 кВт каждый для нужд ООО "Ямал-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Энерго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"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30 000,00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30 000,00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2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2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3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0,00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552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Капитальный ремонт электросетевого хозяйства ООО "Ямал-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Энерго</w:t>
            </w: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" в рамках проведения ежегодного капитального ремонта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31 832,65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1 328,30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1 371,57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1 416,24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1 462,36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1 509,99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2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1 772,44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2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2 080,51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3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sz w:val="20"/>
                <w:szCs w:val="20"/>
                <w:highlight w:val="white"/>
                <w:lang w:eastAsia="ru-RU"/>
              </w:rPr>
              <w:t xml:space="preserve">2 290,49</w:t>
            </w:r>
            <w:r>
              <w:rPr>
                <w:highlight w:val="white"/>
              </w:rPr>
            </w:r>
            <w:r/>
          </w:p>
        </w:tc>
      </w:tr>
      <w:tr>
        <w:trPr>
          <w:trHeight w:val="20"/>
        </w:trPr>
        <w:tc>
          <w:tcPr>
            <w:shd w:val="clear" w:color="ffffff" w:fill="ffffff"/>
            <w:tcW w:w="5524" w:type="dxa"/>
            <w:vAlign w:val="center"/>
            <w:textDirection w:val="lrTb"/>
            <w:noWrap w:val="false"/>
          </w:tcPr>
          <w:p>
            <w:pPr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Итого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61 832,65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1 328,30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1 371,57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134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31 416,24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9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1 462,36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1007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1 509,99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2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1 772,44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29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2 080,51</w:t>
            </w:r>
            <w:r>
              <w:rPr>
                <w:highlight w:val="white"/>
              </w:rPr>
            </w:r>
            <w:r/>
          </w:p>
        </w:tc>
        <w:tc>
          <w:tcPr>
            <w:shd w:val="clear" w:color="ffffff" w:fill="ffffff"/>
            <w:tcW w:w="932" w:type="dxa"/>
            <w:vAlign w:val="center"/>
            <w:textDirection w:val="lrTb"/>
            <w:noWrap w:val="false"/>
          </w:tcPr>
          <w:p>
            <w:pPr>
              <w:jc w:val="center"/>
              <w:spacing w:before="0" w:beforeAutospacing="0" w:after="0" w:afterAutospacing="0" w:line="240" w:lineRule="auto"/>
              <w:rPr>
                <w:rFonts w:ascii="Liberation Serif" w:hAnsi="Liberation Serif" w:eastAsia="Liberation Serif" w:cs="Liberation Serif"/>
                <w:highlight w:val="white"/>
              </w:rPr>
            </w:pPr>
            <w:r>
              <w:rPr>
                <w:rFonts w:ascii="Liberation Serif" w:hAnsi="Liberation Serif" w:eastAsia="Liberation Serif" w:cs="Liberation Serif"/>
                <w:b/>
                <w:bCs/>
                <w:sz w:val="20"/>
                <w:szCs w:val="20"/>
                <w:highlight w:val="white"/>
                <w:lang w:eastAsia="ru-RU"/>
              </w:rPr>
              <w:t xml:space="preserve">2 290,49</w:t>
            </w:r>
            <w:r>
              <w:rPr>
                <w:highlight w:val="white"/>
              </w:rPr>
            </w:r>
            <w:r/>
          </w:p>
        </w:tc>
      </w:tr>
    </w:tbl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b/>
          <w:spacing w:val="-1"/>
          <w:sz w:val="24"/>
          <w:szCs w:val="24"/>
          <w:highlight w:val="white"/>
          <w:lang w:eastAsia="ru-RU"/>
        </w:rPr>
      </w:r>
      <w:r>
        <w:rPr>
          <w:highlight w:val="white"/>
        </w:rPr>
      </w:r>
      <w:r/>
    </w:p>
    <w:p>
      <w:pPr>
        <w:contextualSpacing/>
        <w:ind w:firstLine="709"/>
        <w:jc w:val="both"/>
        <w:spacing w:before="0" w:beforeAutospacing="0" w:after="0" w:afterAutospacing="0" w:line="240" w:lineRule="auto"/>
        <w:rPr>
          <w:rFonts w:ascii="Liberation Serif" w:hAnsi="Liberation Serif" w:eastAsia="Liberation Serif" w:cs="Liberation Serif"/>
          <w:highlight w:val="white"/>
        </w:rPr>
      </w:pPr>
      <w:r>
        <w:rPr>
          <w:rFonts w:ascii="Liberation Serif" w:hAnsi="Liberation Serif" w:eastAsia="Liberation Serif" w:cs="Liberation Serif"/>
          <w:sz w:val="28"/>
          <w:highlight w:val="white"/>
        </w:rPr>
      </w:r>
      <w:r>
        <w:rPr>
          <w:highlight w:val="white"/>
        </w:rPr>
      </w:r>
      <w:r/>
    </w:p>
    <w:sectPr>
      <w:footnotePr/>
      <w:endnotePr/>
      <w:type w:val="nextPage"/>
      <w:pgSz w:w="16838" w:h="11906" w:orient="landscape"/>
      <w:pgMar w:top="1135" w:right="680" w:bottom="851" w:left="1701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10000000000000000"/>
  </w:font>
  <w:font w:name="Symbol">
    <w:panose1 w:val="05010000000000000000"/>
  </w:font>
  <w:font w:name="Arial CYR">
    <w:panose1 w:val="020B0604020202020204"/>
  </w:font>
  <w:font w:name="Cambria">
    <w:panose1 w:val="02040503050406030204"/>
  </w:font>
  <w:font w:name="Courier New">
    <w:panose1 w:val="02070309020205020404"/>
  </w:font>
  <w:font w:name="Mangal">
    <w:panose1 w:val="02040503050406030204"/>
  </w:font>
  <w:font w:name="Verdana">
    <w:panose1 w:val="020B0604030504040204"/>
  </w:font>
  <w:font w:name="Andale Sans UI">
    <w:panose1 w:val="02000603000000000000"/>
  </w:font>
  <w:font w:name="Microsoft Sans Serif">
    <w:panose1 w:val="020B0604020202020204"/>
  </w:font>
  <w:font w:name="Liberation Serif">
    <w:panose1 w:val="02020603050405020304"/>
  </w:font>
  <w:font w:name="MS Gothic">
    <w:panose1 w:val="020B06060202020A0204"/>
  </w:font>
  <w:font w:name="Tahoma">
    <w:panose1 w:val="020B0604030504040204"/>
  </w:font>
  <w:font w:name="Calibri">
    <w:panose1 w:val="020F0502020204030204"/>
  </w:font>
  <w:font w:name="SimSun">
    <w:panose1 w:val="02000603000000000000"/>
  </w:font>
  <w:font w:name="Times New Roman">
    <w:panose1 w:val="02020603050405020304"/>
  </w:font>
  <w:font w:name="Arial Unicode MS">
    <w:panose1 w:val="020B0604020202020204"/>
  </w:font>
  <w:font w:name="Arial">
    <w:panose1 w:val="020B060402020202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24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22"/>
      <w:jc w:val="center"/>
    </w:pPr>
    <w:fldSimple w:instr="PAGE \* MERGEFORMAT">
      <w:r>
        <w:t xml:space="preserve">1</w:t>
      </w:r>
    </w:fldSimple>
    <w:r/>
    <w:r/>
  </w:p>
  <w:p>
    <w:pPr>
      <w:pStyle w:val="1022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22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22"/>
      <w:jc w:val="center"/>
      <w:rPr>
        <w:rFonts w:ascii="Liberation Serif" w:hAnsi="Liberation Serif" w:cs="Liberation Serif"/>
        <w:sz w:val="24"/>
        <w:szCs w:val="24"/>
      </w:rPr>
    </w:pPr>
    <w:fldSimple w:instr="PAGE \* MERGEFORMAT">
      <w:r>
        <w:rPr>
          <w:rFonts w:ascii="Liberation Serif" w:hAnsi="Liberation Serif" w:cs="Liberation Serif"/>
          <w:sz w:val="24"/>
          <w:szCs w:val="24"/>
        </w:rPr>
        <w:t xml:space="preserve">1</w:t>
      </w:r>
    </w:fldSimple>
    <w:r>
      <w:rPr>
        <w:rFonts w:ascii="Liberation Serif" w:hAnsi="Liberation Serif" w:cs="Liberation Serif"/>
        <w:sz w:val="24"/>
        <w:szCs w:val="24"/>
      </w:rPr>
    </w:r>
    <w:r>
      <w:rPr>
        <w:rFonts w:ascii="Liberation Serif" w:hAnsi="Liberation Serif" w:cs="Liberation Serif"/>
        <w:sz w:val="24"/>
        <w:szCs w:val="24"/>
      </w:rPr>
    </w:r>
  </w:p>
  <w:p>
    <w:pPr>
      <w:pStyle w:val="1022"/>
    </w:pPr>
    <w:r/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1022"/>
      <w:jc w:val="center"/>
      <w:rPr>
        <w:rFonts w:ascii="Liberation Serif" w:hAnsi="Liberation Serif" w:cs="Liberation Serif"/>
        <w:sz w:val="24"/>
        <w:szCs w:val="24"/>
      </w:rPr>
    </w:pPr>
    <w:fldSimple w:instr="PAGE \* MERGEFORMAT">
      <w:r>
        <w:rPr>
          <w:rFonts w:ascii="Liberation Serif" w:hAnsi="Liberation Serif" w:cs="Liberation Serif"/>
          <w:sz w:val="24"/>
          <w:szCs w:val="24"/>
        </w:rPr>
        <w:t xml:space="preserve">1</w:t>
      </w:r>
    </w:fldSimple>
    <w:r>
      <w:rPr>
        <w:rFonts w:ascii="Liberation Serif" w:hAnsi="Liberation Serif" w:cs="Liberation Serif"/>
        <w:sz w:val="24"/>
        <w:szCs w:val="24"/>
      </w:rPr>
    </w:r>
    <w:r>
      <w:rPr>
        <w:rFonts w:ascii="Liberation Serif" w:hAnsi="Liberation Serif" w:cs="Liberation Serif"/>
        <w:sz w:val="24"/>
        <w:szCs w:val="24"/>
      </w:rPr>
    </w:r>
  </w:p>
  <w:p>
    <w:pPr>
      <w:pStyle w:val="1022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pStyle w:val="1120"/>
      <w:isLgl w:val="false"/>
      <w:suff w:val="tab"/>
      <w:lvlText w:val="%1."/>
      <w:lvlJc w:val="left"/>
      <w:pPr>
        <w:ind w:left="8997" w:hanging="360"/>
        <w:tabs>
          <w:tab w:val="num" w:pos="8997" w:leader="none"/>
        </w:tabs>
      </w:p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1">
    <w:multiLevelType w:val="hybridMultilevel"/>
    <w:lvl w:ilvl="0">
      <w:start w:val="1"/>
      <w:numFmt w:val="bullet"/>
      <w:pStyle w:val="1263"/>
      <w:isLgl w:val="false"/>
      <w:suff w:val="tab"/>
      <w:lvlText w:val="•"/>
      <w:lvlJc w:val="left"/>
      <w:pPr>
        <w:ind w:left="1311" w:hanging="360"/>
      </w:pPr>
      <w:rPr>
        <w:rFonts w:hint="default" w:ascii="Calibri" w:hAnsi="Calibri" w:eastAsia="Times New Roman" w:cs="Times New Roman"/>
        <w:color w:val="auto"/>
      </w:rPr>
    </w:lvl>
    <w:lvl w:ilvl="1">
      <w:start w:val="1"/>
      <w:numFmt w:val="lowerLetter"/>
      <w:isLgl w:val="false"/>
      <w:suff w:val="tab"/>
      <w:lvlText w:val="%2."/>
      <w:lvlJc w:val="left"/>
      <w:pPr>
        <w:ind w:left="203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5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7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19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91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3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5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71" w:hanging="180"/>
      </w:pPr>
    </w:lvl>
  </w:abstractNum>
  <w:abstractNum w:abstractNumId="2">
    <w:multiLevelType w:val="hybridMultilevel"/>
    <w:lvl w:ilvl="0">
      <w:start w:val="1"/>
      <w:numFmt w:val="decimal"/>
      <w:pStyle w:val="997"/>
      <w:isLgl w:val="false"/>
      <w:suff w:val="tab"/>
      <w:lvlText w:val="%1."/>
      <w:lvlJc w:val="left"/>
      <w:pPr>
        <w:ind w:left="363" w:hanging="363"/>
      </w:pPr>
      <w:rPr>
        <w:rFonts w:hint="default"/>
      </w:rPr>
    </w:lvl>
    <w:lvl w:ilvl="1">
      <w:start w:val="1"/>
      <w:numFmt w:val="decimal"/>
      <w:pStyle w:val="998"/>
      <w:isLgl/>
      <w:suff w:val="tab"/>
      <w:lvlText w:val="%1.%2."/>
      <w:lvlJc w:val="left"/>
      <w:pPr>
        <w:ind w:left="80" w:hanging="363"/>
      </w:pPr>
      <w:rPr>
        <w:rFonts w:hint="default" w:ascii="Times New Roman" w:hAnsi="Times New Roman" w:cs="Times New Roman"/>
        <w:b/>
        <w:bCs w:val="0"/>
        <w:i/>
        <w:iCs w:val="0"/>
        <w:caps w:val="0"/>
        <w:smallCaps w:val="0"/>
        <w:strike w:val="0"/>
        <w:vanish w:val="0"/>
        <w:color w:val="000000"/>
        <w:spacing w:val="0"/>
        <w:position w:val="0"/>
        <w:szCs w:val="0"/>
        <w:u w:val="none"/>
        <w:vertAlign w:val="baseline"/>
      </w:rPr>
    </w:lvl>
    <w:lvl w:ilvl="2">
      <w:start w:val="1"/>
      <w:numFmt w:val="decimal"/>
      <w:pStyle w:val="999"/>
      <w:isLgl/>
      <w:suff w:val="tab"/>
      <w:lvlText w:val="%1.%2.%3."/>
      <w:lvlJc w:val="left"/>
      <w:pPr>
        <w:ind w:left="363" w:hanging="363"/>
      </w:pPr>
      <w:rPr>
        <w:rFonts w:hint="default"/>
      </w:rPr>
    </w:lvl>
    <w:lvl w:ilvl="3">
      <w:start w:val="1"/>
      <w:numFmt w:val="decimal"/>
      <w:pStyle w:val="1000"/>
      <w:isLgl/>
      <w:suff w:val="tab"/>
      <w:lvlText w:val="%1.%2.%3.%4."/>
      <w:lvlJc w:val="left"/>
      <w:pPr>
        <w:ind w:left="363" w:hanging="363"/>
        <w:tabs>
          <w:tab w:val="num" w:pos="0" w:leader="none"/>
        </w:tabs>
      </w:pPr>
      <w:rPr>
        <w:rFonts w:hint="default"/>
      </w:rPr>
    </w:lvl>
    <w:lvl w:ilvl="4">
      <w:start w:val="1"/>
      <w:numFmt w:val="decimal"/>
      <w:lvlRestart w:val="1"/>
      <w:pStyle w:val="1006"/>
      <w:isLgl/>
      <w:suff w:val="tab"/>
      <w:lvlText w:val="Рисунок %1-%5."/>
      <w:lvlJc w:val="left"/>
      <w:pPr>
        <w:ind w:left="3766" w:hanging="363"/>
      </w:pPr>
      <w:rPr>
        <w:rFonts w:ascii="Times New Roman" w:hAnsi="Times New Roman" w:cs="Times New Roman"/>
        <w:b w:val="0"/>
        <w:bCs w:val="0"/>
        <w:i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pStyle w:val="1001"/>
      <w:isLgl/>
      <w:suff w:val="tab"/>
      <w:lvlText w:val="Таблица %1-%6."/>
      <w:lvlJc w:val="left"/>
      <w:pPr>
        <w:ind w:left="363" w:hanging="363"/>
      </w:pPr>
      <w:rPr>
        <w:rFonts w:hint="default"/>
        <w:b w:val="0"/>
        <w:i w:val="0"/>
      </w:rPr>
    </w:lvl>
    <w:lvl w:ilvl="6">
      <w:start w:val="1"/>
      <w:numFmt w:val="decimal"/>
      <w:pStyle w:val="1002"/>
      <w:isLgl/>
      <w:suff w:val="tab"/>
      <w:lvlText w:val="Таблица %1.%2-%7."/>
      <w:lvlJc w:val="left"/>
      <w:pPr>
        <w:ind w:left="1498" w:hanging="363"/>
      </w:pPr>
      <w:rPr>
        <w:rFonts w:hint="default" w:ascii="Times New Roman" w:hAnsi="Times New Roman" w:cs="Times New Roman"/>
        <w:b w:val="0"/>
        <w:bCs w:val="0"/>
        <w:i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</w:rPr>
    </w:lvl>
    <w:lvl w:ilvl="7">
      <w:start w:val="1"/>
      <w:numFmt w:val="decimal"/>
      <w:pStyle w:val="1003"/>
      <w:isLgl/>
      <w:suff w:val="tab"/>
      <w:lvlText w:val="Таблица %1.%2.%3-%8."/>
      <w:lvlJc w:val="left"/>
      <w:pPr>
        <w:ind w:left="363" w:hanging="363"/>
      </w:pPr>
      <w:rPr>
        <w:rFonts w:ascii="Times New Roman" w:hAnsi="Times New Roman" w:cs="Times New Roman"/>
        <w:b w:val="0"/>
        <w:bCs w:val="0"/>
        <w:i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pStyle w:val="1005"/>
      <w:isLgl/>
      <w:suff w:val="tab"/>
      <w:lvlText w:val="Таблица %1.%2.%3.%4-%9."/>
      <w:lvlJc w:val="left"/>
      <w:pPr>
        <w:ind w:left="363" w:hanging="363"/>
      </w:pPr>
      <w:rPr>
        <w:rFonts w:hint="default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vanish w:val="0"/>
        <w:color w:val="000000"/>
        <w:spacing w:val="0"/>
        <w:position w:val="0"/>
        <w:u w:val="none"/>
        <w:vertAlign w:val="baseline"/>
        <w14:textOutline w14:w="0" w14:cap="rnd" w14:cmpd="sng" w14:algn="ctr">
          <w14:noFill/>
          <w14:prstDash w14:val="solid"/>
          <w14:bevel/>
        </w14:textOutline>
      </w:rPr>
    </w:lvl>
  </w:abstractNum>
  <w:abstractNum w:abstractNumId="3">
    <w:multiLevelType w:val="hybridMultilevel"/>
    <w:lvl w:ilvl="0">
      <w:start w:val="1"/>
      <w:numFmt w:val="decimal"/>
      <w:pStyle w:val="1049"/>
      <w:isLgl w:val="false"/>
      <w:suff w:val="tab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7"/>
      <w:numFmt w:val="decimal"/>
      <w:isLgl/>
      <w:suff w:val="tab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pStyle w:val="933"/>
      <w:isLgl w:val="false"/>
      <w:suff w:val="tab"/>
      <w:lvlText w:val="Раздел %1."/>
      <w:lvlJc w:val="left"/>
      <w:pPr>
        <w:ind w:left="0" w:firstLine="0"/>
      </w:pPr>
      <w:rPr>
        <w:rFonts w:hint="default"/>
      </w:rPr>
    </w:lvl>
    <w:lvl w:ilvl="1">
      <w:start w:val="1"/>
      <w:numFmt w:val="decimalZero"/>
      <w:pStyle w:val="934"/>
      <w:isLgl/>
      <w:suff w:val="tab"/>
      <w:lvlText w:val="Раздел %1.%2"/>
      <w:lvlJc w:val="left"/>
      <w:pPr>
        <w:ind w:left="0" w:firstLine="0"/>
      </w:pPr>
      <w:rPr>
        <w:rFonts w:hint="default"/>
      </w:rPr>
    </w:lvl>
    <w:lvl w:ilvl="2">
      <w:start w:val="1"/>
      <w:numFmt w:val="lowerLetter"/>
      <w:pStyle w:val="935"/>
      <w:isLgl w:val="false"/>
      <w:suff w:val="tab"/>
      <w:lvlText w:val="(%3)"/>
      <w:lvlJc w:val="left"/>
      <w:pPr>
        <w:ind w:left="720" w:hanging="432"/>
      </w:pPr>
      <w:rPr>
        <w:rFonts w:hint="default"/>
      </w:rPr>
    </w:lvl>
    <w:lvl w:ilvl="3">
      <w:start w:val="1"/>
      <w:numFmt w:val="lowerRoman"/>
      <w:pStyle w:val="936"/>
      <w:isLgl w:val="false"/>
      <w:suff w:val="tab"/>
      <w:lvlText w:val="(%4)"/>
      <w:lvlJc w:val="right"/>
      <w:pPr>
        <w:ind w:left="864" w:hanging="144"/>
      </w:pPr>
      <w:rPr>
        <w:rFonts w:hint="default"/>
      </w:rPr>
    </w:lvl>
    <w:lvl w:ilvl="4">
      <w:start w:val="1"/>
      <w:numFmt w:val="decimal"/>
      <w:pStyle w:val="937"/>
      <w:isLgl w:val="false"/>
      <w:suff w:val="tab"/>
      <w:lvlText w:val="%5)"/>
      <w:lvlJc w:val="left"/>
      <w:pPr>
        <w:ind w:left="1008" w:hanging="432"/>
      </w:pPr>
      <w:rPr>
        <w:rFonts w:hint="default"/>
      </w:rPr>
    </w:lvl>
    <w:lvl w:ilvl="5">
      <w:start w:val="1"/>
      <w:numFmt w:val="lowerLetter"/>
      <w:pStyle w:val="938"/>
      <w:isLgl w:val="false"/>
      <w:suff w:val="tab"/>
      <w:lvlText w:val="%6)"/>
      <w:lvlJc w:val="left"/>
      <w:pPr>
        <w:ind w:left="1152" w:hanging="432"/>
      </w:pPr>
      <w:rPr>
        <w:rFonts w:hint="default"/>
      </w:rPr>
    </w:lvl>
    <w:lvl w:ilvl="6">
      <w:start w:val="1"/>
      <w:numFmt w:val="lowerRoman"/>
      <w:pStyle w:val="939"/>
      <w:isLgl w:val="false"/>
      <w:suff w:val="tab"/>
      <w:lvlText w:val="%7)"/>
      <w:lvlJc w:val="right"/>
      <w:pPr>
        <w:ind w:left="1296" w:hanging="288"/>
      </w:pPr>
      <w:rPr>
        <w:rFonts w:hint="default"/>
      </w:rPr>
    </w:lvl>
    <w:lvl w:ilvl="7">
      <w:start w:val="1"/>
      <w:numFmt w:val="lowerLetter"/>
      <w:pStyle w:val="940"/>
      <w:isLgl w:val="false"/>
      <w:suff w:val="tab"/>
      <w:lvlText w:val="%8."/>
      <w:lvlJc w:val="left"/>
      <w:pPr>
        <w:ind w:left="1440" w:hanging="432"/>
      </w:pPr>
      <w:rPr>
        <w:rFonts w:hint="default"/>
      </w:rPr>
    </w:lvl>
    <w:lvl w:ilvl="8">
      <w:start w:val="1"/>
      <w:numFmt w:val="lowerRoman"/>
      <w:pStyle w:val="941"/>
      <w:isLgl w:val="false"/>
      <w:suff w:val="tab"/>
      <w:lvlText w:val="%9."/>
      <w:lvlJc w:val="right"/>
      <w:pPr>
        <w:ind w:left="1584" w:hanging="144"/>
      </w:pPr>
      <w:rPr>
        <w:rFonts w:hint="default"/>
      </w:rPr>
    </w:lvl>
  </w:abstractNum>
  <w:abstractNum w:abstractNumId="5">
    <w:multiLevelType w:val="hybridMultilevel"/>
    <w:lvl w:ilvl="0">
      <w:start w:val="18"/>
      <w:numFmt w:val="none"/>
      <w:pStyle w:val="1516"/>
      <w:isLgl w:val="false"/>
      <w:suff w:val="nothing"/>
      <w:lvlText w:val="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1517"/>
      <w:isLgl w:val="false"/>
      <w:suff w:val="tab"/>
      <w:lvlText w:val="%2)"/>
      <w:lvlJc w:val="left"/>
      <w:pPr>
        <w:ind w:left="605" w:hanging="425"/>
        <w:tabs>
          <w:tab w:val="num" w:pos="605" w:leader="none"/>
        </w:tabs>
      </w:pPr>
      <w:rPr>
        <w:rFonts w:hint="default" w:ascii="Times New Roman" w:hAnsi="Times New Roman"/>
        <w:b/>
        <w:i w:val="0"/>
        <w:color w:val="auto"/>
        <w:sz w:val="24"/>
        <w:szCs w:val="24"/>
      </w:rPr>
    </w:lvl>
    <w:lvl w:ilvl="2">
      <w:start w:val="1"/>
      <w:numFmt w:val="russianLower"/>
      <w:isLgl w:val="false"/>
      <w:suff w:val="tab"/>
      <w:lvlText w:val="%3)"/>
      <w:lvlJc w:val="left"/>
      <w:pPr>
        <w:ind w:left="425" w:hanging="425"/>
        <w:tabs>
          <w:tab w:val="num" w:pos="425" w:leader="none"/>
        </w:tabs>
      </w:pPr>
      <w:rPr>
        <w:rFonts w:hint="default" w:ascii="Times New Roman" w:hAnsi="Times New Roman"/>
        <w:b/>
        <w:i w:val="0"/>
        <w:sz w:val="24"/>
        <w:szCs w:val="24"/>
      </w:rPr>
    </w:lvl>
    <w:lvl w:ilvl="3">
      <w:start w:val="1"/>
      <w:numFmt w:val="bullet"/>
      <w:pStyle w:val="1517"/>
      <w:isLgl w:val="false"/>
      <w:suff w:val="tab"/>
      <w:lvlText w:val="•"/>
      <w:lvlJc w:val="left"/>
      <w:pPr>
        <w:ind w:left="709" w:hanging="284"/>
        <w:tabs>
          <w:tab w:val="num" w:pos="709" w:leader="none"/>
        </w:tabs>
      </w:pPr>
      <w:rPr>
        <w:rFonts w:hint="default" w:ascii="Times New Roman" w:hAnsi="Times New Roman" w:cs="Times New Roman"/>
        <w:b w:val="0"/>
        <w:i w:val="0"/>
        <w:sz w:val="24"/>
      </w:rPr>
    </w:lvl>
    <w:lvl w:ilvl="4">
      <w:start w:val="1"/>
      <w:numFmt w:val="decimal"/>
      <w:isLgl w:val="false"/>
      <w:suff w:val="tab"/>
      <w:lvlText w:val="%5)"/>
      <w:lvlJc w:val="left"/>
      <w:pPr>
        <w:ind w:left="1069" w:hanging="360"/>
        <w:tabs>
          <w:tab w:val="num" w:pos="1069" w:leader="none"/>
        </w:tabs>
      </w:pPr>
      <w:rPr>
        <w:rFonts w:hint="default"/>
      </w:rPr>
    </w:lvl>
    <w:lvl w:ilvl="5">
      <w:start w:val="1"/>
      <w:numFmt w:val="bullet"/>
      <w:pStyle w:val="1518"/>
      <w:isLgl w:val="false"/>
      <w:suff w:val="tab"/>
      <w:lvlText w:val=""/>
      <w:lvlJc w:val="left"/>
      <w:pPr>
        <w:ind w:left="851" w:firstLine="0"/>
        <w:tabs>
          <w:tab w:val="num" w:pos="709" w:leader="none"/>
        </w:tabs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"/>
      <w:lvlJc w:val="left"/>
      <w:pPr>
        <w:ind w:left="425" w:hanging="368"/>
        <w:tabs>
          <w:tab w:val="num" w:pos="363" w:leader="none"/>
        </w:tabs>
      </w:pPr>
      <w:rPr>
        <w:rFonts w:hint="default" w:ascii="Wingdings" w:hAnsi="Wingdings"/>
      </w:rPr>
    </w:lvl>
    <w:lvl w:ilvl="7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</w:rPr>
    </w:lvl>
    <w:lvl w:ilvl="8">
      <w:start w:val="1"/>
      <w:numFmt w:val="bullet"/>
      <w:isLgl w:val="false"/>
      <w:suff w:val="tab"/>
      <w:lvlText w:val=""/>
      <w:lvlJc w:val="left"/>
      <w:pPr>
        <w:ind w:left="3240" w:hanging="360"/>
        <w:tabs>
          <w:tab w:val="num" w:pos="3240" w:leader="none"/>
        </w:tabs>
      </w:pPr>
      <w:rPr>
        <w:rFonts w:hint="default" w:ascii="Symbol" w:hAnsi="Symbol"/>
      </w:rPr>
    </w:lvl>
  </w:abstractNum>
  <w:abstractNum w:abstractNumId="6">
    <w:multiLevelType w:val="hybridMultilevel"/>
    <w:lvl w:ilvl="0">
      <w:start w:val="1"/>
      <w:numFmt w:val="bullet"/>
      <w:pStyle w:val="1032"/>
      <w:isLgl w:val="false"/>
      <w:suff w:val="tab"/>
      <w:lvlText w:val=""/>
      <w:lvlJc w:val="left"/>
      <w:pPr>
        <w:ind w:left="1429" w:hanging="360"/>
      </w:pPr>
      <w:rPr>
        <w:rFonts w:hint="default" w:ascii="Symbol" w:hAnsi="Symbol"/>
        <w:color w:val="auto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7">
    <w:multiLevelType w:val="hybridMultilevel"/>
    <w:lvl w:ilvl="0">
      <w:start w:val="1"/>
      <w:numFmt w:val="decimal"/>
      <w:pStyle w:val="1007"/>
      <w:isLgl w:val="false"/>
      <w:suff w:val="tab"/>
      <w:lvlText w:val=""/>
      <w:lvlJc w:val="left"/>
      <w:pPr/>
    </w:lvl>
    <w:lvl w:ilvl="1">
      <w:start w:val="1"/>
      <w:numFmt w:val="decimal"/>
      <w:isLgl w:val="false"/>
      <w:suff w:val="tab"/>
      <w:lvlText w:val=""/>
      <w:lvlJc w:val="left"/>
      <w:pPr/>
    </w:lvl>
    <w:lvl w:ilvl="2">
      <w:start w:val="1"/>
      <w:numFmt w:val="decimal"/>
      <w:isLgl w:val="false"/>
      <w:suff w:val="tab"/>
      <w:lvlText w:val=""/>
      <w:lvlJc w:val="left"/>
      <w:pPr/>
    </w:lvl>
    <w:lvl w:ilvl="3">
      <w:start w:val="1"/>
      <w:numFmt w:val="decimal"/>
      <w:isLgl w:val="false"/>
      <w:suff w:val="tab"/>
      <w:lvlText w:val=""/>
      <w:lvlJc w:val="left"/>
      <w:pPr/>
    </w:lvl>
    <w:lvl w:ilvl="4">
      <w:start w:val="1"/>
      <w:numFmt w:val="decimal"/>
      <w:isLgl w:val="false"/>
      <w:suff w:val="tab"/>
      <w:lvlText w:val=""/>
      <w:lvlJc w:val="left"/>
      <w:pPr/>
    </w:lvl>
    <w:lvl w:ilvl="5">
      <w:start w:val="1"/>
      <w:numFmt w:val="decimal"/>
      <w:isLgl w:val="false"/>
      <w:suff w:val="tab"/>
      <w:lvlText w:val=""/>
      <w:lvlJc w:val="left"/>
      <w:pPr/>
    </w:lvl>
    <w:lvl w:ilvl="6">
      <w:start w:val="1"/>
      <w:numFmt w:val="decimal"/>
      <w:isLgl w:val="false"/>
      <w:suff w:val="tab"/>
      <w:lvlText w:val=""/>
      <w:lvlJc w:val="left"/>
      <w:pPr/>
    </w:lvl>
    <w:lvl w:ilvl="7">
      <w:start w:val="1"/>
      <w:numFmt w:val="decimal"/>
      <w:isLgl w:val="false"/>
      <w:suff w:val="tab"/>
      <w:lvlText w:val=""/>
      <w:lvlJc w:val="left"/>
      <w:pPr/>
    </w:lvl>
    <w:lvl w:ilvl="8">
      <w:start w:val="1"/>
      <w:numFmt w:val="decimal"/>
      <w:isLgl w:val="false"/>
      <w:suff w:val="tab"/>
      <w:lvlText w:val=""/>
      <w:lvlJc w:val="left"/>
      <w:pPr/>
    </w:lvl>
  </w:abstractNum>
  <w:abstractNum w:abstractNumId="8">
    <w:multiLevelType w:val="hybridMultilevel"/>
    <w:lvl w:ilvl="0">
      <w:start w:val="1"/>
      <w:numFmt w:val="bullet"/>
      <w:pStyle w:val="1008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decimal"/>
      <w:isLgl w:val="false"/>
      <w:suff w:val="tab"/>
      <w:lvlText w:val="%1.%2."/>
      <w:lvlJc w:val="left"/>
      <w:pPr/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decimal"/>
      <w:isLgl w:val="false"/>
      <w:suff w:val="tab"/>
      <w:lvlText w:val="%1.%2."/>
      <w:lvlJc w:val="left"/>
      <w:pPr/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1">
    <w:multiLevelType w:val="hybridMultilevel"/>
    <w:lvl w:ilvl="0">
      <w:start w:val="1"/>
      <w:numFmt w:val="decimal"/>
      <w:pStyle w:val="933"/>
      <w:isLgl w:val="false"/>
      <w:suff w:val="tab"/>
      <w:lvlText w:val="Раздел %1."/>
      <w:lvlJc w:val="left"/>
      <w:pPr>
        <w:ind w:left="0" w:firstLine="0"/>
      </w:pPr>
      <w:rPr>
        <w:rFonts w:hint="default"/>
      </w:rPr>
    </w:lvl>
    <w:lvl w:ilvl="1">
      <w:start w:val="1"/>
      <w:numFmt w:val="decimalZero"/>
      <w:pStyle w:val="934"/>
      <w:isLgl/>
      <w:suff w:val="tab"/>
      <w:lvlText w:val="Раздел %1.%2"/>
      <w:lvlJc w:val="left"/>
      <w:pPr>
        <w:ind w:left="0" w:firstLine="0"/>
      </w:pPr>
      <w:rPr>
        <w:rFonts w:hint="default"/>
      </w:rPr>
    </w:lvl>
    <w:lvl w:ilvl="2">
      <w:start w:val="1"/>
      <w:numFmt w:val="lowerLetter"/>
      <w:pStyle w:val="935"/>
      <w:isLgl w:val="false"/>
      <w:suff w:val="tab"/>
      <w:lvlText w:val="(%3)"/>
      <w:lvlJc w:val="left"/>
      <w:pPr>
        <w:ind w:left="720" w:hanging="432"/>
      </w:pPr>
      <w:rPr>
        <w:rFonts w:hint="default"/>
      </w:rPr>
    </w:lvl>
    <w:lvl w:ilvl="3">
      <w:start w:val="1"/>
      <w:numFmt w:val="lowerRoman"/>
      <w:pStyle w:val="936"/>
      <w:isLgl w:val="false"/>
      <w:suff w:val="tab"/>
      <w:lvlText w:val="(%4)"/>
      <w:lvlJc w:val="right"/>
      <w:pPr>
        <w:ind w:left="864" w:hanging="144"/>
      </w:pPr>
      <w:rPr>
        <w:rFonts w:hint="default"/>
      </w:rPr>
    </w:lvl>
    <w:lvl w:ilvl="4">
      <w:start w:val="1"/>
      <w:numFmt w:val="decimal"/>
      <w:pStyle w:val="937"/>
      <w:isLgl w:val="false"/>
      <w:suff w:val="tab"/>
      <w:lvlText w:val="%5)"/>
      <w:lvlJc w:val="left"/>
      <w:pPr>
        <w:ind w:left="1008" w:hanging="432"/>
      </w:pPr>
      <w:rPr>
        <w:rFonts w:hint="default"/>
      </w:rPr>
    </w:lvl>
    <w:lvl w:ilvl="5">
      <w:start w:val="1"/>
      <w:numFmt w:val="lowerLetter"/>
      <w:pStyle w:val="938"/>
      <w:isLgl w:val="false"/>
      <w:suff w:val="tab"/>
      <w:lvlText w:val="%6)"/>
      <w:lvlJc w:val="left"/>
      <w:pPr>
        <w:ind w:left="1152" w:hanging="432"/>
      </w:pPr>
      <w:rPr>
        <w:rFonts w:hint="default"/>
      </w:rPr>
    </w:lvl>
    <w:lvl w:ilvl="6">
      <w:start w:val="1"/>
      <w:numFmt w:val="lowerRoman"/>
      <w:pStyle w:val="939"/>
      <w:isLgl w:val="false"/>
      <w:suff w:val="tab"/>
      <w:lvlText w:val="%7)"/>
      <w:lvlJc w:val="right"/>
      <w:pPr>
        <w:ind w:left="1296" w:hanging="288"/>
      </w:pPr>
      <w:rPr>
        <w:rFonts w:hint="default"/>
      </w:rPr>
    </w:lvl>
    <w:lvl w:ilvl="7">
      <w:start w:val="1"/>
      <w:numFmt w:val="lowerLetter"/>
      <w:pStyle w:val="940"/>
      <w:isLgl w:val="false"/>
      <w:suff w:val="tab"/>
      <w:lvlText w:val="%8."/>
      <w:lvlJc w:val="left"/>
      <w:pPr>
        <w:ind w:left="1440" w:hanging="432"/>
      </w:pPr>
      <w:rPr>
        <w:rFonts w:hint="default"/>
      </w:rPr>
    </w:lvl>
    <w:lvl w:ilvl="8">
      <w:start w:val="1"/>
      <w:numFmt w:val="lowerRoman"/>
      <w:pStyle w:val="941"/>
      <w:isLgl w:val="false"/>
      <w:suff w:val="tab"/>
      <w:lvlText w:val="%9."/>
      <w:lvlJc w:val="right"/>
      <w:pPr>
        <w:ind w:left="1584" w:hanging="144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decimal"/>
      <w:isLgl w:val="false"/>
      <w:suff w:val="tab"/>
      <w:lvlText w:val="%1.%2."/>
      <w:lvlJc w:val="left"/>
      <w:pPr/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3">
    <w:multiLevelType w:val="hybridMultilevel"/>
    <w:lvl w:ilvl="0">
      <w:start w:val="1"/>
      <w:numFmt w:val="decimal"/>
      <w:pStyle w:val="933"/>
      <w:isLgl w:val="false"/>
      <w:suff w:val="tab"/>
      <w:lvlText w:val="Раздел %1."/>
      <w:lvlJc w:val="left"/>
      <w:pPr>
        <w:ind w:left="0" w:firstLine="0"/>
      </w:pPr>
      <w:rPr>
        <w:rFonts w:hint="default"/>
      </w:rPr>
    </w:lvl>
    <w:lvl w:ilvl="1">
      <w:start w:val="1"/>
      <w:numFmt w:val="decimalZero"/>
      <w:pStyle w:val="934"/>
      <w:isLgl/>
      <w:suff w:val="tab"/>
      <w:lvlText w:val="Раздел %1.%2"/>
      <w:lvlJc w:val="left"/>
      <w:pPr>
        <w:ind w:left="0" w:firstLine="0"/>
      </w:pPr>
      <w:rPr>
        <w:rFonts w:hint="default"/>
      </w:rPr>
    </w:lvl>
    <w:lvl w:ilvl="2">
      <w:start w:val="1"/>
      <w:numFmt w:val="lowerLetter"/>
      <w:pStyle w:val="935"/>
      <w:isLgl w:val="false"/>
      <w:suff w:val="tab"/>
      <w:lvlText w:val="(%3)"/>
      <w:lvlJc w:val="left"/>
      <w:pPr>
        <w:ind w:left="720" w:hanging="432"/>
      </w:pPr>
      <w:rPr>
        <w:rFonts w:hint="default"/>
      </w:rPr>
    </w:lvl>
    <w:lvl w:ilvl="3">
      <w:start w:val="1"/>
      <w:numFmt w:val="lowerRoman"/>
      <w:pStyle w:val="936"/>
      <w:isLgl w:val="false"/>
      <w:suff w:val="tab"/>
      <w:lvlText w:val="(%4)"/>
      <w:lvlJc w:val="right"/>
      <w:pPr>
        <w:ind w:left="864" w:hanging="144"/>
      </w:pPr>
      <w:rPr>
        <w:rFonts w:hint="default"/>
      </w:rPr>
    </w:lvl>
    <w:lvl w:ilvl="4">
      <w:start w:val="1"/>
      <w:numFmt w:val="decimal"/>
      <w:pStyle w:val="937"/>
      <w:isLgl w:val="false"/>
      <w:suff w:val="tab"/>
      <w:lvlText w:val="%5)"/>
      <w:lvlJc w:val="left"/>
      <w:pPr>
        <w:ind w:left="1008" w:hanging="432"/>
      </w:pPr>
      <w:rPr>
        <w:rFonts w:hint="default"/>
      </w:rPr>
    </w:lvl>
    <w:lvl w:ilvl="5">
      <w:start w:val="1"/>
      <w:numFmt w:val="lowerLetter"/>
      <w:pStyle w:val="938"/>
      <w:isLgl w:val="false"/>
      <w:suff w:val="tab"/>
      <w:lvlText w:val="%6)"/>
      <w:lvlJc w:val="left"/>
      <w:pPr>
        <w:ind w:left="1152" w:hanging="432"/>
      </w:pPr>
      <w:rPr>
        <w:rFonts w:hint="default"/>
      </w:rPr>
    </w:lvl>
    <w:lvl w:ilvl="6">
      <w:start w:val="1"/>
      <w:numFmt w:val="lowerRoman"/>
      <w:pStyle w:val="939"/>
      <w:isLgl w:val="false"/>
      <w:suff w:val="tab"/>
      <w:lvlText w:val="%7)"/>
      <w:lvlJc w:val="right"/>
      <w:pPr>
        <w:ind w:left="1296" w:hanging="288"/>
      </w:pPr>
      <w:rPr>
        <w:rFonts w:hint="default"/>
      </w:rPr>
    </w:lvl>
    <w:lvl w:ilvl="7">
      <w:start w:val="1"/>
      <w:numFmt w:val="lowerLetter"/>
      <w:pStyle w:val="940"/>
      <w:isLgl w:val="false"/>
      <w:suff w:val="tab"/>
      <w:lvlText w:val="%8."/>
      <w:lvlJc w:val="left"/>
      <w:pPr>
        <w:ind w:left="1440" w:hanging="432"/>
      </w:pPr>
      <w:rPr>
        <w:rFonts w:hint="default"/>
      </w:rPr>
    </w:lvl>
    <w:lvl w:ilvl="8">
      <w:start w:val="1"/>
      <w:numFmt w:val="lowerRoman"/>
      <w:pStyle w:val="941"/>
      <w:isLgl w:val="false"/>
      <w:suff w:val="tab"/>
      <w:lvlText w:val="%9."/>
      <w:lvlJc w:val="right"/>
      <w:pPr>
        <w:ind w:left="1584" w:hanging="144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pStyle w:val="933"/>
      <w:isLgl w:val="false"/>
      <w:suff w:val="tab"/>
      <w:lvlText w:val="Раздел %1."/>
      <w:lvlJc w:val="left"/>
      <w:pPr>
        <w:ind w:left="0" w:firstLine="0"/>
      </w:pPr>
      <w:rPr>
        <w:rFonts w:hint="default"/>
      </w:rPr>
    </w:lvl>
    <w:lvl w:ilvl="1">
      <w:start w:val="1"/>
      <w:numFmt w:val="decimalZero"/>
      <w:pStyle w:val="934"/>
      <w:isLgl/>
      <w:suff w:val="tab"/>
      <w:lvlText w:val="Раздел %1.%2"/>
      <w:lvlJc w:val="left"/>
      <w:pPr>
        <w:ind w:left="0" w:firstLine="0"/>
      </w:pPr>
      <w:rPr>
        <w:rFonts w:hint="default"/>
      </w:rPr>
    </w:lvl>
    <w:lvl w:ilvl="2">
      <w:start w:val="1"/>
      <w:numFmt w:val="lowerLetter"/>
      <w:pStyle w:val="935"/>
      <w:isLgl w:val="false"/>
      <w:suff w:val="tab"/>
      <w:lvlText w:val="(%3)"/>
      <w:lvlJc w:val="left"/>
      <w:pPr>
        <w:ind w:left="720" w:hanging="432"/>
      </w:pPr>
      <w:rPr>
        <w:rFonts w:hint="default"/>
      </w:rPr>
    </w:lvl>
    <w:lvl w:ilvl="3">
      <w:start w:val="1"/>
      <w:numFmt w:val="lowerRoman"/>
      <w:pStyle w:val="936"/>
      <w:isLgl w:val="false"/>
      <w:suff w:val="tab"/>
      <w:lvlText w:val="(%4)"/>
      <w:lvlJc w:val="right"/>
      <w:pPr>
        <w:ind w:left="864" w:hanging="144"/>
      </w:pPr>
      <w:rPr>
        <w:rFonts w:hint="default"/>
      </w:rPr>
    </w:lvl>
    <w:lvl w:ilvl="4">
      <w:start w:val="1"/>
      <w:numFmt w:val="decimal"/>
      <w:pStyle w:val="937"/>
      <w:isLgl w:val="false"/>
      <w:suff w:val="tab"/>
      <w:lvlText w:val="%5)"/>
      <w:lvlJc w:val="left"/>
      <w:pPr>
        <w:ind w:left="1008" w:hanging="432"/>
      </w:pPr>
      <w:rPr>
        <w:rFonts w:hint="default"/>
      </w:rPr>
    </w:lvl>
    <w:lvl w:ilvl="5">
      <w:start w:val="1"/>
      <w:numFmt w:val="lowerLetter"/>
      <w:pStyle w:val="938"/>
      <w:isLgl w:val="false"/>
      <w:suff w:val="tab"/>
      <w:lvlText w:val="%6)"/>
      <w:lvlJc w:val="left"/>
      <w:pPr>
        <w:ind w:left="1152" w:hanging="432"/>
      </w:pPr>
      <w:rPr>
        <w:rFonts w:hint="default"/>
      </w:rPr>
    </w:lvl>
    <w:lvl w:ilvl="6">
      <w:start w:val="1"/>
      <w:numFmt w:val="lowerRoman"/>
      <w:pStyle w:val="939"/>
      <w:isLgl w:val="false"/>
      <w:suff w:val="tab"/>
      <w:lvlText w:val="%7)"/>
      <w:lvlJc w:val="right"/>
      <w:pPr>
        <w:ind w:left="1296" w:hanging="288"/>
      </w:pPr>
      <w:rPr>
        <w:rFonts w:hint="default"/>
      </w:rPr>
    </w:lvl>
    <w:lvl w:ilvl="7">
      <w:start w:val="1"/>
      <w:numFmt w:val="lowerLetter"/>
      <w:pStyle w:val="940"/>
      <w:isLgl w:val="false"/>
      <w:suff w:val="tab"/>
      <w:lvlText w:val="%8."/>
      <w:lvlJc w:val="left"/>
      <w:pPr>
        <w:ind w:left="1440" w:hanging="432"/>
      </w:pPr>
      <w:rPr>
        <w:rFonts w:hint="default"/>
      </w:rPr>
    </w:lvl>
    <w:lvl w:ilvl="8">
      <w:start w:val="1"/>
      <w:numFmt w:val="lowerRoman"/>
      <w:pStyle w:val="941"/>
      <w:isLgl w:val="false"/>
      <w:suff w:val="tab"/>
      <w:lvlText w:val="%9."/>
      <w:lvlJc w:val="right"/>
      <w:pPr>
        <w:ind w:left="1584" w:hanging="144"/>
      </w:pPr>
      <w:rPr>
        <w:rFonts w:hint="default"/>
      </w:rPr>
    </w:lvl>
  </w:abstractNum>
  <w:abstractNum w:abstractNumId="15">
    <w:multiLevelType w:val="hybridMultilevel"/>
    <w:lvl w:ilvl="0">
      <w:start w:val="1"/>
      <w:numFmt w:val="bullet"/>
      <w:isLgl w:val="false"/>
      <w:suff w:val="tab"/>
      <w:lvlText w:val=""/>
      <w:lvlJc w:val="left"/>
      <w:pPr>
        <w:ind w:left="1429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49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9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9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9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9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9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9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9" w:hanging="360"/>
      </w:pPr>
      <w:rPr>
        <w:rFonts w:hint="default" w:ascii="Wingdings" w:hAnsi="Wingdings"/>
      </w:r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decimal"/>
      <w:isLgl w:val="false"/>
      <w:suff w:val="tab"/>
      <w:lvlText w:val="%1.%2."/>
      <w:lvlJc w:val="left"/>
      <w:pPr/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8">
    <w:multiLevelType w:val="hybridMultilevel"/>
    <w:lvl w:ilvl="0">
      <w:start w:val="1"/>
      <w:numFmt w:val="decimal"/>
      <w:pStyle w:val="933"/>
      <w:isLgl w:val="false"/>
      <w:suff w:val="tab"/>
      <w:lvlText w:val="Раздел %1."/>
      <w:lvlJc w:val="left"/>
      <w:pPr>
        <w:ind w:left="0" w:firstLine="0"/>
      </w:pPr>
      <w:rPr>
        <w:rFonts w:hint="default"/>
      </w:rPr>
    </w:lvl>
    <w:lvl w:ilvl="1">
      <w:start w:val="1"/>
      <w:numFmt w:val="decimalZero"/>
      <w:pStyle w:val="934"/>
      <w:isLgl/>
      <w:suff w:val="tab"/>
      <w:lvlText w:val="Раздел %1.%2"/>
      <w:lvlJc w:val="left"/>
      <w:pPr>
        <w:ind w:left="0" w:firstLine="0"/>
      </w:pPr>
      <w:rPr>
        <w:rFonts w:hint="default"/>
      </w:rPr>
    </w:lvl>
    <w:lvl w:ilvl="2">
      <w:start w:val="1"/>
      <w:numFmt w:val="lowerLetter"/>
      <w:pStyle w:val="935"/>
      <w:isLgl w:val="false"/>
      <w:suff w:val="tab"/>
      <w:lvlText w:val="(%3)"/>
      <w:lvlJc w:val="left"/>
      <w:pPr>
        <w:ind w:left="720" w:hanging="432"/>
      </w:pPr>
      <w:rPr>
        <w:rFonts w:hint="default"/>
      </w:rPr>
    </w:lvl>
    <w:lvl w:ilvl="3">
      <w:start w:val="1"/>
      <w:numFmt w:val="lowerRoman"/>
      <w:pStyle w:val="936"/>
      <w:isLgl w:val="false"/>
      <w:suff w:val="tab"/>
      <w:lvlText w:val="(%4)"/>
      <w:lvlJc w:val="right"/>
      <w:pPr>
        <w:ind w:left="864" w:hanging="144"/>
      </w:pPr>
      <w:rPr>
        <w:rFonts w:hint="default"/>
      </w:rPr>
    </w:lvl>
    <w:lvl w:ilvl="4">
      <w:start w:val="1"/>
      <w:numFmt w:val="decimal"/>
      <w:pStyle w:val="937"/>
      <w:isLgl w:val="false"/>
      <w:suff w:val="tab"/>
      <w:lvlText w:val="%5)"/>
      <w:lvlJc w:val="left"/>
      <w:pPr>
        <w:ind w:left="1008" w:hanging="432"/>
      </w:pPr>
      <w:rPr>
        <w:rFonts w:hint="default"/>
      </w:rPr>
    </w:lvl>
    <w:lvl w:ilvl="5">
      <w:start w:val="1"/>
      <w:numFmt w:val="lowerLetter"/>
      <w:pStyle w:val="938"/>
      <w:isLgl w:val="false"/>
      <w:suff w:val="tab"/>
      <w:lvlText w:val="%6)"/>
      <w:lvlJc w:val="left"/>
      <w:pPr>
        <w:ind w:left="1152" w:hanging="432"/>
      </w:pPr>
      <w:rPr>
        <w:rFonts w:hint="default"/>
      </w:rPr>
    </w:lvl>
    <w:lvl w:ilvl="6">
      <w:start w:val="1"/>
      <w:numFmt w:val="lowerRoman"/>
      <w:pStyle w:val="939"/>
      <w:isLgl w:val="false"/>
      <w:suff w:val="tab"/>
      <w:lvlText w:val="%7)"/>
      <w:lvlJc w:val="right"/>
      <w:pPr>
        <w:ind w:left="1296" w:hanging="288"/>
      </w:pPr>
      <w:rPr>
        <w:rFonts w:hint="default"/>
      </w:rPr>
    </w:lvl>
    <w:lvl w:ilvl="7">
      <w:start w:val="1"/>
      <w:numFmt w:val="lowerLetter"/>
      <w:pStyle w:val="940"/>
      <w:isLgl w:val="false"/>
      <w:suff w:val="tab"/>
      <w:lvlText w:val="%8."/>
      <w:lvlJc w:val="left"/>
      <w:pPr>
        <w:ind w:left="1440" w:hanging="432"/>
      </w:pPr>
      <w:rPr>
        <w:rFonts w:hint="default"/>
      </w:rPr>
    </w:lvl>
    <w:lvl w:ilvl="8">
      <w:start w:val="1"/>
      <w:numFmt w:val="lowerRoman"/>
      <w:pStyle w:val="941"/>
      <w:isLgl w:val="false"/>
      <w:suff w:val="tab"/>
      <w:lvlText w:val="%9."/>
      <w:lvlJc w:val="right"/>
      <w:pPr>
        <w:ind w:left="1584" w:hanging="144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/>
      <w:rPr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20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20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4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20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26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20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7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20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8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20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9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20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30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20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31">
    <w:multiLevelType w:val="hybridMultilevel"/>
    <w:lvl w:ilvl="0">
      <w:start w:val="1"/>
      <w:numFmt w:val="bullet"/>
      <w:isLgl w:val="false"/>
      <w:suff w:val="tab"/>
      <w:lvlText w:val="·"/>
      <w:lvlJc w:val="left"/>
      <w:pPr>
        <w:ind w:left="720" w:hanging="360"/>
      </w:pPr>
      <w:rPr>
        <w:rFonts w:hint="default" w:ascii="Symbol" w:hAnsi="Symbol" w:eastAsia="Symbol" w:cs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32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20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33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20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34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20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35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36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20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37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20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38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9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20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num w:numId="1">
    <w:abstractNumId w:val="4"/>
  </w:num>
  <w:num w:numId="2">
    <w:abstractNumId w:val="4"/>
    <w:lvlOverride w:ilvl="0">
      <w:lvl w:ilvl="0">
        <w:start w:val="1"/>
        <w:numFmt w:val="decimal"/>
        <w:pStyle w:val="933"/>
        <w:isLgl w:val="false"/>
        <w:suff w:val="tab"/>
        <w:lvlText w:val="Раздел %1."/>
        <w:lvlJc w:val="left"/>
        <w:pPr>
          <w:ind w:left="0" w:firstLine="0"/>
        </w:pPr>
        <w:rPr>
          <w:rFonts w:hint="default"/>
        </w:rPr>
      </w:lvl>
    </w:lvlOverride>
    <w:lvlOverride w:ilvl="1">
      <w:lvl w:ilvl="1">
        <w:start w:val="1"/>
        <w:numFmt w:val="decimal"/>
        <w:lvlRestart w:val="0"/>
        <w:pStyle w:val="934"/>
        <w:isLgl w:val="false"/>
        <w:suff w:val="tab"/>
        <w:lvlText w:val="%1.%2"/>
        <w:lvlJc w:val="left"/>
        <w:pPr>
          <w:ind w:left="0" w:firstLine="0"/>
        </w:pPr>
        <w:rPr>
          <w:rFonts w:hint="default"/>
        </w:rPr>
      </w:lvl>
    </w:lvlOverride>
    <w:lvlOverride w:ilvl="2">
      <w:lvl w:ilvl="2">
        <w:start w:val="1"/>
        <w:numFmt w:val="lowerLetter"/>
        <w:pStyle w:val="935"/>
        <w:isLgl w:val="false"/>
        <w:suff w:val="tab"/>
        <w:lvlText w:val="(%3)"/>
        <w:lvlJc w:val="left"/>
        <w:pPr>
          <w:ind w:left="720" w:hanging="432"/>
        </w:pPr>
        <w:rPr>
          <w:rFonts w:hint="default"/>
        </w:rPr>
      </w:lvl>
    </w:lvlOverride>
    <w:lvlOverride w:ilvl="3">
      <w:lvl w:ilvl="3">
        <w:start w:val="1"/>
        <w:numFmt w:val="lowerRoman"/>
        <w:pStyle w:val="936"/>
        <w:isLgl w:val="false"/>
        <w:suff w:val="tab"/>
        <w:lvlText w:val="(%4)"/>
        <w:lvlJc w:val="right"/>
        <w:pPr>
          <w:ind w:left="864" w:hanging="144"/>
        </w:pPr>
        <w:rPr>
          <w:rFonts w:hint="default"/>
        </w:rPr>
      </w:lvl>
    </w:lvlOverride>
    <w:lvlOverride w:ilvl="4">
      <w:lvl w:ilvl="4">
        <w:start w:val="1"/>
        <w:numFmt w:val="decimal"/>
        <w:pStyle w:val="937"/>
        <w:isLgl w:val="false"/>
        <w:suff w:val="tab"/>
        <w:lvlText w:val="%5)"/>
        <w:lvlJc w:val="left"/>
        <w:pPr>
          <w:ind w:left="1008" w:hanging="432"/>
        </w:pPr>
        <w:rPr>
          <w:rFonts w:hint="default"/>
        </w:rPr>
      </w:lvl>
    </w:lvlOverride>
    <w:lvlOverride w:ilvl="5">
      <w:lvl w:ilvl="5">
        <w:start w:val="1"/>
        <w:numFmt w:val="lowerLetter"/>
        <w:pStyle w:val="938"/>
        <w:isLgl w:val="false"/>
        <w:suff w:val="tab"/>
        <w:lvlText w:val="%6)"/>
        <w:lvlJc w:val="left"/>
        <w:pPr>
          <w:ind w:left="1152" w:hanging="432"/>
        </w:pPr>
        <w:rPr>
          <w:rFonts w:hint="default"/>
        </w:rPr>
      </w:lvl>
    </w:lvlOverride>
    <w:lvlOverride w:ilvl="6">
      <w:lvl w:ilvl="6">
        <w:start w:val="1"/>
        <w:numFmt w:val="lowerRoman"/>
        <w:pStyle w:val="939"/>
        <w:isLgl w:val="false"/>
        <w:suff w:val="tab"/>
        <w:lvlText w:val="%7)"/>
        <w:lvlJc w:val="right"/>
        <w:pPr>
          <w:ind w:left="1296" w:hanging="288"/>
        </w:pPr>
        <w:rPr>
          <w:rFonts w:hint="default"/>
        </w:rPr>
      </w:lvl>
    </w:lvlOverride>
    <w:lvlOverride w:ilvl="7">
      <w:lvl w:ilvl="7">
        <w:start w:val="1"/>
        <w:numFmt w:val="lowerLetter"/>
        <w:pStyle w:val="940"/>
        <w:isLgl w:val="false"/>
        <w:suff w:val="tab"/>
        <w:lvlText w:val="%8."/>
        <w:lvlJc w:val="left"/>
        <w:pPr>
          <w:ind w:left="1440" w:hanging="432"/>
        </w:pPr>
        <w:rPr>
          <w:rFonts w:hint="default"/>
        </w:rPr>
      </w:lvl>
    </w:lvlOverride>
    <w:lvlOverride w:ilvl="8">
      <w:lvl w:ilvl="8">
        <w:start w:val="1"/>
        <w:numFmt w:val="lowerRoman"/>
        <w:pStyle w:val="941"/>
        <w:isLgl w:val="false"/>
        <w:suff w:val="tab"/>
        <w:lvlText w:val="%9."/>
        <w:lvlJc w:val="right"/>
        <w:pPr>
          <w:ind w:left="1584" w:hanging="144"/>
        </w:pPr>
        <w:rPr>
          <w:rFonts w:hint="default"/>
        </w:rPr>
      </w:lvl>
    </w:lvlOverride>
  </w:num>
  <w:num w:numId="3">
    <w:abstractNumId w:val="2"/>
  </w:num>
  <w:num w:numId="4">
    <w:abstractNumId w:val="7"/>
  </w:num>
  <w:num w:numId="5">
    <w:abstractNumId w:val="8"/>
  </w:num>
  <w:num w:numId="6">
    <w:abstractNumId w:val="6"/>
  </w:num>
  <w:num w:numId="7">
    <w:abstractNumId w:val="3"/>
    <w:lvlOverride w:ilvl="0">
      <w:startOverride w:val="1"/>
    </w:lvlOverride>
    <w:lvlOverride w:ilvl="1">
      <w:startOverride w:val="7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</w:num>
  <w:num w:numId="9">
    <w:abstractNumId w:val="1"/>
  </w:num>
  <w:num w:numId="10">
    <w:abstractNumId w:val="5"/>
  </w:num>
  <w:num w:numId="11">
    <w:abstractNumId w:val="9"/>
  </w:num>
  <w:num w:numId="12">
    <w:abstractNumId w:val="10"/>
  </w:num>
  <w:num w:numId="13">
    <w:abstractNumId w:val="11"/>
  </w:num>
  <w:num w:numId="14">
    <w:abstractNumId w:val="11"/>
    <w:lvlOverride w:ilvl="0">
      <w:lvl w:ilvl="0">
        <w:start w:val="1"/>
        <w:numFmt w:val="decimal"/>
        <w:isLgl w:val="false"/>
        <w:suff w:val="tab"/>
        <w:lvlText w:val="Раздел %1."/>
        <w:lvlJc w:val="left"/>
        <w:pPr>
          <w:ind w:left="0" w:firstLine="0"/>
        </w:pPr>
        <w:rPr>
          <w:rFonts w:hint="default"/>
        </w:rPr>
      </w:lvl>
    </w:lvlOverride>
    <w:lvlOverride w:ilvl="1">
      <w:lvl w:ilvl="1">
        <w:start w:val="1"/>
        <w:numFmt w:val="decimal"/>
        <w:lvlRestart w:val="0"/>
        <w:isLgl w:val="false"/>
        <w:suff w:val="tab"/>
        <w:lvlText w:val="%1.%2"/>
        <w:lvlJc w:val="left"/>
        <w:pPr>
          <w:ind w:left="0" w:firstLine="0"/>
        </w:pPr>
        <w:rPr>
          <w:rFonts w:hint="default"/>
        </w:rPr>
      </w:lvl>
    </w:lvlOverride>
    <w:lvlOverride w:ilvl="2">
      <w:lvl w:ilvl="2">
        <w:start w:val="1"/>
        <w:numFmt w:val="lowerLetter"/>
        <w:isLgl w:val="false"/>
        <w:suff w:val="tab"/>
        <w:lvlText w:val="(%3)"/>
        <w:lvlJc w:val="left"/>
        <w:pPr>
          <w:ind w:left="720" w:hanging="432"/>
        </w:pPr>
        <w:rPr>
          <w:rFonts w:hint="default"/>
        </w:rPr>
      </w:lvl>
    </w:lvlOverride>
    <w:lvlOverride w:ilvl="3">
      <w:lvl w:ilvl="3">
        <w:start w:val="1"/>
        <w:numFmt w:val="lowerRoman"/>
        <w:isLgl w:val="false"/>
        <w:suff w:val="tab"/>
        <w:lvlText w:val="(%4)"/>
        <w:lvlJc w:val="right"/>
        <w:pPr>
          <w:ind w:left="864" w:hanging="144"/>
        </w:pPr>
        <w:rPr>
          <w:rFonts w:hint="default"/>
        </w:rPr>
      </w:lvl>
    </w:lvlOverride>
    <w:lvlOverride w:ilvl="4">
      <w:lvl w:ilvl="4">
        <w:start w:val="1"/>
        <w:numFmt w:val="decimal"/>
        <w:isLgl w:val="false"/>
        <w:suff w:val="tab"/>
        <w:lvlText w:val="%5)"/>
        <w:lvlJc w:val="left"/>
        <w:pPr>
          <w:ind w:left="1008" w:hanging="432"/>
        </w:pPr>
        <w:rPr>
          <w:rFonts w:hint="default"/>
        </w:rPr>
      </w:lvl>
    </w:lvlOverride>
    <w:lvlOverride w:ilvl="5">
      <w:lvl w:ilvl="5">
        <w:start w:val="1"/>
        <w:numFmt w:val="lowerLetter"/>
        <w:isLgl w:val="false"/>
        <w:suff w:val="tab"/>
        <w:lvlText w:val="%6)"/>
        <w:lvlJc w:val="left"/>
        <w:pPr>
          <w:ind w:left="1152" w:hanging="432"/>
        </w:pPr>
        <w:rPr>
          <w:rFonts w:hint="default"/>
        </w:rPr>
      </w:lvl>
    </w:lvlOverride>
    <w:lvlOverride w:ilvl="6">
      <w:lvl w:ilvl="6">
        <w:start w:val="1"/>
        <w:numFmt w:val="lowerRoman"/>
        <w:isLgl w:val="false"/>
        <w:suff w:val="tab"/>
        <w:lvlText w:val="%7)"/>
        <w:lvlJc w:val="right"/>
        <w:pPr>
          <w:ind w:left="1296" w:hanging="288"/>
        </w:pPr>
        <w:rPr>
          <w:rFonts w:hint="default"/>
        </w:rPr>
      </w:lvl>
    </w:lvlOverride>
    <w:lvlOverride w:ilvl="7">
      <w:lvl w:ilvl="7">
        <w:start w:val="1"/>
        <w:numFmt w:val="lowerLetter"/>
        <w:isLgl w:val="false"/>
        <w:suff w:val="tab"/>
        <w:lvlText w:val="%8."/>
        <w:lvlJc w:val="left"/>
        <w:pPr>
          <w:ind w:left="1440" w:hanging="432"/>
        </w:pPr>
        <w:rPr>
          <w:rFonts w:hint="default"/>
        </w:rPr>
      </w:lvl>
    </w:lvlOverride>
    <w:lvlOverride w:ilvl="8">
      <w:lvl w:ilvl="8">
        <w:start w:val="1"/>
        <w:numFmt w:val="lowerRoman"/>
        <w:isLgl w:val="false"/>
        <w:suff w:val="tab"/>
        <w:lvlText w:val="%9."/>
        <w:lvlJc w:val="right"/>
        <w:pPr>
          <w:ind w:left="1584" w:hanging="144"/>
        </w:pPr>
        <w:rPr>
          <w:rFonts w:hint="default"/>
        </w:rPr>
      </w:lvl>
    </w:lvlOverride>
  </w:num>
  <w:num w:numId="15">
    <w:abstractNumId w:val="12"/>
  </w:num>
  <w:num w:numId="16">
    <w:abstractNumId w:val="13"/>
  </w:num>
  <w:num w:numId="17">
    <w:abstractNumId w:val="14"/>
  </w:num>
  <w:num w:numId="18">
    <w:abstractNumId w:val="14"/>
    <w:lvlOverride w:ilvl="0">
      <w:lvl w:ilvl="0">
        <w:start w:val="1"/>
        <w:numFmt w:val="decimal"/>
        <w:isLgl w:val="false"/>
        <w:suff w:val="tab"/>
        <w:lvlText w:val="Раздел %1."/>
        <w:lvlJc w:val="left"/>
        <w:pPr>
          <w:ind w:left="0" w:firstLine="0"/>
        </w:pPr>
        <w:rPr>
          <w:rFonts w:hint="default"/>
        </w:rPr>
      </w:lvl>
    </w:lvlOverride>
    <w:lvlOverride w:ilvl="1">
      <w:lvl w:ilvl="1">
        <w:start w:val="1"/>
        <w:numFmt w:val="decimal"/>
        <w:lvlRestart w:val="0"/>
        <w:isLgl w:val="false"/>
        <w:suff w:val="tab"/>
        <w:lvlText w:val="%1.%2"/>
        <w:lvlJc w:val="left"/>
        <w:pPr>
          <w:ind w:left="0" w:firstLine="0"/>
        </w:pPr>
        <w:rPr>
          <w:rFonts w:hint="default"/>
        </w:rPr>
      </w:lvl>
    </w:lvlOverride>
    <w:lvlOverride w:ilvl="2">
      <w:lvl w:ilvl="2">
        <w:start w:val="1"/>
        <w:numFmt w:val="lowerLetter"/>
        <w:isLgl w:val="false"/>
        <w:suff w:val="tab"/>
        <w:lvlText w:val="(%3)"/>
        <w:lvlJc w:val="left"/>
        <w:pPr>
          <w:ind w:left="720" w:hanging="432"/>
        </w:pPr>
        <w:rPr>
          <w:rFonts w:hint="default"/>
        </w:rPr>
      </w:lvl>
    </w:lvlOverride>
    <w:lvlOverride w:ilvl="3">
      <w:lvl w:ilvl="3">
        <w:start w:val="1"/>
        <w:numFmt w:val="lowerRoman"/>
        <w:isLgl w:val="false"/>
        <w:suff w:val="tab"/>
        <w:lvlText w:val="(%4)"/>
        <w:lvlJc w:val="right"/>
        <w:pPr>
          <w:ind w:left="864" w:hanging="144"/>
        </w:pPr>
        <w:rPr>
          <w:rFonts w:hint="default"/>
        </w:rPr>
      </w:lvl>
    </w:lvlOverride>
    <w:lvlOverride w:ilvl="4">
      <w:lvl w:ilvl="4">
        <w:start w:val="1"/>
        <w:numFmt w:val="decimal"/>
        <w:isLgl w:val="false"/>
        <w:suff w:val="tab"/>
        <w:lvlText w:val="%5)"/>
        <w:lvlJc w:val="left"/>
        <w:pPr>
          <w:ind w:left="1008" w:hanging="432"/>
        </w:pPr>
        <w:rPr>
          <w:rFonts w:hint="default"/>
        </w:rPr>
      </w:lvl>
    </w:lvlOverride>
    <w:lvlOverride w:ilvl="5">
      <w:lvl w:ilvl="5">
        <w:start w:val="1"/>
        <w:numFmt w:val="lowerLetter"/>
        <w:isLgl w:val="false"/>
        <w:suff w:val="tab"/>
        <w:lvlText w:val="%6)"/>
        <w:lvlJc w:val="left"/>
        <w:pPr>
          <w:ind w:left="1152" w:hanging="432"/>
        </w:pPr>
        <w:rPr>
          <w:rFonts w:hint="default"/>
        </w:rPr>
      </w:lvl>
    </w:lvlOverride>
    <w:lvlOverride w:ilvl="6">
      <w:lvl w:ilvl="6">
        <w:start w:val="1"/>
        <w:numFmt w:val="lowerRoman"/>
        <w:isLgl w:val="false"/>
        <w:suff w:val="tab"/>
        <w:lvlText w:val="%7)"/>
        <w:lvlJc w:val="right"/>
        <w:pPr>
          <w:ind w:left="1296" w:hanging="288"/>
        </w:pPr>
        <w:rPr>
          <w:rFonts w:hint="default"/>
        </w:rPr>
      </w:lvl>
    </w:lvlOverride>
    <w:lvlOverride w:ilvl="7">
      <w:lvl w:ilvl="7">
        <w:start w:val="1"/>
        <w:numFmt w:val="lowerLetter"/>
        <w:isLgl w:val="false"/>
        <w:suff w:val="tab"/>
        <w:lvlText w:val="%8."/>
        <w:lvlJc w:val="left"/>
        <w:pPr>
          <w:ind w:left="1440" w:hanging="432"/>
        </w:pPr>
        <w:rPr>
          <w:rFonts w:hint="default"/>
        </w:rPr>
      </w:lvl>
    </w:lvlOverride>
    <w:lvlOverride w:ilvl="8">
      <w:lvl w:ilvl="8">
        <w:start w:val="1"/>
        <w:numFmt w:val="lowerRoman"/>
        <w:isLgl w:val="false"/>
        <w:suff w:val="tab"/>
        <w:lvlText w:val="%9."/>
        <w:lvlJc w:val="right"/>
        <w:pPr>
          <w:ind w:left="1584" w:hanging="144"/>
        </w:pPr>
        <w:rPr>
          <w:rFonts w:hint="default"/>
        </w:rPr>
      </w:lvl>
    </w:lvlOverride>
  </w:num>
  <w:num w:numId="19">
    <w:abstractNumId w:val="15"/>
  </w:num>
  <w:num w:numId="20">
    <w:abstractNumId w:val="16"/>
  </w:num>
  <w:num w:numId="21">
    <w:abstractNumId w:val="17"/>
  </w:num>
  <w:num w:numId="22">
    <w:abstractNumId w:val="18"/>
  </w:num>
  <w:num w:numId="23">
    <w:abstractNumId w:val="19"/>
  </w:num>
  <w:num w:numId="24">
    <w:abstractNumId w:val="20"/>
  </w:num>
  <w:num w:numId="25">
    <w:abstractNumId w:val="21"/>
  </w:num>
  <w:num w:numId="26">
    <w:abstractNumId w:val="22"/>
  </w:num>
  <w:num w:numId="27">
    <w:abstractNumId w:val="23"/>
  </w:num>
  <w:num w:numId="28">
    <w:abstractNumId w:val="24"/>
  </w:num>
  <w:num w:numId="29">
    <w:abstractNumId w:val="25"/>
  </w:num>
  <w:num w:numId="30">
    <w:abstractNumId w:val="26"/>
  </w:num>
  <w:num w:numId="31">
    <w:abstractNumId w:val="27"/>
  </w:num>
  <w:num w:numId="32">
    <w:abstractNumId w:val="28"/>
  </w:num>
  <w:num w:numId="33">
    <w:abstractNumId w:val="29"/>
  </w:num>
  <w:num w:numId="34">
    <w:abstractNumId w:val="30"/>
  </w:num>
  <w:num w:numId="35">
    <w:abstractNumId w:val="31"/>
  </w:num>
  <w:num w:numId="36">
    <w:abstractNumId w:val="32"/>
  </w:num>
  <w:num w:numId="37">
    <w:abstractNumId w:val="33"/>
  </w:num>
  <w:num w:numId="38">
    <w:abstractNumId w:val="34"/>
  </w:num>
  <w:num w:numId="39">
    <w:abstractNumId w:val="35"/>
  </w:num>
  <w:num w:numId="40">
    <w:abstractNumId w:val="36"/>
  </w:num>
  <w:num w:numId="41">
    <w:abstractNumId w:val="37"/>
  </w:num>
  <w:num w:numId="42">
    <w:abstractNumId w:val="38"/>
  </w:num>
  <w:num w:numId="43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86">
    <w:name w:val="Heading 1 Char"/>
    <w:basedOn w:val="942"/>
    <w:link w:val="933"/>
    <w:uiPriority w:val="9"/>
    <w:rPr>
      <w:rFonts w:ascii="Arial" w:hAnsi="Arial" w:eastAsia="Arial" w:cs="Arial"/>
      <w:sz w:val="40"/>
      <w:szCs w:val="40"/>
    </w:rPr>
  </w:style>
  <w:style w:type="character" w:styleId="787">
    <w:name w:val="Heading 2 Char"/>
    <w:basedOn w:val="942"/>
    <w:link w:val="934"/>
    <w:uiPriority w:val="9"/>
    <w:rPr>
      <w:rFonts w:ascii="Arial" w:hAnsi="Arial" w:eastAsia="Arial" w:cs="Arial"/>
      <w:sz w:val="34"/>
    </w:rPr>
  </w:style>
  <w:style w:type="character" w:styleId="788">
    <w:name w:val="Heading 3 Char"/>
    <w:basedOn w:val="942"/>
    <w:link w:val="935"/>
    <w:uiPriority w:val="9"/>
    <w:rPr>
      <w:rFonts w:ascii="Arial" w:hAnsi="Arial" w:eastAsia="Arial" w:cs="Arial"/>
      <w:sz w:val="30"/>
      <w:szCs w:val="30"/>
    </w:rPr>
  </w:style>
  <w:style w:type="character" w:styleId="789">
    <w:name w:val="Heading 4 Char"/>
    <w:basedOn w:val="942"/>
    <w:link w:val="936"/>
    <w:uiPriority w:val="9"/>
    <w:rPr>
      <w:rFonts w:ascii="Arial" w:hAnsi="Arial" w:eastAsia="Arial" w:cs="Arial"/>
      <w:b/>
      <w:bCs/>
      <w:sz w:val="26"/>
      <w:szCs w:val="26"/>
    </w:rPr>
  </w:style>
  <w:style w:type="character" w:styleId="790">
    <w:name w:val="Heading 5 Char"/>
    <w:basedOn w:val="942"/>
    <w:link w:val="937"/>
    <w:uiPriority w:val="9"/>
    <w:rPr>
      <w:rFonts w:ascii="Arial" w:hAnsi="Arial" w:eastAsia="Arial" w:cs="Arial"/>
      <w:b/>
      <w:bCs/>
      <w:sz w:val="24"/>
      <w:szCs w:val="24"/>
    </w:rPr>
  </w:style>
  <w:style w:type="character" w:styleId="791">
    <w:name w:val="Heading 6 Char"/>
    <w:basedOn w:val="942"/>
    <w:link w:val="938"/>
    <w:uiPriority w:val="9"/>
    <w:rPr>
      <w:rFonts w:ascii="Arial" w:hAnsi="Arial" w:eastAsia="Arial" w:cs="Arial"/>
      <w:b/>
      <w:bCs/>
      <w:sz w:val="22"/>
      <w:szCs w:val="22"/>
    </w:rPr>
  </w:style>
  <w:style w:type="character" w:styleId="792">
    <w:name w:val="Heading 7 Char"/>
    <w:basedOn w:val="942"/>
    <w:link w:val="939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93">
    <w:name w:val="Heading 8 Char"/>
    <w:basedOn w:val="942"/>
    <w:link w:val="940"/>
    <w:uiPriority w:val="9"/>
    <w:rPr>
      <w:rFonts w:ascii="Arial" w:hAnsi="Arial" w:eastAsia="Arial" w:cs="Arial"/>
      <w:i/>
      <w:iCs/>
      <w:sz w:val="22"/>
      <w:szCs w:val="22"/>
    </w:rPr>
  </w:style>
  <w:style w:type="character" w:styleId="794">
    <w:name w:val="Heading 9 Char"/>
    <w:basedOn w:val="942"/>
    <w:link w:val="941"/>
    <w:uiPriority w:val="9"/>
    <w:rPr>
      <w:rFonts w:ascii="Arial" w:hAnsi="Arial" w:eastAsia="Arial" w:cs="Arial"/>
      <w:i/>
      <w:iCs/>
      <w:sz w:val="21"/>
      <w:szCs w:val="21"/>
    </w:rPr>
  </w:style>
  <w:style w:type="character" w:styleId="795">
    <w:name w:val="Title Char"/>
    <w:basedOn w:val="942"/>
    <w:link w:val="949"/>
    <w:uiPriority w:val="10"/>
    <w:rPr>
      <w:sz w:val="48"/>
      <w:szCs w:val="48"/>
    </w:rPr>
  </w:style>
  <w:style w:type="character" w:styleId="796">
    <w:name w:val="Subtitle Char"/>
    <w:basedOn w:val="942"/>
    <w:link w:val="1114"/>
    <w:uiPriority w:val="11"/>
    <w:rPr>
      <w:sz w:val="24"/>
      <w:szCs w:val="24"/>
    </w:rPr>
  </w:style>
  <w:style w:type="paragraph" w:styleId="797">
    <w:name w:val="Quote"/>
    <w:basedOn w:val="932"/>
    <w:next w:val="932"/>
    <w:link w:val="798"/>
    <w:uiPriority w:val="29"/>
    <w:qFormat/>
    <w:pPr>
      <w:ind w:left="720" w:right="720"/>
    </w:pPr>
    <w:rPr>
      <w:i/>
    </w:rPr>
  </w:style>
  <w:style w:type="character" w:styleId="798">
    <w:name w:val="Quote Char"/>
    <w:link w:val="797"/>
    <w:uiPriority w:val="29"/>
    <w:rPr>
      <w:i/>
    </w:rPr>
  </w:style>
  <w:style w:type="paragraph" w:styleId="799">
    <w:name w:val="Intense Quote"/>
    <w:basedOn w:val="932"/>
    <w:next w:val="932"/>
    <w:link w:val="800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800">
    <w:name w:val="Intense Quote Char"/>
    <w:link w:val="799"/>
    <w:uiPriority w:val="30"/>
    <w:rPr>
      <w:i/>
    </w:rPr>
  </w:style>
  <w:style w:type="character" w:styleId="801">
    <w:name w:val="Header Char"/>
    <w:basedOn w:val="942"/>
    <w:link w:val="1022"/>
    <w:uiPriority w:val="99"/>
  </w:style>
  <w:style w:type="character" w:styleId="802">
    <w:name w:val="Footer Char"/>
    <w:basedOn w:val="942"/>
    <w:link w:val="1024"/>
    <w:uiPriority w:val="99"/>
  </w:style>
  <w:style w:type="character" w:styleId="803">
    <w:name w:val="Caption Char"/>
    <w:basedOn w:val="954"/>
    <w:link w:val="1024"/>
    <w:uiPriority w:val="99"/>
  </w:style>
  <w:style w:type="table" w:styleId="804">
    <w:name w:val="Table Grid Light"/>
    <w:basedOn w:val="94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05">
    <w:name w:val="Plain Table 1"/>
    <w:basedOn w:val="94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06">
    <w:name w:val="Plain Table 2"/>
    <w:basedOn w:val="943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07">
    <w:name w:val="Plain Table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08">
    <w:name w:val="Plain Table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9">
    <w:name w:val="Plain Table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0">
    <w:name w:val="Grid Table 1 Light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1">
    <w:name w:val="Grid Table 1 Light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2">
    <w:name w:val="Grid Table 1 Light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3">
    <w:name w:val="Grid Table 1 Light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4">
    <w:name w:val="Grid Table 1 Light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>
    <w:name w:val="Grid Table 1 Light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6">
    <w:name w:val="Grid Table 1 Light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>
    <w:name w:val="Grid Table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8">
    <w:name w:val="Grid Table 2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9">
    <w:name w:val="Grid Table 2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0">
    <w:name w:val="Grid Table 2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1">
    <w:name w:val="Grid Table 2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2">
    <w:name w:val="Grid Table 2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3">
    <w:name w:val="Grid Table 2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>
    <w:name w:val="Grid Table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>
    <w:name w:val="Grid Table 3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deb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>
    <w:name w:val="Grid Table 3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>
    <w:name w:val="Grid Table 3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>
    <w:name w:val="Grid Table 3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>
    <w:name w:val="Grid Table 3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>
    <w:name w:val="Grid Table 3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>
    <w:name w:val="Grid Table 4"/>
    <w:basedOn w:val="9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2">
    <w:name w:val="Grid Table 4 - Accent 1"/>
    <w:basedOn w:val="9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f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833">
    <w:name w:val="Grid Table 4 - Accent 2"/>
    <w:basedOn w:val="9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34">
    <w:name w:val="Grid Table 4 - Accent 3"/>
    <w:basedOn w:val="9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35">
    <w:name w:val="Grid Table 4 - Accent 4"/>
    <w:basedOn w:val="9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36">
    <w:name w:val="Grid Table 4 - Accent 5"/>
    <w:basedOn w:val="9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37">
    <w:name w:val="Grid Table 4 - Accent 6"/>
    <w:basedOn w:val="94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8">
    <w:name w:val="Grid Table 5 Dark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39">
    <w:name w:val="Grid Table 5 Dark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blStylePr w:type="band1Horz">
      <w:tcPr>
        <w:shd w:val="clear" w:color="ffffff" w:themeColor="accent1" w:themeTint="75" w:fill="b4d2eb" w:themeFill="accent1" w:themeFillTint="75"/>
      </w:tcPr>
    </w:tblStylePr>
    <w:tblStylePr w:type="band1Vert">
      <w:tcPr>
        <w:shd w:val="clear" w:color="ffffff" w:themeColor="accent1" w:themeTint="75" w:fill="b4d2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</w:style>
  <w:style w:type="table" w:styleId="840">
    <w:name w:val="Grid Table 5 Dark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blStylePr w:type="band1Horz">
      <w:tcPr>
        <w:shd w:val="clear" w:color="ffffff" w:themeColor="accent2" w:themeTint="75" w:fill="f6c3a1" w:themeFill="accent2" w:themeFillTint="75"/>
      </w:tcPr>
    </w:tblStylePr>
    <w:tblStylePr w:type="band1Vert">
      <w:tcPr>
        <w:shd w:val="clear" w:color="ffffff" w:themeColor="accent2" w:themeTint="75" w:fill="f6c3a1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</w:style>
  <w:style w:type="table" w:styleId="841">
    <w:name w:val="Grid Table 5 Dark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blStylePr w:type="band1Horz">
      <w:tcPr>
        <w:shd w:val="clear" w:color="ffffff" w:themeColor="accent3" w:themeTint="75" w:fill="d6d6d6" w:themeFill="accent3" w:themeFillTint="75"/>
      </w:tcPr>
    </w:tblStylePr>
    <w:tblStylePr w:type="band1Vert">
      <w:tcPr>
        <w:shd w:val="clear" w:color="ffffff" w:themeColor="accent3" w:themeTint="75" w:fill="d6d6d6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</w:style>
  <w:style w:type="table" w:styleId="842">
    <w:name w:val="Grid Table 5 Dark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blStylePr w:type="band1Horz">
      <w:tcPr>
        <w:shd w:val="clear" w:color="ffffff" w:themeColor="accent4" w:themeTint="75" w:fill="fee189" w:themeFill="accent4" w:themeFillTint="75"/>
      </w:tcPr>
    </w:tblStylePr>
    <w:tblStylePr w:type="band1Vert">
      <w:tcPr>
        <w:shd w:val="clear" w:color="ffffff" w:themeColor="accent4" w:themeTint="75" w:fill="fee189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</w:style>
  <w:style w:type="table" w:styleId="843">
    <w:name w:val="Grid Table 5 Dark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blStylePr w:type="band1Horz">
      <w:tcPr>
        <w:shd w:val="clear" w:color="ffffff" w:themeColor="accent5" w:themeTint="75" w:fill="aabfe3" w:themeFill="accent5" w:themeFillTint="75"/>
      </w:tcPr>
    </w:tblStylePr>
    <w:tblStylePr w:type="band1Vert">
      <w:tcPr>
        <w:shd w:val="clear" w:color="ffffff" w:themeColor="accent5" w:themeTint="75" w:fill="aabfe3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</w:style>
  <w:style w:type="table" w:styleId="844">
    <w:name w:val="Grid Table 5 Dark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blStylePr w:type="band1Horz">
      <w:tcPr>
        <w:shd w:val="clear" w:color="ffffff" w:themeColor="accent6" w:themeTint="75" w:fill="bedba8" w:themeFill="accent6" w:themeFillTint="75"/>
      </w:tcPr>
    </w:tblStylePr>
    <w:tblStylePr w:type="band1Vert">
      <w:tcPr>
        <w:shd w:val="clear" w:color="ffffff" w:themeColor="accent6" w:themeTint="75" w:fill="be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</w:style>
  <w:style w:type="table" w:styleId="845">
    <w:name w:val="Grid Table 6 Colorful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46">
    <w:name w:val="Grid Table 6 Colorful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17bba" w:themeColor="accent1" w:themeTint="80" w:themeShade="95"/>
      </w:rPr>
    </w:tblStylePr>
    <w:tblStylePr w:type="firstRow">
      <w:rPr>
        <w:b/>
        <w:color w:val="317bba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</w:tblStylePr>
    <w:tblStylePr w:type="lastRow">
      <w:rPr>
        <w:b/>
        <w:color w:val="317bba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847">
    <w:name w:val="Grid Table 6 Colorful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848">
    <w:name w:val="Grid Table 6 Colorful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606060" w:themeColor="accent3" w:themeTint="FE" w:themeShade="95"/>
      </w:rPr>
    </w:tblStylePr>
    <w:tblStylePr w:type="firstRow">
      <w:rPr>
        <w:b/>
        <w:color w:val="606060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</w:tblStylePr>
    <w:tblStylePr w:type="lastRow">
      <w:rPr>
        <w:b/>
        <w:color w:val="606060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849">
    <w:name w:val="Grid Table 6 Colorful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850">
    <w:name w:val="Grid Table 6 Colorful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51">
    <w:name w:val="Grid Table 6 Colorful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54374" w:themeColor="accent5" w:themeShade="95"/>
      </w:rPr>
    </w:tblStylePr>
    <w:tblStylePr w:type="firstRow">
      <w:rPr>
        <w:b/>
        <w:color w:val="254374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</w:tblStylePr>
    <w:tblStylePr w:type="lastRow">
      <w:rPr>
        <w:b/>
        <w:color w:val="254374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52">
    <w:name w:val="Grid Table 7 Colorful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3">
    <w:name w:val="Grid Table 7 Colorful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17bba" w:themeColor="accent1" w:themeTint="80" w:themeShade="95"/>
        <w:sz w:val="22"/>
      </w:rPr>
      <w:tcPr>
        <w:shd w:val="clear" w:color="ffffff" w:themeColor="accent1" w:themeTint="34" w:fill="ddebf6" w:themeFill="accent1" w:themeFillTint="34"/>
      </w:tcPr>
    </w:tblStylePr>
    <w:tblStylePr w:type="band1Vert">
      <w:tcPr>
        <w:shd w:val="clear" w:color="ffffff" w:themeColor="accent1" w:themeTint="34" w:fill="ddebf6" w:themeFill="accent1" w:themeFillTint="34"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4">
    <w:name w:val="Grid Table 7 Colorful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32" w:fill="fbe5d6" w:themeFill="accent2" w:themeFillTint="32"/>
      </w:tcPr>
    </w:tblStylePr>
    <w:tblStylePr w:type="band1Vert">
      <w:tcPr>
        <w:shd w:val="clear" w:color="ffffff" w:themeColor="accent2" w:themeTint="32" w:fill="fbe5d6" w:themeFill="accent2" w:themeFillTint="32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5">
    <w:name w:val="Grid Table 7 Colorful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606060" w:themeColor="accent3" w:themeTint="FE" w:themeShade="95"/>
        <w:sz w:val="22"/>
      </w:rPr>
      <w:tcPr>
        <w:shd w:val="clear" w:color="ffffff" w:themeColor="accent3" w:themeTint="34" w:fill="ededed" w:themeFill="accent3" w:themeFillTint="34"/>
      </w:tcPr>
    </w:tblStylePr>
    <w:tblStylePr w:type="band1Vert">
      <w:tcPr>
        <w:shd w:val="clear" w:color="ffffff" w:themeColor="accent3" w:themeTint="34" w:fill="ededed" w:themeFill="accent3" w:themeFillTint="34"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6">
    <w:name w:val="Grid Table 7 Colorful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34" w:fill="fef2cb" w:themeFill="accent4" w:themeFillTint="34"/>
      </w:tcPr>
    </w:tblStylePr>
    <w:tblStylePr w:type="band1Vert">
      <w:tcPr>
        <w:shd w:val="clear" w:color="ffffff" w:themeColor="accent4" w:themeTint="34" w:fill="fef2cb" w:themeFill="accent4" w:themeFillTint="34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7">
    <w:name w:val="Grid Table 7 Colorful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54374" w:themeColor="accent5" w:themeShade="95"/>
        <w:sz w:val="22"/>
      </w:rPr>
      <w:tcPr>
        <w:shd w:val="clear" w:color="ffffff" w:themeColor="accent5" w:themeTint="34" w:fill="d9e2f2" w:themeFill="accent5" w:themeFillTint="34"/>
      </w:tcPr>
    </w:tblStylePr>
    <w:tblStylePr w:type="band1Vert">
      <w:tcPr>
        <w:shd w:val="clear" w:color="ffffff" w:themeColor="accent5" w:themeTint="34" w:fill="d9e2f2" w:themeFill="accent5" w:themeFillTint="34"/>
      </w:tcPr>
    </w:tblStylePr>
    <w:tblStylePr w:type="band2Horz">
      <w:rPr>
        <w:rFonts w:ascii="Arial" w:hAnsi="Arial"/>
        <w:color w:val="254374" w:themeColor="accent5" w:themeShade="95"/>
        <w:sz w:val="22"/>
      </w:r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8">
    <w:name w:val="Grid Table 7 Colorful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26429" w:themeColor="accent6" w:themeShade="95"/>
        <w:sz w:val="22"/>
      </w:rPr>
      <w:tcPr>
        <w:shd w:val="clear" w:color="ffffff" w:themeColor="accent6" w:themeTint="34" w:fill="e2efd8" w:themeFill="accent6" w:themeFillTint="34"/>
      </w:tcPr>
    </w:tblStylePr>
    <w:tblStylePr w:type="band1Vert">
      <w:tcPr>
        <w:shd w:val="clear" w:color="ffffff" w:themeColor="accent6" w:themeTint="34" w:fill="e2efd8" w:themeFill="accent6" w:themeFillTint="34"/>
      </w:tcPr>
    </w:tblStylePr>
    <w:tblStylePr w:type="band2Horz">
      <w:rPr>
        <w:rFonts w:ascii="Arial" w:hAnsi="Arial"/>
        <w:color w:val="426429" w:themeColor="accent6" w:themeShade="95"/>
        <w:sz w:val="22"/>
      </w:r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59">
    <w:name w:val="List Table 1 Light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0">
    <w:name w:val="List Table 1 Light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1">
    <w:name w:val="List Table 1 Light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>
    <w:name w:val="List Table 1 Light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3">
    <w:name w:val="List Table 1 Light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>
    <w:name w:val="List Table 1 Light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>
    <w:name w:val="List Table 1 Light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>
    <w:name w:val="List Table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867">
    <w:name w:val="List Table 2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868">
    <w:name w:val="List Table 2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869">
    <w:name w:val="List Table 2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870">
    <w:name w:val="List Table 2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871">
    <w:name w:val="List Table 2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872">
    <w:name w:val="List Table 2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873">
    <w:name w:val="List Table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4">
    <w:name w:val="List Table 3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5">
    <w:name w:val="List Table 3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6">
    <w:name w:val="List Table 3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7">
    <w:name w:val="List Table 3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8">
    <w:name w:val="List Table 3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8eab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9">
    <w:name w:val="List Table 3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aad08f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>
    <w:name w:val="List Table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>
    <w:name w:val="List Table 4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5e6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>
    <w:name w:val="List Table 4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>
    <w:name w:val="List Table 4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>
    <w:name w:val="List Table 4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>
    <w:name w:val="List Table 4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cfdc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>
    <w:name w:val="List Table 4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dbeb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>
    <w:name w:val="List Table 5 Dark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88">
    <w:name w:val="List Table 5 Dark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blStylePr w:type="band1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89">
    <w:name w:val="List Table 5 Dark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blStylePr w:type="band1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90">
    <w:name w:val="List Table 5 Dark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blStylePr w:type="band1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91">
    <w:name w:val="List Table 5 Dark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blStylePr w:type="band1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92">
    <w:name w:val="List Table 5 Dark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blStylePr w:type="band1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93">
    <w:name w:val="List Table 5 Dark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blStylePr w:type="band1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94">
    <w:name w:val="List Table 6 Colorful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895">
    <w:name w:val="List Table 6 Colorful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45d8d" w:themeColor="accent1" w:themeShade="95"/>
      </w:rPr>
    </w:tblStylePr>
    <w:tblStylePr w:type="firstRow">
      <w:rPr>
        <w:b/>
        <w:color w:val="245d8d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</w:tblStylePr>
    <w:tblStylePr w:type="lastRow">
      <w:rPr>
        <w:b/>
        <w:color w:val="245d8d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896">
    <w:name w:val="List Table 6 Colorful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c95712" w:themeColor="accent2" w:themeTint="97" w:themeShade="95"/>
      </w:rPr>
    </w:tblStylePr>
    <w:tblStylePr w:type="firstRow">
      <w:rPr>
        <w:b/>
        <w:color w:val="c95712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</w:tblStylePr>
    <w:tblStylePr w:type="lastRow">
      <w:rPr>
        <w:b/>
        <w:color w:val="c95712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897">
    <w:name w:val="List Table 6 Colorful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57575" w:themeColor="accent3" w:themeTint="98" w:themeShade="95"/>
      </w:rPr>
    </w:tblStylePr>
    <w:tblStylePr w:type="firstRow">
      <w:rPr>
        <w:b/>
        <w:color w:val="757575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</w:tblStylePr>
    <w:tblStylePr w:type="lastRow">
      <w:rPr>
        <w:b/>
        <w:color w:val="757575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898">
    <w:name w:val="List Table 6 Colorful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cd9600" w:themeColor="accent4" w:themeTint="9A" w:themeShade="95"/>
      </w:rPr>
    </w:tblStylePr>
    <w:tblStylePr w:type="firstRow">
      <w:rPr>
        <w:b/>
        <w:color w:val="cd9600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</w:tblStylePr>
    <w:tblStylePr w:type="lastRow">
      <w:rPr>
        <w:b/>
        <w:color w:val="cd9600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899">
    <w:name w:val="List Table 6 Colorful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5e9e" w:themeColor="accent5" w:themeTint="9A" w:themeShade="95"/>
      </w:rPr>
    </w:tblStylePr>
    <w:tblStylePr w:type="firstRow">
      <w:rPr>
        <w:b/>
        <w:color w:val="335e9e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</w:tblStylePr>
    <w:tblStylePr w:type="lastRow">
      <w:rPr>
        <w:b/>
        <w:color w:val="335e9e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900">
    <w:name w:val="List Table 6 Colorful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5f8f3c" w:themeColor="accent6" w:themeTint="98" w:themeShade="95"/>
      </w:rPr>
    </w:tblStylePr>
    <w:tblStylePr w:type="firstRow">
      <w:rPr>
        <w:b/>
        <w:color w:val="5f8f3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</w:tblStylePr>
    <w:tblStylePr w:type="lastRow">
      <w:rPr>
        <w:b/>
        <w:color w:val="5f8f3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901">
    <w:name w:val="List Table 7 Colorful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902">
    <w:name w:val="List Table 7 Colorful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45d8d" w:themeColor="accent1" w:themeShade="95"/>
        <w:sz w:val="22"/>
      </w:rPr>
      <w:tcPr>
        <w:shd w:val="clear" w:color="ffffff" w:themeColor="accent1" w:themeTint="40" w:fill="d5e6f4" w:themeFill="accent1" w:themeFillTint="40"/>
      </w:tcPr>
    </w:tblStylePr>
    <w:tblStylePr w:type="band1Vert">
      <w:tcPr>
        <w:shd w:val="clear" w:color="ffffff" w:themeColor="accent1" w:themeTint="40" w:fill="d5e6f4" w:themeFill="accent1" w:themeFillTint="40"/>
      </w:tcPr>
    </w:tblStylePr>
    <w:tblStylePr w:type="band2Horz">
      <w:rPr>
        <w:rFonts w:ascii="Arial" w:hAnsi="Arial"/>
        <w:color w:val="245d8d" w:themeColor="accent1" w:themeShade="95"/>
        <w:sz w:val="22"/>
      </w:r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45d8d" w:themeColor="accent1" w:themeShade="95"/>
        <w:sz w:val="22"/>
      </w:rPr>
    </w:tblStylePr>
  </w:style>
  <w:style w:type="table" w:styleId="903">
    <w:name w:val="List Table 7 Colorful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c95712" w:themeColor="accent2" w:themeTint="97" w:themeShade="95"/>
        <w:sz w:val="22"/>
      </w:rPr>
      <w:tcPr>
        <w:shd w:val="clear" w:color="ffffff" w:themeColor="accent2" w:themeTint="40" w:fill="fadecb" w:themeFill="accent2" w:themeFillTint="40"/>
      </w:tcPr>
    </w:tblStylePr>
    <w:tblStylePr w:type="band1Vert">
      <w:tcPr>
        <w:shd w:val="clear" w:color="ffffff" w:themeColor="accent2" w:themeTint="40" w:fill="fadecb" w:themeFill="accent2" w:themeFillTint="40"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</w:tblStylePr>
  </w:style>
  <w:style w:type="table" w:styleId="904">
    <w:name w:val="List Table 7 Colorful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57575" w:themeColor="accent3" w:themeTint="98" w:themeShade="95"/>
        <w:sz w:val="22"/>
      </w:rPr>
      <w:tcPr>
        <w:shd w:val="clear" w:color="ffffff" w:themeColor="accent3" w:themeTint="40" w:fill="e8e8e8" w:themeFill="accent3" w:themeFillTint="40"/>
      </w:tcPr>
    </w:tblStylePr>
    <w:tblStylePr w:type="band1Vert">
      <w:tcPr>
        <w:shd w:val="clear" w:color="ffffff" w:themeColor="accent3" w:themeTint="40" w:fill="e8e8e8" w:themeFill="accent3" w:themeFillTint="40"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</w:tblStylePr>
  </w:style>
  <w:style w:type="table" w:styleId="905">
    <w:name w:val="List Table 7 Colorful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cd9600" w:themeColor="accent4" w:themeTint="9A" w:themeShade="95"/>
        <w:sz w:val="22"/>
      </w:rPr>
      <w:tcPr>
        <w:shd w:val="clear" w:color="ffffff" w:themeColor="accent4" w:themeTint="40" w:fill="ffefbf" w:themeFill="accent4" w:themeFillTint="40"/>
      </w:tcPr>
    </w:tblStylePr>
    <w:tblStylePr w:type="band1Vert">
      <w:tcPr>
        <w:shd w:val="clear" w:color="ffffff" w:themeColor="accent4" w:themeTint="40" w:fill="ffefbf" w:themeFill="accent4" w:themeFillTint="40"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</w:tblStylePr>
  </w:style>
  <w:style w:type="table" w:styleId="906">
    <w:name w:val="List Table 7 Colorful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5e9e" w:themeColor="accent5" w:themeTint="9A" w:themeShade="95"/>
        <w:sz w:val="22"/>
      </w:rPr>
      <w:tcPr>
        <w:shd w:val="clear" w:color="ffffff" w:themeColor="accent5" w:themeTint="40" w:fill="cfdcf0" w:themeFill="accent5" w:themeFillTint="40"/>
      </w:tcPr>
    </w:tblStylePr>
    <w:tblStylePr w:type="band1Vert">
      <w:tcPr>
        <w:shd w:val="clear" w:color="ffffff" w:themeColor="accent5" w:themeTint="40" w:fill="cfdcf0" w:themeFill="accent5" w:themeFillTint="40"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</w:tblStylePr>
  </w:style>
  <w:style w:type="table" w:styleId="907">
    <w:name w:val="List Table 7 Colorful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5f8f3c" w:themeColor="accent6" w:themeTint="98" w:themeShade="95"/>
        <w:sz w:val="22"/>
      </w:rPr>
      <w:tcPr>
        <w:shd w:val="clear" w:color="ffffff" w:themeColor="accent6" w:themeTint="40" w:fill="dbebd0" w:themeFill="accent6" w:themeFillTint="40"/>
      </w:tcPr>
    </w:tblStylePr>
    <w:tblStylePr w:type="band1Vert">
      <w:tcPr>
        <w:shd w:val="clear" w:color="ffffff" w:themeColor="accent6" w:themeTint="40" w:fill="dbebd0" w:themeFill="accent6" w:themeFillTint="40"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</w:tblStylePr>
  </w:style>
  <w:style w:type="table" w:styleId="908">
    <w:name w:val="Lined - Accent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09">
    <w:name w:val="Lined - Accent 1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910">
    <w:name w:val="Lined - Accent 2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911">
    <w:name w:val="Lined - Accent 3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912">
    <w:name w:val="Lined - Accent 4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913">
    <w:name w:val="Lined - Accent 5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914">
    <w:name w:val="Lined - Accent 6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915">
    <w:name w:val="Bordered &amp; Lined - Accent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916">
    <w:name w:val="Bordered &amp; Lined - Accent 1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ce0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67a4d8" w:themeFill="accent1" w:themeFillTint="EA"/>
      </w:tcPr>
    </w:tblStylePr>
  </w:style>
  <w:style w:type="table" w:styleId="917">
    <w:name w:val="Bordered &amp; Lined - Accent 2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f4b185" w:themeFill="accent2" w:themeFillTint="97"/>
      </w:tcPr>
    </w:tblStylePr>
  </w:style>
  <w:style w:type="table" w:styleId="918">
    <w:name w:val="Bordered &amp; Lined - Accent 3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dede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a5a5a5" w:themeFill="accent3" w:themeFillTint="FE"/>
      </w:tcPr>
    </w:tblStylePr>
  </w:style>
  <w:style w:type="table" w:styleId="919">
    <w:name w:val="Bordered &amp; Lined - Accent 4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fe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ffd864" w:themeFill="accent4" w:themeFillTint="9A"/>
      </w:tcPr>
    </w:tblStylePr>
  </w:style>
  <w:style w:type="table" w:styleId="920">
    <w:name w:val="Bordered &amp; Lined - Accent 5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9e2f2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472c4" w:themeFill="accent5"/>
      </w:tcPr>
    </w:tblStylePr>
  </w:style>
  <w:style w:type="table" w:styleId="921">
    <w:name w:val="Bordered &amp; Lined - Accent 6"/>
    <w:basedOn w:val="94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e2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70ad47" w:themeFill="accent6"/>
      </w:tcPr>
    </w:tblStylePr>
  </w:style>
  <w:style w:type="table" w:styleId="922">
    <w:name w:val="Bordered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923">
    <w:name w:val="Bordered - Accent 1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924">
    <w:name w:val="Bordered - Accent 2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925">
    <w:name w:val="Bordered - Accent 3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926">
    <w:name w:val="Bordered - Accent 4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927">
    <w:name w:val="Bordered - Accent 5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928">
    <w:name w:val="Bordered - Accent 6"/>
    <w:basedOn w:val="94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929">
    <w:name w:val="Footnote Text Char"/>
    <w:link w:val="1258"/>
    <w:uiPriority w:val="99"/>
    <w:rPr>
      <w:sz w:val="18"/>
    </w:rPr>
  </w:style>
  <w:style w:type="character" w:styleId="930">
    <w:name w:val="Endnote Text Char"/>
    <w:link w:val="1094"/>
    <w:uiPriority w:val="99"/>
    <w:rPr>
      <w:sz w:val="20"/>
    </w:rPr>
  </w:style>
  <w:style w:type="paragraph" w:styleId="931">
    <w:name w:val="table of figures"/>
    <w:basedOn w:val="932"/>
    <w:next w:val="932"/>
    <w:uiPriority w:val="99"/>
    <w:unhideWhenUsed/>
    <w:pPr>
      <w:spacing w:after="0" w:afterAutospacing="0"/>
    </w:pPr>
  </w:style>
  <w:style w:type="paragraph" w:styleId="932" w:default="1">
    <w:name w:val="Normal"/>
    <w:qFormat/>
  </w:style>
  <w:style w:type="paragraph" w:styleId="933">
    <w:name w:val="Heading 1"/>
    <w:basedOn w:val="932"/>
    <w:next w:val="932"/>
    <w:link w:val="956"/>
    <w:qFormat/>
    <w:pPr>
      <w:numPr>
        <w:numId w:val="1"/>
      </w:numPr>
      <w:jc w:val="both"/>
      <w:pageBreakBefore/>
      <w:spacing w:after="0" w:line="240" w:lineRule="auto"/>
      <w:outlineLvl w:val="0"/>
    </w:pPr>
    <w:rPr>
      <w:rFonts w:ascii="Times New Roman" w:hAnsi="Times New Roman" w:eastAsia="SimSun" w:cs="Times New Roman"/>
      <w:b/>
      <w:bCs/>
      <w:spacing w:val="-1"/>
      <w:sz w:val="24"/>
      <w:szCs w:val="24"/>
      <w:lang w:eastAsia="ru-RU"/>
    </w:rPr>
  </w:style>
  <w:style w:type="paragraph" w:styleId="934">
    <w:name w:val="Heading 2"/>
    <w:basedOn w:val="932"/>
    <w:next w:val="932"/>
    <w:link w:val="970"/>
    <w:uiPriority w:val="9"/>
    <w:unhideWhenUsed/>
    <w:qFormat/>
    <w:pPr>
      <w:numPr>
        <w:ilvl w:val="1"/>
        <w:numId w:val="2"/>
      </w:numPr>
      <w:contextualSpacing/>
      <w:jc w:val="both"/>
      <w:spacing w:before="100" w:beforeAutospacing="1" w:after="100" w:afterAutospacing="1" w:line="240" w:lineRule="auto"/>
      <w:outlineLvl w:val="1"/>
    </w:pPr>
    <w:rPr>
      <w:rFonts w:ascii="Times New Roman" w:hAnsi="Times New Roman" w:eastAsia="SimSun" w:cs="Times New Roman"/>
      <w:b/>
      <w:bCs/>
      <w:i/>
      <w:iCs/>
      <w:spacing w:val="-1"/>
      <w:sz w:val="24"/>
      <w:szCs w:val="24"/>
      <w:lang w:eastAsia="ru-RU"/>
    </w:rPr>
  </w:style>
  <w:style w:type="paragraph" w:styleId="935">
    <w:name w:val="Heading 3"/>
    <w:basedOn w:val="932"/>
    <w:next w:val="932"/>
    <w:link w:val="971"/>
    <w:uiPriority w:val="9"/>
    <w:semiHidden/>
    <w:unhideWhenUsed/>
    <w:qFormat/>
    <w:pPr>
      <w:numPr>
        <w:ilvl w:val="2"/>
        <w:numId w:val="1"/>
      </w:numPr>
      <w:keepLines/>
      <w:keepNext/>
      <w:spacing w:before="40" w:after="0"/>
      <w:outlineLvl w:val="2"/>
    </w:pPr>
    <w:rPr>
      <w:rFonts w:asciiTheme="majorHAnsi" w:hAnsiTheme="majorHAnsi" w:eastAsiaTheme="majorEastAsia" w:cstheme="majorBidi"/>
      <w:color w:val="1f4d78" w:themeColor="accent1" w:themeShade="7F"/>
      <w:sz w:val="24"/>
      <w:szCs w:val="24"/>
    </w:rPr>
  </w:style>
  <w:style w:type="paragraph" w:styleId="936">
    <w:name w:val="Heading 4"/>
    <w:basedOn w:val="932"/>
    <w:next w:val="932"/>
    <w:link w:val="972"/>
    <w:semiHidden/>
    <w:unhideWhenUsed/>
    <w:qFormat/>
    <w:pPr>
      <w:numPr>
        <w:ilvl w:val="3"/>
        <w:numId w:val="1"/>
      </w:numPr>
      <w:keepLines/>
      <w:keepNext/>
      <w:spacing w:before="40" w:after="0"/>
      <w:outlineLvl w:val="3"/>
    </w:pPr>
    <w:rPr>
      <w:rFonts w:asciiTheme="majorHAnsi" w:hAnsiTheme="majorHAnsi" w:eastAsiaTheme="majorEastAsia" w:cstheme="majorBidi"/>
      <w:i/>
      <w:iCs/>
      <w:color w:val="2e74b5" w:themeColor="accent1" w:themeShade="BF"/>
    </w:rPr>
  </w:style>
  <w:style w:type="paragraph" w:styleId="937">
    <w:name w:val="Heading 5"/>
    <w:basedOn w:val="932"/>
    <w:next w:val="932"/>
    <w:link w:val="973"/>
    <w:unhideWhenUsed/>
    <w:qFormat/>
    <w:pPr>
      <w:numPr>
        <w:ilvl w:val="4"/>
        <w:numId w:val="1"/>
      </w:numPr>
      <w:keepLines/>
      <w:keepNext/>
      <w:spacing w:before="40" w:after="0"/>
      <w:outlineLvl w:val="4"/>
    </w:pPr>
    <w:rPr>
      <w:rFonts w:asciiTheme="majorHAnsi" w:hAnsiTheme="majorHAnsi" w:eastAsiaTheme="majorEastAsia" w:cstheme="majorBidi"/>
      <w:color w:val="2e74b5" w:themeColor="accent1" w:themeShade="BF"/>
    </w:rPr>
  </w:style>
  <w:style w:type="paragraph" w:styleId="938">
    <w:name w:val="Heading 6"/>
    <w:basedOn w:val="932"/>
    <w:next w:val="932"/>
    <w:link w:val="974"/>
    <w:uiPriority w:val="9"/>
    <w:semiHidden/>
    <w:unhideWhenUsed/>
    <w:qFormat/>
    <w:pPr>
      <w:numPr>
        <w:ilvl w:val="5"/>
        <w:numId w:val="1"/>
      </w:numPr>
      <w:keepLines/>
      <w:keepNext/>
      <w:spacing w:before="40" w:after="0"/>
      <w:outlineLvl w:val="5"/>
    </w:pPr>
    <w:rPr>
      <w:rFonts w:asciiTheme="majorHAnsi" w:hAnsiTheme="majorHAnsi" w:eastAsiaTheme="majorEastAsia" w:cstheme="majorBidi"/>
      <w:color w:val="1f4d78" w:themeColor="accent1" w:themeShade="7F"/>
    </w:rPr>
  </w:style>
  <w:style w:type="paragraph" w:styleId="939">
    <w:name w:val="Heading 7"/>
    <w:basedOn w:val="932"/>
    <w:next w:val="932"/>
    <w:link w:val="975"/>
    <w:uiPriority w:val="9"/>
    <w:semiHidden/>
    <w:unhideWhenUsed/>
    <w:qFormat/>
    <w:pPr>
      <w:numPr>
        <w:ilvl w:val="6"/>
        <w:numId w:val="1"/>
      </w:numPr>
      <w:keepLines/>
      <w:keepNext/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4d78" w:themeColor="accent1" w:themeShade="7F"/>
    </w:rPr>
  </w:style>
  <w:style w:type="paragraph" w:styleId="940">
    <w:name w:val="Heading 8"/>
    <w:basedOn w:val="932"/>
    <w:next w:val="932"/>
    <w:link w:val="976"/>
    <w:uiPriority w:val="9"/>
    <w:semiHidden/>
    <w:unhideWhenUsed/>
    <w:qFormat/>
    <w:pPr>
      <w:numPr>
        <w:ilvl w:val="7"/>
        <w:numId w:val="1"/>
      </w:numPr>
      <w:keepLines/>
      <w:keepNext/>
      <w:spacing w:before="40" w:after="0"/>
      <w:outlineLvl w:val="7"/>
    </w:pPr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paragraph" w:styleId="941">
    <w:name w:val="Heading 9"/>
    <w:basedOn w:val="932"/>
    <w:next w:val="932"/>
    <w:link w:val="977"/>
    <w:uiPriority w:val="9"/>
    <w:semiHidden/>
    <w:unhideWhenUsed/>
    <w:qFormat/>
    <w:pPr>
      <w:numPr>
        <w:ilvl w:val="8"/>
        <w:numId w:val="1"/>
      </w:numPr>
      <w:keepLines/>
      <w:keepNext/>
      <w:spacing w:before="40" w:after="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character" w:styleId="942" w:default="1">
    <w:name w:val="Default Paragraph Font"/>
    <w:uiPriority w:val="1"/>
    <w:semiHidden/>
    <w:unhideWhenUsed/>
  </w:style>
  <w:style w:type="table" w:styleId="943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944" w:default="1">
    <w:name w:val="No List"/>
    <w:uiPriority w:val="99"/>
    <w:semiHidden/>
    <w:unhideWhenUsed/>
  </w:style>
  <w:style w:type="numbering" w:styleId="945" w:customStyle="1">
    <w:name w:val="Нет списка1"/>
    <w:next w:val="944"/>
    <w:uiPriority w:val="99"/>
    <w:semiHidden/>
  </w:style>
  <w:style w:type="paragraph" w:styleId="946" w:customStyle="1">
    <w:name w:val="xl42"/>
    <w:basedOn w:val="932"/>
    <w:pPr>
      <w:jc w:val="center"/>
      <w:spacing w:before="100" w:beforeAutospacing="1" w:after="100" w:afterAutospacing="1" w:line="240" w:lineRule="auto"/>
      <w:pBdr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16"/>
      <w:szCs w:val="16"/>
      <w:lang w:eastAsia="ru-RU"/>
    </w:rPr>
  </w:style>
  <w:style w:type="paragraph" w:styleId="947">
    <w:name w:val="Body Text"/>
    <w:basedOn w:val="932"/>
    <w:link w:val="948"/>
    <w:uiPriority w:val="99"/>
    <w:pPr>
      <w:ind w:left="1080"/>
      <w:spacing w:after="220" w:line="220" w:lineRule="atLeast"/>
    </w:pPr>
    <w:rPr>
      <w:rFonts w:ascii="Times New Roman" w:hAnsi="Times New Roman" w:eastAsia="Times New Roman" w:cs="Times New Roman"/>
      <w:sz w:val="20"/>
      <w:szCs w:val="20"/>
    </w:rPr>
  </w:style>
  <w:style w:type="character" w:styleId="948" w:customStyle="1">
    <w:name w:val="Основной текст Знак"/>
    <w:basedOn w:val="942"/>
    <w:link w:val="947"/>
    <w:uiPriority w:val="99"/>
    <w:rPr>
      <w:rFonts w:ascii="Times New Roman" w:hAnsi="Times New Roman" w:eastAsia="Times New Roman" w:cs="Times New Roman"/>
      <w:sz w:val="20"/>
      <w:szCs w:val="20"/>
    </w:rPr>
  </w:style>
  <w:style w:type="paragraph" w:styleId="949">
    <w:name w:val="Title"/>
    <w:basedOn w:val="932"/>
    <w:link w:val="950"/>
    <w:uiPriority w:val="99"/>
    <w:qFormat/>
    <w:pPr>
      <w:jc w:val="center"/>
      <w:spacing w:after="0" w:line="240" w:lineRule="auto"/>
    </w:pPr>
    <w:rPr>
      <w:rFonts w:ascii="Times New Roman" w:hAnsi="Times New Roman" w:eastAsia="Times New Roman" w:cs="Times New Roman"/>
      <w:b/>
      <w:bCs/>
      <w:sz w:val="24"/>
      <w:szCs w:val="24"/>
      <w:lang w:eastAsia="ru-RU"/>
    </w:rPr>
  </w:style>
  <w:style w:type="character" w:styleId="950" w:customStyle="1">
    <w:name w:val="Заголовок Знак"/>
    <w:basedOn w:val="942"/>
    <w:link w:val="949"/>
    <w:uiPriority w:val="99"/>
    <w:rPr>
      <w:rFonts w:ascii="Times New Roman" w:hAnsi="Times New Roman" w:eastAsia="Times New Roman" w:cs="Times New Roman"/>
      <w:b/>
      <w:bCs/>
      <w:sz w:val="24"/>
      <w:szCs w:val="24"/>
      <w:lang w:eastAsia="ru-RU"/>
    </w:rPr>
  </w:style>
  <w:style w:type="paragraph" w:styleId="951">
    <w:name w:val="Body Text 2"/>
    <w:basedOn w:val="932"/>
    <w:link w:val="952"/>
    <w:uiPriority w:val="99"/>
    <w:pPr>
      <w:jc w:val="both"/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952" w:customStyle="1">
    <w:name w:val="Основной текст 2 Знак"/>
    <w:basedOn w:val="942"/>
    <w:link w:val="951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53" w:customStyle="1">
    <w:name w:val="Неразрывный основной текст"/>
    <w:basedOn w:val="947"/>
    <w:pPr>
      <w:keepNext/>
    </w:pPr>
  </w:style>
  <w:style w:type="paragraph" w:styleId="954">
    <w:name w:val="Caption"/>
    <w:basedOn w:val="932"/>
    <w:next w:val="932"/>
    <w:link w:val="1116"/>
    <w:uiPriority w:val="35"/>
    <w:unhideWhenUsed/>
    <w:qFormat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955">
    <w:name w:val="List Paragraph"/>
    <w:basedOn w:val="932"/>
    <w:link w:val="1012"/>
    <w:qFormat/>
    <w:pPr>
      <w:contextualSpacing/>
      <w:ind w:left="720"/>
    </w:pPr>
  </w:style>
  <w:style w:type="character" w:styleId="956" w:customStyle="1">
    <w:name w:val="Заголовок 1 Знак"/>
    <w:basedOn w:val="942"/>
    <w:link w:val="933"/>
    <w:rPr>
      <w:rFonts w:ascii="Times New Roman" w:hAnsi="Times New Roman" w:eastAsia="SimSun" w:cs="Times New Roman"/>
      <w:b/>
      <w:bCs/>
      <w:spacing w:val="-1"/>
      <w:sz w:val="24"/>
      <w:szCs w:val="24"/>
      <w:lang w:eastAsia="ru-RU"/>
    </w:rPr>
  </w:style>
  <w:style w:type="paragraph" w:styleId="957">
    <w:name w:val="TOC Heading"/>
    <w:basedOn w:val="933"/>
    <w:next w:val="932"/>
    <w:uiPriority w:val="39"/>
    <w:unhideWhenUsed/>
    <w:qFormat/>
    <w:pPr>
      <w:outlineLvl w:val="9"/>
    </w:pPr>
  </w:style>
  <w:style w:type="paragraph" w:styleId="958">
    <w:name w:val="toc 1"/>
    <w:basedOn w:val="932"/>
    <w:next w:val="932"/>
    <w:uiPriority w:val="39"/>
    <w:unhideWhenUsed/>
    <w:qFormat/>
    <w:pPr>
      <w:spacing w:after="100"/>
    </w:pPr>
    <w:rPr>
      <w:rFonts w:ascii="Times New Roman" w:hAnsi="Times New Roman"/>
    </w:rPr>
  </w:style>
  <w:style w:type="paragraph" w:styleId="959">
    <w:name w:val="toc 2"/>
    <w:basedOn w:val="932"/>
    <w:next w:val="932"/>
    <w:uiPriority w:val="39"/>
    <w:unhideWhenUsed/>
    <w:qFormat/>
    <w:pPr>
      <w:ind w:left="220"/>
      <w:spacing w:after="100"/>
    </w:pPr>
    <w:rPr>
      <w:rFonts w:ascii="Times New Roman" w:hAnsi="Times New Roman"/>
    </w:rPr>
  </w:style>
  <w:style w:type="character" w:styleId="960">
    <w:name w:val="Hyperlink"/>
    <w:basedOn w:val="942"/>
    <w:uiPriority w:val="99"/>
    <w:unhideWhenUsed/>
    <w:rPr>
      <w:color w:val="0563c1" w:themeColor="hyperlink"/>
      <w:u w:val="single"/>
    </w:rPr>
  </w:style>
  <w:style w:type="table" w:styleId="961">
    <w:name w:val="Table Grid"/>
    <w:basedOn w:val="943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962">
    <w:name w:val="FollowedHyperlink"/>
    <w:basedOn w:val="942"/>
    <w:uiPriority w:val="99"/>
    <w:semiHidden/>
    <w:unhideWhenUsed/>
    <w:rPr>
      <w:color w:val="954f72"/>
      <w:u w:val="single"/>
    </w:rPr>
  </w:style>
  <w:style w:type="paragraph" w:styleId="963" w:customStyle="1">
    <w:name w:val="msonormal"/>
    <w:basedOn w:val="932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64" w:customStyle="1">
    <w:name w:val="xl63"/>
    <w:basedOn w:val="932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65" w:customStyle="1">
    <w:name w:val="xl64"/>
    <w:basedOn w:val="932"/>
    <w:pPr>
      <w:jc w:val="center"/>
      <w:spacing w:before="100" w:beforeAutospacing="1" w:after="100" w:afterAutospacing="1" w:line="240" w:lineRule="auto"/>
      <w:shd w:val="clear" w:color="000000" w:fill="c0c0c0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966" w:customStyle="1">
    <w:name w:val="xl65"/>
    <w:basedOn w:val="932"/>
    <w:pPr>
      <w:jc w:val="center"/>
      <w:spacing w:before="100" w:beforeAutospacing="1" w:after="100" w:afterAutospacing="1" w:line="240" w:lineRule="auto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967" w:customStyle="1">
    <w:name w:val="xl66"/>
    <w:basedOn w:val="932"/>
    <w:pPr>
      <w:jc w:val="center"/>
      <w:spacing w:before="100" w:beforeAutospacing="1" w:after="100" w:afterAutospacing="1" w:line="240" w:lineRule="auto"/>
      <w:shd w:val="clear" w:color="000000" w:fill="ffffff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968" w:customStyle="1">
    <w:name w:val="xl67"/>
    <w:basedOn w:val="932"/>
    <w:pPr>
      <w:jc w:val="center"/>
      <w:spacing w:before="100" w:beforeAutospacing="1" w:after="100" w:afterAutospacing="1" w:line="240" w:lineRule="auto"/>
      <w:pBdr>
        <w:left w:val="single" w:color="000000" w:sz="8" w:space="0"/>
        <w:bottom w:val="single" w:color="000000" w:sz="8" w:space="0"/>
        <w:right w:val="single" w:color="000000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969" w:customStyle="1">
    <w:name w:val="xl68"/>
    <w:basedOn w:val="932"/>
    <w:pPr>
      <w:jc w:val="center"/>
      <w:spacing w:before="100" w:beforeAutospacing="1" w:after="100" w:afterAutospacing="1" w:line="240" w:lineRule="auto"/>
      <w:pBdr>
        <w:bottom w:val="single" w:color="000000" w:sz="8" w:space="0"/>
        <w:right w:val="single" w:color="000000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character" w:styleId="970" w:customStyle="1">
    <w:name w:val="Заголовок 2 Знак"/>
    <w:basedOn w:val="942"/>
    <w:link w:val="934"/>
    <w:uiPriority w:val="9"/>
    <w:rPr>
      <w:rFonts w:ascii="Times New Roman" w:hAnsi="Times New Roman" w:eastAsia="SimSun" w:cs="Times New Roman"/>
      <w:b/>
      <w:bCs/>
      <w:i/>
      <w:iCs/>
      <w:spacing w:val="-1"/>
      <w:sz w:val="24"/>
      <w:szCs w:val="24"/>
      <w:lang w:eastAsia="ru-RU"/>
    </w:rPr>
  </w:style>
  <w:style w:type="character" w:styleId="971" w:customStyle="1">
    <w:name w:val="Заголовок 3 Знак"/>
    <w:basedOn w:val="942"/>
    <w:link w:val="935"/>
    <w:uiPriority w:val="9"/>
    <w:semiHidden/>
    <w:rPr>
      <w:rFonts w:asciiTheme="majorHAnsi" w:hAnsiTheme="majorHAnsi" w:eastAsiaTheme="majorEastAsia" w:cstheme="majorBidi"/>
      <w:color w:val="1f4d78" w:themeColor="accent1" w:themeShade="7F"/>
      <w:sz w:val="24"/>
      <w:szCs w:val="24"/>
    </w:rPr>
  </w:style>
  <w:style w:type="character" w:styleId="972" w:customStyle="1">
    <w:name w:val="Заголовок 4 Знак"/>
    <w:basedOn w:val="942"/>
    <w:link w:val="936"/>
    <w:semiHidden/>
    <w:rPr>
      <w:rFonts w:asciiTheme="majorHAnsi" w:hAnsiTheme="majorHAnsi" w:eastAsiaTheme="majorEastAsia" w:cstheme="majorBidi"/>
      <w:i/>
      <w:iCs/>
      <w:color w:val="2e74b5" w:themeColor="accent1" w:themeShade="BF"/>
    </w:rPr>
  </w:style>
  <w:style w:type="character" w:styleId="973" w:customStyle="1">
    <w:name w:val="Заголовок 5 Знак"/>
    <w:basedOn w:val="942"/>
    <w:link w:val="937"/>
    <w:rPr>
      <w:rFonts w:asciiTheme="majorHAnsi" w:hAnsiTheme="majorHAnsi" w:eastAsiaTheme="majorEastAsia" w:cstheme="majorBidi"/>
      <w:color w:val="2e74b5" w:themeColor="accent1" w:themeShade="BF"/>
    </w:rPr>
  </w:style>
  <w:style w:type="character" w:styleId="974" w:customStyle="1">
    <w:name w:val="Заголовок 6 Знак"/>
    <w:basedOn w:val="942"/>
    <w:link w:val="938"/>
    <w:uiPriority w:val="9"/>
    <w:semiHidden/>
    <w:rPr>
      <w:rFonts w:asciiTheme="majorHAnsi" w:hAnsiTheme="majorHAnsi" w:eastAsiaTheme="majorEastAsia" w:cstheme="majorBidi"/>
      <w:color w:val="1f4d78" w:themeColor="accent1" w:themeShade="7F"/>
    </w:rPr>
  </w:style>
  <w:style w:type="character" w:styleId="975" w:customStyle="1">
    <w:name w:val="Заголовок 7 Знак"/>
    <w:basedOn w:val="942"/>
    <w:link w:val="939"/>
    <w:uiPriority w:val="9"/>
    <w:semiHidden/>
    <w:rPr>
      <w:rFonts w:asciiTheme="majorHAnsi" w:hAnsiTheme="majorHAnsi" w:eastAsiaTheme="majorEastAsia" w:cstheme="majorBidi"/>
      <w:i/>
      <w:iCs/>
      <w:color w:val="1f4d78" w:themeColor="accent1" w:themeShade="7F"/>
    </w:rPr>
  </w:style>
  <w:style w:type="character" w:styleId="976" w:customStyle="1">
    <w:name w:val="Заголовок 8 Знак"/>
    <w:basedOn w:val="942"/>
    <w:link w:val="940"/>
    <w:uiPriority w:val="9"/>
    <w:semiHidden/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character" w:styleId="977" w:customStyle="1">
    <w:name w:val="Заголовок 9 Знак"/>
    <w:basedOn w:val="942"/>
    <w:link w:val="941"/>
    <w:uiPriority w:val="9"/>
    <w:semiHidden/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paragraph" w:styleId="978">
    <w:name w:val="toc 3"/>
    <w:basedOn w:val="932"/>
    <w:next w:val="932"/>
    <w:uiPriority w:val="39"/>
    <w:unhideWhenUsed/>
    <w:qFormat/>
    <w:pPr>
      <w:ind w:left="440"/>
      <w:spacing w:after="100"/>
    </w:pPr>
    <w:rPr>
      <w:rFonts w:ascii="Times New Roman" w:hAnsi="Times New Roman"/>
    </w:rPr>
  </w:style>
  <w:style w:type="paragraph" w:styleId="979" w:customStyle="1">
    <w:name w:val="Абзац"/>
    <w:link w:val="980"/>
    <w:qFormat/>
    <w:pPr>
      <w:ind w:firstLine="567"/>
      <w:jc w:val="both"/>
      <w:spacing w:before="60" w:after="6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980" w:customStyle="1">
    <w:name w:val="Абзац Знак"/>
    <w:link w:val="97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81" w:customStyle="1">
    <w:name w:val="Default"/>
    <w:uiPriority w:val="99"/>
    <w:pPr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982" w:customStyle="1">
    <w:name w:val="Table Normal1"/>
    <w:uiPriority w:val="2"/>
    <w:semiHidden/>
    <w:unhideWhenUsed/>
    <w:qFormat/>
    <w:pPr>
      <w:spacing w:after="0" w:line="240" w:lineRule="auto"/>
      <w:widowControl w:val="off"/>
    </w:pPr>
    <w:rPr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paragraph" w:styleId="983" w:customStyle="1">
    <w:name w:val="Table Paragraph"/>
    <w:basedOn w:val="932"/>
    <w:uiPriority w:val="1"/>
    <w:qFormat/>
    <w:pPr>
      <w:spacing w:after="0" w:line="240" w:lineRule="auto"/>
      <w:widowControl w:val="off"/>
    </w:pPr>
    <w:rPr>
      <w:rFonts w:ascii="Times New Roman" w:hAnsi="Times New Roman" w:eastAsia="Times New Roman" w:cs="Times New Roman"/>
      <w:lang w:eastAsia="ru-RU" w:bidi="ru-RU"/>
    </w:rPr>
  </w:style>
  <w:style w:type="character" w:styleId="984" w:customStyle="1">
    <w:name w:val="Гипертекстовая ссылка"/>
    <w:basedOn w:val="942"/>
    <w:uiPriority w:val="99"/>
    <w:rPr>
      <w:rFonts w:cs="Times New Roman"/>
      <w:b w:val="0"/>
      <w:color w:val="106bbe"/>
    </w:rPr>
  </w:style>
  <w:style w:type="paragraph" w:styleId="985" w:customStyle="1">
    <w:name w:val="Нормальный (таблица)"/>
    <w:basedOn w:val="932"/>
    <w:next w:val="932"/>
    <w:uiPriority w:val="99"/>
    <w:pPr>
      <w:jc w:val="both"/>
      <w:spacing w:after="0" w:line="240" w:lineRule="auto"/>
      <w:widowControl w:val="off"/>
    </w:pPr>
    <w:rPr>
      <w:rFonts w:ascii="Arial" w:hAnsi="Arial" w:cs="Arial" w:eastAsiaTheme="minorEastAsia"/>
      <w:sz w:val="24"/>
      <w:szCs w:val="24"/>
      <w:lang w:eastAsia="ru-RU"/>
    </w:rPr>
  </w:style>
  <w:style w:type="paragraph" w:styleId="986" w:customStyle="1">
    <w:name w:val="Прижатый влево"/>
    <w:basedOn w:val="932"/>
    <w:next w:val="932"/>
    <w:uiPriority w:val="99"/>
    <w:pPr>
      <w:spacing w:after="0" w:line="240" w:lineRule="auto"/>
      <w:widowControl w:val="off"/>
    </w:pPr>
    <w:rPr>
      <w:rFonts w:ascii="Arial" w:hAnsi="Arial" w:cs="Arial" w:eastAsiaTheme="minorEastAsia"/>
      <w:sz w:val="24"/>
      <w:szCs w:val="24"/>
      <w:lang w:eastAsia="ru-RU"/>
    </w:rPr>
  </w:style>
  <w:style w:type="character" w:styleId="987" w:customStyle="1">
    <w:name w:val="Основной текст_"/>
    <w:basedOn w:val="942"/>
    <w:link w:val="988"/>
    <w:rPr>
      <w:sz w:val="26"/>
      <w:szCs w:val="26"/>
      <w:shd w:val="clear" w:color="auto" w:fill="ffffff"/>
    </w:rPr>
  </w:style>
  <w:style w:type="paragraph" w:styleId="988" w:customStyle="1">
    <w:name w:val="Основной текст3"/>
    <w:basedOn w:val="932"/>
    <w:link w:val="987"/>
    <w:pPr>
      <w:jc w:val="center"/>
      <w:spacing w:after="0" w:line="0" w:lineRule="atLeast"/>
      <w:shd w:val="clear" w:color="auto" w:fill="ffffff"/>
    </w:pPr>
    <w:rPr>
      <w:sz w:val="26"/>
      <w:szCs w:val="26"/>
    </w:rPr>
  </w:style>
  <w:style w:type="paragraph" w:styleId="989">
    <w:name w:val="No Spacing"/>
    <w:link w:val="1018"/>
    <w:uiPriority w:val="1"/>
    <w:qFormat/>
    <w:pPr>
      <w:spacing w:after="0" w:line="240" w:lineRule="auto"/>
    </w:pPr>
    <w:rPr>
      <w:rFonts w:ascii="Calibri" w:hAnsi="Calibri" w:eastAsia="Calibri" w:cs="Times New Roman"/>
    </w:rPr>
  </w:style>
  <w:style w:type="paragraph" w:styleId="990">
    <w:name w:val="Balloon Text"/>
    <w:basedOn w:val="932"/>
    <w:link w:val="991"/>
    <w:uiPriority w:val="99"/>
    <w:unhideWhenUsed/>
    <w:pPr>
      <w:spacing w:after="0" w:line="240" w:lineRule="auto"/>
    </w:pPr>
    <w:rPr>
      <w:rFonts w:ascii="Tahoma" w:hAnsi="Tahoma" w:eastAsia="Calibri" w:cs="Tahoma"/>
      <w:sz w:val="16"/>
      <w:szCs w:val="16"/>
    </w:rPr>
  </w:style>
  <w:style w:type="character" w:styleId="991" w:customStyle="1">
    <w:name w:val="Текст выноски Знак"/>
    <w:basedOn w:val="942"/>
    <w:link w:val="990"/>
    <w:uiPriority w:val="99"/>
    <w:rPr>
      <w:rFonts w:ascii="Tahoma" w:hAnsi="Tahoma" w:eastAsia="Calibri" w:cs="Tahoma"/>
      <w:sz w:val="16"/>
      <w:szCs w:val="16"/>
    </w:rPr>
  </w:style>
  <w:style w:type="paragraph" w:styleId="992" w:customStyle="1">
    <w:name w:val="_Об_Таблица"/>
    <w:basedOn w:val="932"/>
    <w:link w:val="993"/>
    <w:qFormat/>
    <w:pPr>
      <w:contextualSpacing/>
      <w:jc w:val="center"/>
      <w:spacing w:after="0" w:line="240" w:lineRule="auto"/>
    </w:pPr>
    <w:rPr>
      <w:rFonts w:ascii="Times New Roman" w:hAnsi="Times New Roman" w:eastAsia="Calibri" w:cs="Times New Roman"/>
      <w:iCs/>
      <w:sz w:val="20"/>
      <w:szCs w:val="20"/>
    </w:rPr>
  </w:style>
  <w:style w:type="character" w:styleId="993" w:customStyle="1">
    <w:name w:val="_Об_Таблица Знак"/>
    <w:link w:val="992"/>
    <w:rPr>
      <w:rFonts w:ascii="Times New Roman" w:hAnsi="Times New Roman" w:eastAsia="Calibri" w:cs="Times New Roman"/>
      <w:iCs/>
      <w:sz w:val="20"/>
      <w:szCs w:val="20"/>
    </w:rPr>
  </w:style>
  <w:style w:type="character" w:styleId="994" w:customStyle="1">
    <w:name w:val="Цветовое выделение"/>
    <w:uiPriority w:val="99"/>
    <w:rPr>
      <w:b/>
      <w:bCs/>
      <w:color w:val="26282f"/>
    </w:rPr>
  </w:style>
  <w:style w:type="paragraph" w:styleId="995" w:customStyle="1">
    <w:name w:val="_Обычный"/>
    <w:basedOn w:val="932"/>
    <w:link w:val="996"/>
    <w:qFormat/>
    <w:pPr>
      <w:contextualSpacing/>
      <w:ind w:firstLine="709"/>
      <w:jc w:val="both"/>
      <w:spacing w:before="120" w:after="120" w:line="360" w:lineRule="auto"/>
    </w:pPr>
    <w:rPr>
      <w:rFonts w:ascii="Times New Roman" w:hAnsi="Times New Roman" w:eastAsia="Calibri" w:cs="Times New Roman"/>
      <w:iCs/>
      <w:sz w:val="26"/>
      <w:szCs w:val="26"/>
    </w:rPr>
  </w:style>
  <w:style w:type="character" w:styleId="996" w:customStyle="1">
    <w:name w:val="_Обычный Знак"/>
    <w:link w:val="995"/>
    <w:rPr>
      <w:rFonts w:ascii="Times New Roman" w:hAnsi="Times New Roman" w:eastAsia="Calibri" w:cs="Times New Roman"/>
      <w:iCs/>
      <w:sz w:val="26"/>
      <w:szCs w:val="26"/>
    </w:rPr>
  </w:style>
  <w:style w:type="paragraph" w:styleId="997" w:customStyle="1">
    <w:name w:val="_1."/>
    <w:basedOn w:val="933"/>
    <w:next w:val="995"/>
    <w:link w:val="1033"/>
    <w:qFormat/>
    <w:pPr>
      <w:numPr>
        <w:numId w:val="3"/>
      </w:numPr>
      <w:ind w:right="680"/>
      <w:keepLines/>
      <w:keepNext/>
      <w:spacing w:after="360"/>
    </w:pPr>
    <w:rPr>
      <w:rFonts w:eastAsia="MS Gothic"/>
      <w:spacing w:val="0"/>
      <w:sz w:val="26"/>
      <w:szCs w:val="26"/>
      <w:lang w:eastAsia="en-US"/>
    </w:rPr>
  </w:style>
  <w:style w:type="paragraph" w:styleId="998" w:customStyle="1">
    <w:name w:val="_1.1."/>
    <w:basedOn w:val="934"/>
    <w:next w:val="995"/>
    <w:link w:val="1013"/>
    <w:qFormat/>
    <w:pPr>
      <w:numPr>
        <w:numId w:val="3"/>
      </w:numPr>
      <w:contextualSpacing w:val="0"/>
      <w:ind w:left="0" w:right="424" w:firstLine="0"/>
      <w:keepLines/>
      <w:keepNext/>
      <w:spacing w:before="360" w:beforeAutospacing="0" w:after="360" w:afterAutospacing="0"/>
      <w:tabs>
        <w:tab w:val="num" w:pos="360" w:leader="none"/>
      </w:tabs>
    </w:pPr>
    <w:rPr>
      <w:rFonts w:eastAsia="MS Gothic"/>
      <w:i w:val="0"/>
      <w:iCs w:val="0"/>
      <w:spacing w:val="0"/>
      <w:sz w:val="26"/>
      <w:szCs w:val="26"/>
      <w:lang w:eastAsia="en-US"/>
    </w:rPr>
  </w:style>
  <w:style w:type="paragraph" w:styleId="999" w:customStyle="1">
    <w:name w:val="_1.1.1."/>
    <w:basedOn w:val="935"/>
    <w:next w:val="995"/>
    <w:link w:val="1034"/>
    <w:qFormat/>
    <w:pPr>
      <w:numPr>
        <w:numId w:val="3"/>
      </w:numPr>
      <w:ind w:left="0" w:firstLine="0"/>
      <w:jc w:val="both"/>
      <w:spacing w:before="360" w:after="360" w:line="240" w:lineRule="auto"/>
      <w:tabs>
        <w:tab w:val="num" w:pos="360" w:leader="none"/>
      </w:tabs>
    </w:pPr>
    <w:rPr>
      <w:rFonts w:ascii="Times New Roman" w:hAnsi="Times New Roman" w:eastAsia="MS Gothic" w:cs="Times New Roman"/>
      <w:b/>
      <w:bCs/>
      <w:color w:val="auto"/>
      <w:sz w:val="26"/>
      <w:szCs w:val="26"/>
    </w:rPr>
  </w:style>
  <w:style w:type="paragraph" w:styleId="1000" w:customStyle="1">
    <w:name w:val="_1.1.1.1."/>
    <w:basedOn w:val="936"/>
    <w:next w:val="995"/>
    <w:link w:val="1045"/>
    <w:qFormat/>
    <w:pPr>
      <w:numPr>
        <w:numId w:val="3"/>
      </w:numPr>
      <w:ind w:left="0" w:firstLine="0"/>
      <w:jc w:val="both"/>
      <w:spacing w:before="240" w:after="120" w:line="240" w:lineRule="auto"/>
      <w:tabs>
        <w:tab w:val="clear" w:pos="0" w:leader="none"/>
        <w:tab w:val="num" w:pos="360" w:leader="none"/>
      </w:tabs>
    </w:pPr>
    <w:rPr>
      <w:rFonts w:ascii="Times New Roman" w:hAnsi="Times New Roman" w:eastAsia="MS Gothic" w:cs="Times New Roman"/>
      <w:b/>
      <w:bCs/>
      <w:color w:val="auto"/>
      <w:sz w:val="26"/>
      <w:szCs w:val="26"/>
    </w:rPr>
  </w:style>
  <w:style w:type="paragraph" w:styleId="1001" w:customStyle="1">
    <w:name w:val="_Таблица 1.1"/>
    <w:basedOn w:val="995"/>
    <w:next w:val="995"/>
    <w:link w:val="1051"/>
    <w:qFormat/>
    <w:pPr>
      <w:numPr>
        <w:ilvl w:val="5"/>
        <w:numId w:val="3"/>
      </w:numPr>
      <w:ind w:right="282"/>
      <w:spacing w:before="240"/>
    </w:pPr>
  </w:style>
  <w:style w:type="paragraph" w:styleId="1002" w:customStyle="1">
    <w:name w:val="_Таблица 1.1.1"/>
    <w:basedOn w:val="1001"/>
    <w:next w:val="995"/>
    <w:link w:val="1015"/>
    <w:qFormat/>
    <w:pPr>
      <w:numPr>
        <w:ilvl w:val="6"/>
      </w:numPr>
      <w:ind w:left="1296" w:right="284" w:hanging="288"/>
      <w:spacing w:line="240" w:lineRule="auto"/>
    </w:pPr>
  </w:style>
  <w:style w:type="paragraph" w:styleId="1003" w:customStyle="1">
    <w:name w:val="_Таблица 1.1.1.1"/>
    <w:basedOn w:val="1002"/>
    <w:next w:val="995"/>
    <w:link w:val="1004"/>
    <w:qFormat/>
    <w:pPr>
      <w:numPr>
        <w:ilvl w:val="7"/>
      </w:numPr>
      <w:ind w:left="1440" w:hanging="432"/>
    </w:pPr>
  </w:style>
  <w:style w:type="character" w:styleId="1004" w:customStyle="1">
    <w:name w:val="_Таблица 1.1.1.1 Знак"/>
    <w:link w:val="1003"/>
    <w:rPr>
      <w:rFonts w:ascii="Times New Roman" w:hAnsi="Times New Roman" w:eastAsia="Calibri" w:cs="Times New Roman"/>
      <w:iCs/>
      <w:sz w:val="26"/>
      <w:szCs w:val="26"/>
    </w:rPr>
  </w:style>
  <w:style w:type="paragraph" w:styleId="1005" w:customStyle="1">
    <w:name w:val="_Таблица 1.1.1.1.1"/>
    <w:basedOn w:val="1003"/>
    <w:next w:val="995"/>
    <w:qFormat/>
    <w:pPr>
      <w:numPr>
        <w:ilvl w:val="8"/>
      </w:numPr>
      <w:ind w:left="1584" w:hanging="144"/>
      <w:tabs>
        <w:tab w:val="num" w:pos="360" w:leader="none"/>
      </w:tabs>
    </w:pPr>
  </w:style>
  <w:style w:type="paragraph" w:styleId="1006" w:customStyle="1">
    <w:name w:val="_Подпись рисунка"/>
    <w:basedOn w:val="932"/>
    <w:next w:val="995"/>
    <w:link w:val="1042"/>
    <w:qFormat/>
    <w:pPr>
      <w:numPr>
        <w:ilvl w:val="4"/>
        <w:numId w:val="3"/>
      </w:numPr>
      <w:contextualSpacing/>
      <w:jc w:val="center"/>
      <w:spacing w:after="200" w:line="240" w:lineRule="auto"/>
    </w:pPr>
    <w:rPr>
      <w:rFonts w:ascii="Times New Roman" w:hAnsi="Times New Roman" w:eastAsia="Calibri" w:cs="Times New Roman"/>
      <w:sz w:val="26"/>
      <w:szCs w:val="26"/>
    </w:rPr>
  </w:style>
  <w:style w:type="paragraph" w:styleId="1007" w:customStyle="1">
    <w:name w:val="behúzás 3"/>
    <w:basedOn w:val="932"/>
    <w:pPr>
      <w:numPr>
        <w:numId w:val="4"/>
      </w:numPr>
      <w:ind w:left="357" w:hanging="357"/>
      <w:spacing w:before="60" w:after="60" w:line="240" w:lineRule="auto"/>
      <w:tabs>
        <w:tab w:val="num" w:pos="356" w:leader="none"/>
      </w:tabs>
    </w:pPr>
    <w:rPr>
      <w:rFonts w:ascii="Times New Roman" w:hAnsi="Times New Roman" w:eastAsia="Times New Roman" w:cs="Times New Roman"/>
      <w:sz w:val="24"/>
      <w:szCs w:val="28"/>
      <w:lang w:val="de-DE" w:eastAsia="hu-HU"/>
    </w:rPr>
  </w:style>
  <w:style w:type="paragraph" w:styleId="1008" w:customStyle="1">
    <w:name w:val="_Список маркерованный"/>
    <w:basedOn w:val="995"/>
    <w:link w:val="1009"/>
    <w:qFormat/>
    <w:pPr>
      <w:numPr>
        <w:numId w:val="5"/>
      </w:numPr>
      <w:spacing w:line="276" w:lineRule="auto"/>
      <w:tabs>
        <w:tab w:val="left" w:pos="284" w:leader="none"/>
      </w:tabs>
    </w:pPr>
  </w:style>
  <w:style w:type="character" w:styleId="1009" w:customStyle="1">
    <w:name w:val="_Список маркерованный Знак"/>
    <w:link w:val="1008"/>
    <w:rPr>
      <w:rFonts w:ascii="Times New Roman" w:hAnsi="Times New Roman" w:eastAsia="Calibri" w:cs="Times New Roman"/>
      <w:iCs/>
      <w:sz w:val="26"/>
      <w:szCs w:val="26"/>
    </w:rPr>
  </w:style>
  <w:style w:type="paragraph" w:styleId="1010" w:customStyle="1">
    <w:name w:val="Без интервала1"/>
    <w:pPr>
      <w:spacing w:after="0" w:line="240" w:lineRule="auto"/>
      <w:widowControl w:val="off"/>
    </w:pPr>
    <w:rPr>
      <w:rFonts w:ascii="Tahoma" w:hAnsi="Tahoma" w:eastAsia="Times New Roman" w:cs="Tahoma"/>
      <w:color w:val="000000"/>
      <w:sz w:val="24"/>
      <w:szCs w:val="24"/>
      <w:lang w:eastAsia="ru-RU"/>
    </w:rPr>
  </w:style>
  <w:style w:type="table" w:styleId="1011" w:customStyle="1">
    <w:name w:val="Сетка таблицы11"/>
    <w:basedOn w:val="943"/>
    <w:next w:val="961"/>
    <w:uiPriority w:val="59"/>
    <w:pPr>
      <w:spacing w:after="0" w:line="240" w:lineRule="auto"/>
    </w:pPr>
    <w:rPr>
      <w:rFonts w:ascii="Calibri" w:hAnsi="Calibri" w:eastAsia="Calibri" w:cs="Times New Roman"/>
      <w:lang w:val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1012" w:customStyle="1">
    <w:name w:val="Абзац списка Знак"/>
    <w:link w:val="955"/>
  </w:style>
  <w:style w:type="character" w:styleId="1013" w:customStyle="1">
    <w:name w:val="_1.1. Знак"/>
    <w:link w:val="998"/>
    <w:rPr>
      <w:rFonts w:ascii="Times New Roman" w:hAnsi="Times New Roman" w:eastAsia="MS Gothic" w:cs="Times New Roman"/>
      <w:b/>
      <w:bCs/>
      <w:sz w:val="26"/>
      <w:szCs w:val="26"/>
    </w:rPr>
  </w:style>
  <w:style w:type="paragraph" w:styleId="1014">
    <w:name w:val="Normal (Web)"/>
    <w:basedOn w:val="932"/>
    <w:link w:val="1107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1015" w:customStyle="1">
    <w:name w:val="_Таблица 1.1.1 Знак"/>
    <w:link w:val="1002"/>
    <w:rPr>
      <w:rFonts w:ascii="Times New Roman" w:hAnsi="Times New Roman" w:eastAsia="Calibri" w:cs="Times New Roman"/>
      <w:iCs/>
      <w:sz w:val="26"/>
      <w:szCs w:val="26"/>
    </w:rPr>
  </w:style>
  <w:style w:type="paragraph" w:styleId="1016" w:customStyle="1">
    <w:name w:val="ConsPlusNormal"/>
    <w:link w:val="1017"/>
    <w:uiPriority w:val="99"/>
    <w:pPr>
      <w:spacing w:after="0" w:line="240" w:lineRule="auto"/>
      <w:widowControl w:val="off"/>
    </w:pPr>
    <w:rPr>
      <w:rFonts w:ascii="Calibri" w:hAnsi="Calibri" w:eastAsia="Times New Roman" w:cs="Calibri"/>
      <w:lang w:eastAsia="ru-RU"/>
    </w:rPr>
  </w:style>
  <w:style w:type="character" w:styleId="1017" w:customStyle="1">
    <w:name w:val="ConsPlusNormal Знак"/>
    <w:link w:val="1016"/>
    <w:uiPriority w:val="99"/>
    <w:rPr>
      <w:rFonts w:ascii="Calibri" w:hAnsi="Calibri" w:eastAsia="Times New Roman" w:cs="Calibri"/>
      <w:lang w:eastAsia="ru-RU"/>
    </w:rPr>
  </w:style>
  <w:style w:type="character" w:styleId="1018" w:customStyle="1">
    <w:name w:val="Без интервала Знак"/>
    <w:basedOn w:val="942"/>
    <w:link w:val="989"/>
    <w:uiPriority w:val="1"/>
    <w:rPr>
      <w:rFonts w:ascii="Calibri" w:hAnsi="Calibri" w:eastAsia="Calibri" w:cs="Times New Roman"/>
    </w:rPr>
  </w:style>
  <w:style w:type="paragraph" w:styleId="1019" w:customStyle="1">
    <w:name w:val="first_child"/>
    <w:basedOn w:val="932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table" w:styleId="1020" w:customStyle="1">
    <w:name w:val="Table Grid Report1"/>
    <w:basedOn w:val="943"/>
    <w:next w:val="961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021" w:customStyle="1">
    <w:name w:val="Table Grid Report2"/>
    <w:basedOn w:val="943"/>
    <w:next w:val="961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022">
    <w:name w:val="Header"/>
    <w:basedOn w:val="932"/>
    <w:link w:val="1023"/>
    <w:uiPriority w:val="99"/>
    <w:unhideWhenUsed/>
    <w:qFormat/>
    <w:pPr>
      <w:spacing w:after="0" w:line="240" w:lineRule="auto"/>
      <w:tabs>
        <w:tab w:val="center" w:pos="4677" w:leader="none"/>
        <w:tab w:val="right" w:pos="9355" w:leader="none"/>
      </w:tabs>
    </w:pPr>
    <w:rPr>
      <w:rFonts w:ascii="Calibri" w:hAnsi="Calibri" w:eastAsia="Calibri" w:cs="Times New Roman"/>
    </w:rPr>
  </w:style>
  <w:style w:type="character" w:styleId="1023" w:customStyle="1">
    <w:name w:val="Верхний колонтитул Знак"/>
    <w:basedOn w:val="942"/>
    <w:link w:val="1022"/>
    <w:uiPriority w:val="99"/>
    <w:rPr>
      <w:rFonts w:ascii="Calibri" w:hAnsi="Calibri" w:eastAsia="Calibri" w:cs="Times New Roman"/>
    </w:rPr>
  </w:style>
  <w:style w:type="paragraph" w:styleId="1024">
    <w:name w:val="Footer"/>
    <w:basedOn w:val="932"/>
    <w:link w:val="1025"/>
    <w:unhideWhenUsed/>
    <w:pPr>
      <w:spacing w:after="0" w:line="240" w:lineRule="auto"/>
      <w:tabs>
        <w:tab w:val="center" w:pos="4677" w:leader="none"/>
        <w:tab w:val="right" w:pos="9355" w:leader="none"/>
      </w:tabs>
    </w:pPr>
    <w:rPr>
      <w:rFonts w:ascii="Calibri" w:hAnsi="Calibri" w:eastAsia="Calibri" w:cs="Times New Roman"/>
    </w:rPr>
  </w:style>
  <w:style w:type="character" w:styleId="1025" w:customStyle="1">
    <w:name w:val="Нижний колонтитул Знак"/>
    <w:basedOn w:val="942"/>
    <w:link w:val="1024"/>
    <w:rPr>
      <w:rFonts w:ascii="Calibri" w:hAnsi="Calibri" w:eastAsia="Calibri" w:cs="Times New Roman"/>
    </w:rPr>
  </w:style>
  <w:style w:type="paragraph" w:styleId="1026" w:customStyle="1">
    <w:name w:val="formattext"/>
    <w:basedOn w:val="932"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table" w:styleId="1027" w:customStyle="1">
    <w:name w:val="Сетка таблицы1"/>
    <w:basedOn w:val="943"/>
    <w:next w:val="961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028" w:customStyle="1">
    <w:name w:val="Сетка таблицы111"/>
    <w:basedOn w:val="943"/>
    <w:next w:val="961"/>
    <w:uiPriority w:val="59"/>
    <w:pPr>
      <w:spacing w:after="0" w:line="240" w:lineRule="auto"/>
    </w:pPr>
    <w:rPr>
      <w:rFonts w:ascii="Calibri" w:hAnsi="Calibri" w:eastAsia="Calibri" w:cs="Times New Roman"/>
      <w:lang w:val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029" w:customStyle="1">
    <w:name w:val="Сетка таблицы112"/>
    <w:basedOn w:val="943"/>
    <w:next w:val="961"/>
    <w:uiPriority w:val="59"/>
    <w:pPr>
      <w:spacing w:after="0" w:line="240" w:lineRule="auto"/>
    </w:pPr>
    <w:rPr>
      <w:rFonts w:ascii="Calibri" w:hAnsi="Calibri" w:eastAsia="Calibri" w:cs="Times New Roman"/>
      <w:lang w:val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030" w:customStyle="1">
    <w:name w:val="3.3 Т. Слева + 0"/>
    <w:basedOn w:val="932"/>
    <w:link w:val="1031"/>
    <w:qFormat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</w:style>
  <w:style w:type="character" w:styleId="1031" w:customStyle="1">
    <w:name w:val="3.3 Т. Слева + 0 Знак"/>
    <w:link w:val="1030"/>
    <w:rPr>
      <w:rFonts w:ascii="Times New Roman" w:hAnsi="Times New Roman" w:eastAsia="Times New Roman" w:cs="Times New Roman"/>
      <w:sz w:val="20"/>
      <w:szCs w:val="20"/>
    </w:rPr>
  </w:style>
  <w:style w:type="paragraph" w:styleId="1032" w:customStyle="1">
    <w:name w:val="_Список маркерны"/>
    <w:basedOn w:val="995"/>
    <w:link w:val="1035"/>
    <w:qFormat/>
    <w:pPr>
      <w:numPr>
        <w:numId w:val="6"/>
      </w:numPr>
      <w:spacing w:line="240" w:lineRule="auto"/>
      <w:tabs>
        <w:tab w:val="left" w:pos="284" w:leader="none"/>
      </w:tabs>
    </w:pPr>
  </w:style>
  <w:style w:type="character" w:styleId="1033" w:customStyle="1">
    <w:name w:val="_1. Знак"/>
    <w:link w:val="997"/>
    <w:rPr>
      <w:rFonts w:ascii="Times New Roman" w:hAnsi="Times New Roman" w:eastAsia="MS Gothic" w:cs="Times New Roman"/>
      <w:b/>
      <w:bCs/>
      <w:sz w:val="26"/>
      <w:szCs w:val="26"/>
    </w:rPr>
  </w:style>
  <w:style w:type="character" w:styleId="1034" w:customStyle="1">
    <w:name w:val="_1.1.1. Знак"/>
    <w:link w:val="999"/>
    <w:rPr>
      <w:rFonts w:ascii="Times New Roman" w:hAnsi="Times New Roman" w:eastAsia="MS Gothic" w:cs="Times New Roman"/>
      <w:b/>
      <w:bCs/>
      <w:sz w:val="26"/>
      <w:szCs w:val="26"/>
    </w:rPr>
  </w:style>
  <w:style w:type="character" w:styleId="1035" w:customStyle="1">
    <w:name w:val="_Список маркерны Знак"/>
    <w:link w:val="1032"/>
    <w:rPr>
      <w:rFonts w:ascii="Times New Roman" w:hAnsi="Times New Roman" w:eastAsia="Calibri" w:cs="Times New Roman"/>
      <w:iCs/>
      <w:sz w:val="26"/>
      <w:szCs w:val="26"/>
    </w:rPr>
  </w:style>
  <w:style w:type="paragraph" w:styleId="1036">
    <w:name w:val="toc 4"/>
    <w:basedOn w:val="932"/>
    <w:next w:val="932"/>
    <w:uiPriority w:val="39"/>
    <w:unhideWhenUsed/>
    <w:pPr>
      <w:ind w:left="660"/>
      <w:spacing w:after="100" w:line="276" w:lineRule="auto"/>
    </w:pPr>
    <w:rPr>
      <w:rFonts w:eastAsiaTheme="minorEastAsia"/>
      <w:lang w:eastAsia="ru-RU"/>
    </w:rPr>
  </w:style>
  <w:style w:type="paragraph" w:styleId="1037">
    <w:name w:val="toc 5"/>
    <w:basedOn w:val="932"/>
    <w:next w:val="932"/>
    <w:uiPriority w:val="39"/>
    <w:unhideWhenUsed/>
    <w:pPr>
      <w:ind w:left="880"/>
      <w:spacing w:after="100" w:line="276" w:lineRule="auto"/>
    </w:pPr>
    <w:rPr>
      <w:rFonts w:eastAsiaTheme="minorEastAsia"/>
      <w:lang w:eastAsia="ru-RU"/>
    </w:rPr>
  </w:style>
  <w:style w:type="paragraph" w:styleId="1038">
    <w:name w:val="toc 6"/>
    <w:basedOn w:val="932"/>
    <w:next w:val="932"/>
    <w:uiPriority w:val="39"/>
    <w:unhideWhenUsed/>
    <w:pPr>
      <w:ind w:left="1100"/>
      <w:spacing w:after="100" w:line="276" w:lineRule="auto"/>
    </w:pPr>
    <w:rPr>
      <w:rFonts w:eastAsiaTheme="minorEastAsia"/>
      <w:lang w:eastAsia="ru-RU"/>
    </w:rPr>
  </w:style>
  <w:style w:type="paragraph" w:styleId="1039">
    <w:name w:val="toc 7"/>
    <w:basedOn w:val="932"/>
    <w:next w:val="932"/>
    <w:uiPriority w:val="39"/>
    <w:unhideWhenUsed/>
    <w:pPr>
      <w:ind w:left="1320"/>
      <w:spacing w:after="100" w:line="276" w:lineRule="auto"/>
    </w:pPr>
    <w:rPr>
      <w:rFonts w:eastAsiaTheme="minorEastAsia"/>
      <w:lang w:eastAsia="ru-RU"/>
    </w:rPr>
  </w:style>
  <w:style w:type="paragraph" w:styleId="1040">
    <w:name w:val="toc 8"/>
    <w:basedOn w:val="932"/>
    <w:next w:val="932"/>
    <w:uiPriority w:val="39"/>
    <w:unhideWhenUsed/>
    <w:pPr>
      <w:ind w:left="1540"/>
      <w:spacing w:after="100" w:line="276" w:lineRule="auto"/>
    </w:pPr>
    <w:rPr>
      <w:rFonts w:eastAsiaTheme="minorEastAsia"/>
      <w:lang w:eastAsia="ru-RU"/>
    </w:rPr>
  </w:style>
  <w:style w:type="paragraph" w:styleId="1041">
    <w:name w:val="toc 9"/>
    <w:basedOn w:val="932"/>
    <w:next w:val="932"/>
    <w:uiPriority w:val="39"/>
    <w:unhideWhenUsed/>
    <w:pPr>
      <w:ind w:left="1760"/>
      <w:spacing w:after="100" w:line="276" w:lineRule="auto"/>
    </w:pPr>
    <w:rPr>
      <w:rFonts w:eastAsiaTheme="minorEastAsia"/>
      <w:lang w:eastAsia="ru-RU"/>
    </w:rPr>
  </w:style>
  <w:style w:type="character" w:styleId="1042" w:customStyle="1">
    <w:name w:val="_Подпись рисунка Знак"/>
    <w:link w:val="1006"/>
    <w:rPr>
      <w:rFonts w:ascii="Times New Roman" w:hAnsi="Times New Roman" w:eastAsia="Calibri" w:cs="Times New Roman"/>
      <w:sz w:val="26"/>
      <w:szCs w:val="26"/>
    </w:rPr>
  </w:style>
  <w:style w:type="paragraph" w:styleId="1043" w:customStyle="1">
    <w:name w:val="_Сам рисунок"/>
    <w:basedOn w:val="995"/>
    <w:next w:val="1006"/>
    <w:link w:val="1044"/>
    <w:qFormat/>
    <w:pPr>
      <w:ind w:firstLine="0"/>
      <w:jc w:val="center"/>
    </w:pPr>
  </w:style>
  <w:style w:type="character" w:styleId="1044" w:customStyle="1">
    <w:name w:val="_Сам рисунок Знак"/>
    <w:link w:val="1043"/>
    <w:rPr>
      <w:rFonts w:ascii="Times New Roman" w:hAnsi="Times New Roman" w:eastAsia="Calibri" w:cs="Times New Roman"/>
      <w:iCs/>
      <w:sz w:val="26"/>
      <w:szCs w:val="26"/>
    </w:rPr>
  </w:style>
  <w:style w:type="character" w:styleId="1045" w:customStyle="1">
    <w:name w:val="_1.1.1.1. Знак"/>
    <w:link w:val="1000"/>
    <w:rPr>
      <w:rFonts w:ascii="Times New Roman" w:hAnsi="Times New Roman" w:eastAsia="MS Gothic" w:cs="Times New Roman"/>
      <w:b/>
      <w:bCs/>
      <w:i/>
      <w:iCs/>
      <w:sz w:val="26"/>
      <w:szCs w:val="26"/>
    </w:rPr>
  </w:style>
  <w:style w:type="character" w:styleId="1046" w:customStyle="1">
    <w:name w:val="Основной текст (2) + Microsoft Sans Serif;8;5 pt;Полужирный;Интервал 0 pt"/>
    <w:rPr>
      <w:rFonts w:ascii="Microsoft Sans Serif" w:hAnsi="Microsoft Sans Serif" w:eastAsia="Microsoft Sans Serif" w:cs="Microsoft Sans Serif"/>
      <w:b/>
      <w:bCs/>
      <w:i w:val="0"/>
      <w:iCs w:val="0"/>
      <w:smallCaps w:val="0"/>
      <w:strike w:val="0"/>
      <w:color w:val="000000"/>
      <w:spacing w:val="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styleId="1047" w:customStyle="1">
    <w:name w:val="Основной текст (2) + Microsoft Sans Serif;7 pt"/>
    <w:rPr>
      <w:rFonts w:ascii="Microsoft Sans Serif" w:hAnsi="Microsoft Sans Serif" w:eastAsia="Microsoft Sans Serif" w:cs="Microsoft Sans Serif"/>
      <w:b w:val="0"/>
      <w:bCs w:val="0"/>
      <w:i w:val="0"/>
      <w:iCs w:val="0"/>
      <w:smallCaps w:val="0"/>
      <w:strike w:val="0"/>
      <w:color w:val="000000"/>
      <w:spacing w:val="20"/>
      <w:position w:val="0"/>
      <w:sz w:val="14"/>
      <w:szCs w:val="14"/>
      <w:u w:val="none"/>
      <w:shd w:val="clear" w:color="auto" w:fill="ffffff"/>
      <w:lang w:val="ru-RU" w:eastAsia="ru-RU" w:bidi="ru-RU"/>
    </w:rPr>
  </w:style>
  <w:style w:type="character" w:styleId="1048" w:customStyle="1">
    <w:name w:val="Основной текст (2) + Microsoft Sans Serif;8;5 pt;Интервал 0 pt"/>
    <w:rPr>
      <w:rFonts w:ascii="Microsoft Sans Serif" w:hAnsi="Microsoft Sans Serif" w:eastAsia="Microsoft Sans Serif" w:cs="Microsoft Sans Serif"/>
      <w:b w:val="0"/>
      <w:bCs w:val="0"/>
      <w:i w:val="0"/>
      <w:iCs w:val="0"/>
      <w:smallCaps w:val="0"/>
      <w:strike w:val="0"/>
      <w:color w:val="000000"/>
      <w:spacing w:val="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paragraph" w:styleId="1049" w:customStyle="1">
    <w:name w:val="_Список нумерованный"/>
    <w:basedOn w:val="1032"/>
    <w:link w:val="1050"/>
    <w:qFormat/>
    <w:pPr>
      <w:numPr>
        <w:numId w:val="7"/>
      </w:numPr>
    </w:pPr>
  </w:style>
  <w:style w:type="character" w:styleId="1050" w:customStyle="1">
    <w:name w:val="_Список нумерованный Знак"/>
    <w:link w:val="1049"/>
    <w:rPr>
      <w:rFonts w:ascii="Times New Roman" w:hAnsi="Times New Roman" w:eastAsia="Calibri" w:cs="Times New Roman"/>
      <w:iCs/>
      <w:sz w:val="26"/>
      <w:szCs w:val="26"/>
    </w:rPr>
  </w:style>
  <w:style w:type="character" w:styleId="1051" w:customStyle="1">
    <w:name w:val="_Таблица 1.1 Знак"/>
    <w:link w:val="1001"/>
    <w:rPr>
      <w:rFonts w:ascii="Times New Roman" w:hAnsi="Times New Roman" w:eastAsia="Calibri" w:cs="Times New Roman"/>
      <w:iCs/>
      <w:sz w:val="26"/>
      <w:szCs w:val="26"/>
    </w:rPr>
  </w:style>
  <w:style w:type="paragraph" w:styleId="1052" w:customStyle="1">
    <w:name w:val="_Подразделение"/>
    <w:basedOn w:val="995"/>
    <w:next w:val="995"/>
    <w:link w:val="1053"/>
    <w:qFormat/>
    <w:pPr>
      <w:keepLines/>
      <w:keepNext/>
    </w:pPr>
    <w:rPr>
      <w:b/>
    </w:rPr>
  </w:style>
  <w:style w:type="character" w:styleId="1053" w:customStyle="1">
    <w:name w:val="_Подразделение Знак"/>
    <w:link w:val="1052"/>
    <w:rPr>
      <w:rFonts w:ascii="Times New Roman" w:hAnsi="Times New Roman" w:eastAsia="Calibri" w:cs="Times New Roman"/>
      <w:b/>
      <w:iCs/>
      <w:sz w:val="26"/>
      <w:szCs w:val="26"/>
    </w:rPr>
  </w:style>
  <w:style w:type="character" w:styleId="1054" w:customStyle="1">
    <w:name w:val="Основной текст (2) + 10;5 pt;Интервал 0 pt"/>
    <w:rPr>
      <w:rFonts w:ascii="Times New Roman" w:hAnsi="Times New Roman" w:eastAsia="Times New Roman" w:cs="Times New Roman"/>
      <w:b w:val="0"/>
      <w:bCs w:val="0"/>
      <w:i w:val="0"/>
      <w:iCs w:val="0"/>
      <w:smallCaps w:val="0"/>
      <w:strike w:val="0"/>
      <w:color w:val="000000"/>
      <w:spacing w:val="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character" w:styleId="1055" w:customStyle="1">
    <w:name w:val="Основной текст (2) + 11 pt;Полужирный;Интервал 0 pt"/>
    <w:rPr>
      <w:rFonts w:ascii="Times New Roman" w:hAnsi="Times New Roman" w:eastAsia="Times New Roman" w:cs="Times New Roman"/>
      <w:b/>
      <w:bCs/>
      <w:i w:val="0"/>
      <w:iCs w:val="0"/>
      <w:smallCaps w:val="0"/>
      <w:strike w:val="0"/>
      <w:color w:val="000000"/>
      <w:spacing w:val="0"/>
      <w:position w:val="0"/>
      <w:sz w:val="22"/>
      <w:szCs w:val="22"/>
      <w:u w:val="none"/>
      <w:shd w:val="clear" w:color="auto" w:fill="ffffff"/>
      <w:lang w:val="ru-RU" w:eastAsia="ru-RU" w:bidi="ru-RU"/>
    </w:rPr>
  </w:style>
  <w:style w:type="paragraph" w:styleId="1056" w:customStyle="1">
    <w:name w:val="Текст (справка)"/>
    <w:basedOn w:val="932"/>
    <w:next w:val="932"/>
    <w:uiPriority w:val="99"/>
    <w:pPr>
      <w:ind w:left="170" w:right="170"/>
      <w:spacing w:after="0" w:line="240" w:lineRule="auto"/>
      <w:widowControl w:val="off"/>
    </w:pPr>
    <w:rPr>
      <w:rFonts w:ascii="Arial" w:hAnsi="Arial" w:eastAsia="Times New Roman" w:cs="Arial"/>
      <w:sz w:val="24"/>
      <w:szCs w:val="24"/>
      <w:lang w:eastAsia="ru-RU"/>
    </w:rPr>
  </w:style>
  <w:style w:type="paragraph" w:styleId="1057" w:customStyle="1">
    <w:name w:val="Комментарий"/>
    <w:basedOn w:val="1056"/>
    <w:next w:val="932"/>
    <w:uiPriority w:val="99"/>
    <w:pPr>
      <w:ind w:right="0"/>
      <w:jc w:val="both"/>
      <w:spacing w:before="75"/>
    </w:pPr>
    <w:rPr>
      <w:color w:val="353842"/>
      <w:shd w:val="clear" w:color="auto" w:fill="f0f0f0"/>
    </w:rPr>
  </w:style>
  <w:style w:type="paragraph" w:styleId="1058" w:customStyle="1">
    <w:name w:val="Информация об изменениях документа"/>
    <w:basedOn w:val="1057"/>
    <w:next w:val="932"/>
    <w:uiPriority w:val="99"/>
    <w:rPr>
      <w:i/>
      <w:iCs/>
    </w:rPr>
  </w:style>
  <w:style w:type="paragraph" w:styleId="1059" w:customStyle="1">
    <w:name w:val="Ссылка на официальную публикацию"/>
    <w:basedOn w:val="932"/>
    <w:next w:val="932"/>
    <w:uiPriority w:val="99"/>
    <w:pPr>
      <w:ind w:firstLine="720"/>
      <w:jc w:val="both"/>
      <w:spacing w:after="0" w:line="240" w:lineRule="auto"/>
      <w:widowControl w:val="off"/>
    </w:pPr>
    <w:rPr>
      <w:rFonts w:ascii="Arial" w:hAnsi="Arial" w:eastAsia="Times New Roman" w:cs="Arial"/>
      <w:sz w:val="24"/>
      <w:szCs w:val="24"/>
      <w:lang w:eastAsia="ru-RU"/>
    </w:rPr>
  </w:style>
  <w:style w:type="character" w:styleId="1060" w:customStyle="1">
    <w:name w:val="Цветовое выделение для Текст"/>
    <w:uiPriority w:val="99"/>
  </w:style>
  <w:style w:type="character" w:styleId="1061">
    <w:name w:val="annotation reference"/>
    <w:uiPriority w:val="99"/>
    <w:unhideWhenUsed/>
    <w:rPr>
      <w:sz w:val="16"/>
      <w:szCs w:val="16"/>
    </w:rPr>
  </w:style>
  <w:style w:type="paragraph" w:styleId="1062">
    <w:name w:val="annotation text"/>
    <w:basedOn w:val="932"/>
    <w:link w:val="1063"/>
    <w:uiPriority w:val="99"/>
    <w:unhideWhenUsed/>
    <w:pPr>
      <w:ind w:firstLine="720"/>
      <w:jc w:val="both"/>
      <w:spacing w:after="0" w:line="240" w:lineRule="auto"/>
      <w:widowControl w:val="off"/>
    </w:pPr>
    <w:rPr>
      <w:rFonts w:ascii="Arial" w:hAnsi="Arial" w:eastAsia="Times New Roman" w:cs="Arial"/>
      <w:sz w:val="20"/>
      <w:szCs w:val="20"/>
      <w:lang w:eastAsia="ru-RU"/>
    </w:rPr>
  </w:style>
  <w:style w:type="character" w:styleId="1063" w:customStyle="1">
    <w:name w:val="Текст примечания Знак"/>
    <w:basedOn w:val="942"/>
    <w:link w:val="1062"/>
    <w:uiPriority w:val="99"/>
    <w:rPr>
      <w:rFonts w:ascii="Arial" w:hAnsi="Arial" w:eastAsia="Times New Roman" w:cs="Arial"/>
      <w:sz w:val="20"/>
      <w:szCs w:val="20"/>
      <w:lang w:eastAsia="ru-RU"/>
    </w:rPr>
  </w:style>
  <w:style w:type="paragraph" w:styleId="1064">
    <w:name w:val="annotation subject"/>
    <w:basedOn w:val="1062"/>
    <w:next w:val="1062"/>
    <w:link w:val="1065"/>
    <w:uiPriority w:val="99"/>
    <w:unhideWhenUsed/>
    <w:rPr>
      <w:b/>
      <w:bCs/>
    </w:rPr>
  </w:style>
  <w:style w:type="character" w:styleId="1065" w:customStyle="1">
    <w:name w:val="Тема примечания Знак"/>
    <w:basedOn w:val="1063"/>
    <w:link w:val="1064"/>
    <w:uiPriority w:val="99"/>
    <w:rPr>
      <w:rFonts w:ascii="Arial" w:hAnsi="Arial" w:eastAsia="Times New Roman" w:cs="Arial"/>
      <w:b/>
      <w:bCs/>
      <w:sz w:val="20"/>
      <w:szCs w:val="20"/>
      <w:lang w:eastAsia="ru-RU"/>
    </w:rPr>
  </w:style>
  <w:style w:type="table" w:styleId="1066" w:customStyle="1">
    <w:name w:val="Table Normal2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67" w:customStyle="1">
    <w:name w:val="Table Normal3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68" w:customStyle="1">
    <w:name w:val="Table Normal4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69" w:customStyle="1">
    <w:name w:val="Table Normal5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70" w:customStyle="1">
    <w:name w:val="Table Normal6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71" w:customStyle="1">
    <w:name w:val="Table Normal7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72" w:customStyle="1">
    <w:name w:val="Сетка таблицы2"/>
    <w:basedOn w:val="943"/>
    <w:next w:val="961"/>
    <w:uiPriority w:val="3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073" w:customStyle="1">
    <w:name w:val="Table Normal8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74" w:customStyle="1">
    <w:name w:val="Сетка таблицы21"/>
    <w:basedOn w:val="943"/>
    <w:next w:val="961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1075" w:customStyle="1">
    <w:name w:val="Основной текст (4)_"/>
    <w:link w:val="1076"/>
    <w:rPr>
      <w:b/>
      <w:bCs/>
      <w:sz w:val="28"/>
      <w:szCs w:val="28"/>
      <w:shd w:val="clear" w:color="auto" w:fill="ffffff"/>
    </w:rPr>
  </w:style>
  <w:style w:type="paragraph" w:styleId="1076" w:customStyle="1">
    <w:name w:val="Основной текст (4)"/>
    <w:basedOn w:val="932"/>
    <w:link w:val="1075"/>
    <w:pPr>
      <w:ind w:firstLine="600"/>
      <w:jc w:val="both"/>
      <w:spacing w:after="480" w:line="480" w:lineRule="exact"/>
      <w:shd w:val="clear" w:color="auto" w:fill="ffffff"/>
      <w:widowControl w:val="off"/>
    </w:pPr>
    <w:rPr>
      <w:b/>
      <w:bCs/>
      <w:sz w:val="28"/>
      <w:szCs w:val="28"/>
    </w:rPr>
  </w:style>
  <w:style w:type="character" w:styleId="1077" w:customStyle="1">
    <w:name w:val="Заголовок №4_"/>
    <w:link w:val="1078"/>
    <w:rPr>
      <w:b/>
      <w:bCs/>
      <w:sz w:val="28"/>
      <w:szCs w:val="28"/>
      <w:shd w:val="clear" w:color="auto" w:fill="ffffff"/>
    </w:rPr>
  </w:style>
  <w:style w:type="paragraph" w:styleId="1078" w:customStyle="1">
    <w:name w:val="Заголовок №4"/>
    <w:basedOn w:val="932"/>
    <w:link w:val="1077"/>
    <w:pPr>
      <w:ind w:firstLine="600"/>
      <w:jc w:val="both"/>
      <w:spacing w:before="480" w:after="720" w:line="240" w:lineRule="atLeast"/>
      <w:shd w:val="clear" w:color="auto" w:fill="ffffff"/>
      <w:widowControl w:val="off"/>
      <w:outlineLvl w:val="3"/>
    </w:pPr>
    <w:rPr>
      <w:b/>
      <w:bCs/>
      <w:sz w:val="28"/>
      <w:szCs w:val="28"/>
    </w:rPr>
  </w:style>
  <w:style w:type="paragraph" w:styleId="1079" w:customStyle="1">
    <w:name w:val="Абзац списка1"/>
    <w:basedOn w:val="932"/>
    <w:uiPriority w:val="99"/>
    <w:pPr>
      <w:ind w:left="720"/>
      <w:spacing w:after="0" w:line="240" w:lineRule="auto"/>
      <w:widowControl w:val="off"/>
    </w:pPr>
    <w:rPr>
      <w:rFonts w:ascii="Tahoma" w:hAnsi="Tahoma" w:eastAsia="Times New Roman" w:cs="Tahoma"/>
      <w:color w:val="000000"/>
      <w:sz w:val="24"/>
      <w:szCs w:val="24"/>
      <w:lang w:eastAsia="ru-RU"/>
    </w:rPr>
  </w:style>
  <w:style w:type="table" w:styleId="1080" w:customStyle="1">
    <w:name w:val="Сетка таблицы12"/>
    <w:basedOn w:val="943"/>
    <w:next w:val="961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081">
    <w:name w:val="Revision"/>
    <w:hidden/>
    <w:uiPriority w:val="99"/>
    <w:semiHidden/>
    <w:pPr>
      <w:spacing w:after="0" w:line="240" w:lineRule="auto"/>
    </w:pPr>
    <w:rPr>
      <w:rFonts w:ascii="Arial" w:hAnsi="Arial" w:eastAsia="Times New Roman" w:cs="Arial"/>
      <w:sz w:val="24"/>
      <w:szCs w:val="24"/>
      <w:lang w:eastAsia="ru-RU"/>
    </w:rPr>
  </w:style>
  <w:style w:type="numbering" w:styleId="1082" w:customStyle="1">
    <w:name w:val="Нет списка11"/>
    <w:next w:val="944"/>
    <w:uiPriority w:val="99"/>
    <w:semiHidden/>
    <w:unhideWhenUsed/>
  </w:style>
  <w:style w:type="table" w:styleId="1083" w:customStyle="1">
    <w:name w:val="Table Normal9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84" w:customStyle="1">
    <w:name w:val="Table Normal1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85" w:customStyle="1">
    <w:name w:val="Table Normal2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86" w:customStyle="1">
    <w:name w:val="Table Normal3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87" w:customStyle="1">
    <w:name w:val="Table Normal4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88" w:customStyle="1">
    <w:name w:val="Table Normal5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89" w:customStyle="1">
    <w:name w:val="Table Normal6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90" w:customStyle="1">
    <w:name w:val="Table Normal7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91" w:customStyle="1">
    <w:name w:val="Сетка таблицы3"/>
    <w:basedOn w:val="943"/>
    <w:next w:val="961"/>
    <w:uiPriority w:val="5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092" w:customStyle="1">
    <w:name w:val="Table Normal8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093" w:customStyle="1">
    <w:name w:val="Сетка таблицы113"/>
    <w:basedOn w:val="943"/>
    <w:next w:val="961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094">
    <w:name w:val="endnote text"/>
    <w:basedOn w:val="932"/>
    <w:link w:val="1095"/>
    <w:uiPriority w:val="99"/>
    <w:semiHidden/>
    <w:unhideWhenUsed/>
    <w:pPr>
      <w:spacing w:after="0" w:line="240" w:lineRule="auto"/>
    </w:pPr>
    <w:rPr>
      <w:rFonts w:ascii="Calibri" w:hAnsi="Calibri" w:eastAsia="Calibri" w:cs="Times New Roman"/>
      <w:sz w:val="20"/>
      <w:szCs w:val="20"/>
    </w:rPr>
  </w:style>
  <w:style w:type="character" w:styleId="1095" w:customStyle="1">
    <w:name w:val="Текст концевой сноски Знак"/>
    <w:basedOn w:val="942"/>
    <w:link w:val="1094"/>
    <w:uiPriority w:val="99"/>
    <w:semiHidden/>
    <w:rPr>
      <w:rFonts w:ascii="Calibri" w:hAnsi="Calibri" w:eastAsia="Calibri" w:cs="Times New Roman"/>
      <w:sz w:val="20"/>
      <w:szCs w:val="20"/>
    </w:rPr>
  </w:style>
  <w:style w:type="character" w:styleId="1096">
    <w:name w:val="endnote reference"/>
    <w:basedOn w:val="942"/>
    <w:uiPriority w:val="99"/>
    <w:semiHidden/>
    <w:unhideWhenUsed/>
    <w:rPr>
      <w:vertAlign w:val="superscript"/>
    </w:rPr>
  </w:style>
  <w:style w:type="table" w:styleId="1097" w:customStyle="1">
    <w:name w:val="Сетка таблицы5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098" w:customStyle="1">
    <w:name w:val="S_Обычный"/>
    <w:basedOn w:val="932"/>
    <w:uiPriority w:val="99"/>
    <w:qFormat/>
    <w:pPr>
      <w:ind w:firstLine="709"/>
      <w:jc w:val="both"/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ar-SA"/>
    </w:rPr>
  </w:style>
  <w:style w:type="character" w:styleId="1099" w:customStyle="1">
    <w:name w:val="size12"/>
    <w:basedOn w:val="942"/>
  </w:style>
  <w:style w:type="paragraph" w:styleId="1100" w:customStyle="1">
    <w:name w:val="! AAA !"/>
    <w:link w:val="1101"/>
    <w:uiPriority w:val="99"/>
    <w:qFormat/>
    <w:pPr>
      <w:jc w:val="both"/>
      <w:spacing w:after="120" w:line="240" w:lineRule="auto"/>
    </w:pPr>
    <w:rPr>
      <w:rFonts w:ascii="Times New Roman" w:hAnsi="Times New Roman" w:eastAsia="Times New Roman" w:cs="Times New Roman"/>
      <w:sz w:val="24"/>
      <w:szCs w:val="16"/>
      <w:lang w:eastAsia="ru-RU"/>
    </w:rPr>
  </w:style>
  <w:style w:type="character" w:styleId="1101" w:customStyle="1">
    <w:name w:val="! AAA ! Знак"/>
    <w:link w:val="1100"/>
    <w:uiPriority w:val="99"/>
    <w:rPr>
      <w:rFonts w:ascii="Times New Roman" w:hAnsi="Times New Roman" w:eastAsia="Times New Roman" w:cs="Times New Roman"/>
      <w:sz w:val="24"/>
      <w:szCs w:val="16"/>
      <w:lang w:eastAsia="ru-RU"/>
    </w:rPr>
  </w:style>
  <w:style w:type="character" w:styleId="1102">
    <w:name w:val="page number"/>
    <w:basedOn w:val="942"/>
  </w:style>
  <w:style w:type="paragraph" w:styleId="1103">
    <w:name w:val="List"/>
    <w:basedOn w:val="947"/>
    <w:uiPriority w:val="99"/>
    <w:pPr>
      <w:ind w:left="1440" w:hanging="360"/>
      <w:jc w:val="both"/>
      <w:spacing w:before="120" w:after="120" w:line="240" w:lineRule="auto"/>
    </w:pPr>
    <w:rPr>
      <w:rFonts w:ascii="Arial" w:hAnsi="Arial" w:eastAsia="Calibri"/>
      <w:spacing w:val="-5"/>
      <w:sz w:val="22"/>
      <w:szCs w:val="22"/>
    </w:rPr>
  </w:style>
  <w:style w:type="paragraph" w:styleId="1104">
    <w:name w:val="Document Map"/>
    <w:basedOn w:val="932"/>
    <w:link w:val="1105"/>
    <w:uiPriority w:val="99"/>
    <w:semiHidden/>
    <w:pPr>
      <w:spacing w:after="0" w:line="240" w:lineRule="auto"/>
      <w:shd w:val="clear" w:color="auto" w:fill="000080"/>
    </w:pPr>
    <w:rPr>
      <w:rFonts w:ascii="Tahoma" w:hAnsi="Tahoma" w:eastAsia="Times New Roman" w:cs="Tahoma"/>
      <w:sz w:val="20"/>
      <w:szCs w:val="20"/>
      <w:lang w:eastAsia="zh-TW"/>
    </w:rPr>
  </w:style>
  <w:style w:type="character" w:styleId="1105" w:customStyle="1">
    <w:name w:val="Схема документа Знак"/>
    <w:basedOn w:val="942"/>
    <w:link w:val="1104"/>
    <w:uiPriority w:val="99"/>
    <w:semiHidden/>
    <w:rPr>
      <w:rFonts w:ascii="Tahoma" w:hAnsi="Tahoma" w:eastAsia="Times New Roman" w:cs="Tahoma"/>
      <w:sz w:val="20"/>
      <w:szCs w:val="20"/>
      <w:shd w:val="clear" w:color="auto" w:fill="000080"/>
      <w:lang w:eastAsia="zh-TW"/>
    </w:rPr>
  </w:style>
  <w:style w:type="paragraph" w:styleId="1106" w:customStyle="1">
    <w:name w:val="Знак1 Знак Знак Знак Знак Знак Знак Знак Знак1 Знак"/>
    <w:basedOn w:val="932"/>
    <w:pPr>
      <w:spacing w:line="240" w:lineRule="exact"/>
    </w:pPr>
    <w:rPr>
      <w:rFonts w:ascii="Verdana" w:hAnsi="Verdana" w:eastAsia="Times New Roman" w:cs="Times New Roman"/>
      <w:sz w:val="20"/>
      <w:szCs w:val="20"/>
      <w:lang w:val="en-US"/>
    </w:rPr>
  </w:style>
  <w:style w:type="character" w:styleId="1107" w:customStyle="1">
    <w:name w:val="Обычный (веб) Знак"/>
    <w:link w:val="1014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08">
    <w:name w:val="Body Text Indent"/>
    <w:basedOn w:val="932"/>
    <w:link w:val="1109"/>
    <w:uiPriority w:val="99"/>
    <w:pPr>
      <w:ind w:left="283"/>
      <w:spacing w:after="12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1109" w:customStyle="1">
    <w:name w:val="Основной текст с отступом Знак"/>
    <w:basedOn w:val="942"/>
    <w:link w:val="1108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10" w:customStyle="1">
    <w:name w:val="Основной текст 21"/>
    <w:basedOn w:val="932"/>
    <w:uiPriority w:val="99"/>
    <w:pPr>
      <w:jc w:val="both"/>
      <w:spacing w:after="0" w:line="240" w:lineRule="auto"/>
      <w:widowControl w:val="off"/>
    </w:pPr>
    <w:rPr>
      <w:rFonts w:ascii="Times New Roman" w:hAnsi="Times New Roman" w:eastAsia="Andale Sans UI" w:cs="Times New Roman"/>
      <w:sz w:val="24"/>
      <w:szCs w:val="20"/>
      <w:lang w:eastAsia="ru-RU"/>
    </w:rPr>
  </w:style>
  <w:style w:type="paragraph" w:styleId="1111" w:customStyle="1">
    <w:name w:val="Обычный1"/>
    <w:basedOn w:val="932"/>
    <w:link w:val="1543"/>
    <w:uiPriority w:val="99"/>
    <w:pPr>
      <w:spacing w:after="0" w:line="240" w:lineRule="auto"/>
      <w:widowControl w:val="off"/>
    </w:pPr>
    <w:rPr>
      <w:rFonts w:ascii="Times New Roman" w:hAnsi="Times New Roman" w:eastAsia="Times New Roman" w:cs="Times New Roman"/>
      <w:color w:val="000000"/>
      <w:sz w:val="24"/>
      <w:szCs w:val="24"/>
      <w:lang w:eastAsia="zh-CN" w:bidi="hi-IN"/>
    </w:rPr>
  </w:style>
  <w:style w:type="paragraph" w:styleId="1112" w:customStyle="1">
    <w:name w:val="Содержимое таблицы"/>
    <w:basedOn w:val="932"/>
    <w:uiPriority w:val="99"/>
    <w:pPr>
      <w:spacing w:after="0" w:line="240" w:lineRule="auto"/>
      <w:widowControl w:val="off"/>
      <w:suppressLineNumbers/>
    </w:pPr>
    <w:rPr>
      <w:rFonts w:ascii="Times New Roman" w:hAnsi="Times New Roman" w:eastAsia="Andale Sans UI" w:cs="Times New Roman"/>
      <w:sz w:val="24"/>
      <w:szCs w:val="24"/>
      <w:lang w:eastAsia="ru-RU"/>
    </w:rPr>
  </w:style>
  <w:style w:type="paragraph" w:styleId="1113" w:customStyle="1">
    <w:name w:val="Заголовок1"/>
    <w:basedOn w:val="932"/>
    <w:next w:val="947"/>
    <w:uiPriority w:val="99"/>
    <w:pPr>
      <w:keepNext/>
      <w:spacing w:before="240" w:after="120" w:line="240" w:lineRule="auto"/>
      <w:widowControl w:val="off"/>
    </w:pPr>
    <w:rPr>
      <w:rFonts w:ascii="Arial" w:hAnsi="Arial" w:eastAsia="Andale Sans UI" w:cs="Tahoma"/>
      <w:sz w:val="28"/>
      <w:szCs w:val="28"/>
      <w:lang w:eastAsia="ru-RU"/>
    </w:rPr>
  </w:style>
  <w:style w:type="paragraph" w:styleId="1114">
    <w:name w:val="Subtitle"/>
    <w:basedOn w:val="1113"/>
    <w:next w:val="947"/>
    <w:link w:val="1115"/>
    <w:uiPriority w:val="99"/>
    <w:qFormat/>
    <w:pPr>
      <w:jc w:val="center"/>
    </w:pPr>
    <w:rPr>
      <w:rFonts w:cs="Times New Roman"/>
      <w:i/>
      <w:iCs/>
    </w:rPr>
  </w:style>
  <w:style w:type="character" w:styleId="1115" w:customStyle="1">
    <w:name w:val="Подзаголовок Знак"/>
    <w:basedOn w:val="942"/>
    <w:link w:val="1114"/>
    <w:uiPriority w:val="99"/>
    <w:rPr>
      <w:rFonts w:ascii="Arial" w:hAnsi="Arial" w:eastAsia="Andale Sans UI" w:cs="Times New Roman"/>
      <w:i/>
      <w:iCs/>
      <w:sz w:val="28"/>
      <w:szCs w:val="28"/>
      <w:lang w:eastAsia="ru-RU"/>
    </w:rPr>
  </w:style>
  <w:style w:type="character" w:styleId="1116" w:customStyle="1">
    <w:name w:val="Название объекта Знак"/>
    <w:link w:val="954"/>
    <w:uiPriority w:val="35"/>
    <w:rPr>
      <w:i/>
      <w:iCs/>
      <w:color w:val="44546a" w:themeColor="text2"/>
      <w:sz w:val="18"/>
      <w:szCs w:val="18"/>
    </w:rPr>
  </w:style>
  <w:style w:type="paragraph" w:styleId="1117" w:customStyle="1">
    <w:name w:val="Основной текст с отступом 21"/>
    <w:basedOn w:val="932"/>
    <w:pPr>
      <w:ind w:left="283"/>
      <w:spacing w:after="120" w:line="480" w:lineRule="auto"/>
      <w:widowControl w:val="off"/>
    </w:pPr>
    <w:rPr>
      <w:rFonts w:ascii="Times New Roman" w:hAnsi="Times New Roman" w:eastAsia="Andale Sans UI" w:cs="Times New Roman"/>
      <w:sz w:val="24"/>
      <w:szCs w:val="24"/>
      <w:lang w:eastAsia="ru-RU"/>
    </w:rPr>
  </w:style>
  <w:style w:type="character" w:styleId="1118" w:customStyle="1">
    <w:name w:val="Text NPA"/>
    <w:rPr>
      <w:rFonts w:hint="default" w:ascii="Courier New" w:hAnsi="Courier New" w:cs="Courier New"/>
    </w:rPr>
  </w:style>
  <w:style w:type="paragraph" w:styleId="1119" w:customStyle="1">
    <w:name w:val="Основной текст с отступом 22"/>
    <w:basedOn w:val="932"/>
    <w:pPr>
      <w:ind w:left="283"/>
      <w:spacing w:after="120" w:line="480" w:lineRule="auto"/>
      <w:widowControl w:val="off"/>
    </w:pPr>
    <w:rPr>
      <w:rFonts w:ascii="Times New Roman" w:hAnsi="Times New Roman" w:eastAsia="Andale Sans UI" w:cs="Times New Roman"/>
      <w:sz w:val="24"/>
      <w:szCs w:val="24"/>
      <w:lang w:eastAsia="ru-RU"/>
    </w:rPr>
  </w:style>
  <w:style w:type="paragraph" w:styleId="1120">
    <w:name w:val="List Number"/>
    <w:basedOn w:val="932"/>
    <w:pPr>
      <w:numPr>
        <w:numId w:val="8"/>
      </w:num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1121" w:customStyle="1">
    <w:name w:val="Название Знак1"/>
    <w:rPr>
      <w:rFonts w:ascii="Cambria" w:hAnsi="Cambria" w:eastAsia="Times New Roman" w:cs="Times New Roman"/>
      <w:b/>
      <w:bCs/>
      <w:sz w:val="32"/>
      <w:szCs w:val="32"/>
    </w:rPr>
  </w:style>
  <w:style w:type="paragraph" w:styleId="1122" w:customStyle="1">
    <w:name w:val="Абзац списка2"/>
    <w:basedOn w:val="932"/>
    <w:uiPriority w:val="99"/>
    <w:pPr>
      <w:ind w:left="708"/>
      <w:spacing w:after="0" w:line="240" w:lineRule="auto"/>
      <w:widowControl w:val="off"/>
    </w:pPr>
    <w:rPr>
      <w:rFonts w:ascii="Times New Roman" w:hAnsi="Times New Roman" w:eastAsia="Andale Sans UI" w:cs="Times New Roman"/>
      <w:sz w:val="24"/>
      <w:szCs w:val="24"/>
      <w:lang w:eastAsia="ru-RU"/>
    </w:rPr>
  </w:style>
  <w:style w:type="character" w:styleId="1123" w:customStyle="1">
    <w:name w:val="Основной текст 2 Знак1"/>
    <w:basedOn w:val="942"/>
    <w:uiPriority w:val="99"/>
    <w:rPr>
      <w:rFonts w:ascii="Calibri" w:hAnsi="Calibri" w:eastAsia="Calibri" w:cs="Times New Roman"/>
    </w:rPr>
  </w:style>
  <w:style w:type="paragraph" w:styleId="1124">
    <w:name w:val="Body Text Indent 2"/>
    <w:basedOn w:val="932"/>
    <w:link w:val="1125"/>
    <w:uiPriority w:val="99"/>
    <w:unhideWhenUsed/>
    <w:pPr>
      <w:ind w:left="283"/>
      <w:spacing w:after="120" w:line="480" w:lineRule="auto"/>
    </w:pPr>
    <w:rPr>
      <w:rFonts w:ascii="Calibri" w:hAnsi="Calibri" w:eastAsia="Times New Roman" w:cs="Times New Roman"/>
      <w:sz w:val="24"/>
      <w:szCs w:val="24"/>
      <w:lang w:val="en-US"/>
    </w:rPr>
  </w:style>
  <w:style w:type="character" w:styleId="1125" w:customStyle="1">
    <w:name w:val="Основной текст с отступом 2 Знак"/>
    <w:basedOn w:val="942"/>
    <w:link w:val="1124"/>
    <w:uiPriority w:val="99"/>
    <w:rPr>
      <w:rFonts w:ascii="Calibri" w:hAnsi="Calibri" w:eastAsia="Times New Roman" w:cs="Times New Roman"/>
      <w:sz w:val="24"/>
      <w:szCs w:val="24"/>
      <w:lang w:val="en-US"/>
    </w:rPr>
  </w:style>
  <w:style w:type="paragraph" w:styleId="1126" w:customStyle="1">
    <w:name w:val="Основной текст 31"/>
    <w:basedOn w:val="932"/>
    <w:uiPriority w:val="99"/>
    <w:pPr>
      <w:spacing w:after="120" w:line="240" w:lineRule="auto"/>
      <w:widowControl w:val="off"/>
    </w:pPr>
    <w:rPr>
      <w:rFonts w:ascii="Times New Roman" w:hAnsi="Times New Roman" w:eastAsia="Andale Sans UI" w:cs="Times New Roman"/>
      <w:sz w:val="16"/>
      <w:szCs w:val="16"/>
      <w:lang w:eastAsia="ru-RU"/>
    </w:rPr>
  </w:style>
  <w:style w:type="paragraph" w:styleId="1127" w:customStyle="1">
    <w:name w:val="Основной текст (6)"/>
    <w:uiPriority w:val="99"/>
    <w:pPr>
      <w:jc w:val="right"/>
      <w:spacing w:after="0" w:line="240" w:lineRule="auto"/>
      <w:shd w:val="clear" w:color="auto" w:fill="ffffff"/>
    </w:pPr>
    <w:rPr>
      <w:rFonts w:ascii="Times New Roman" w:hAnsi="Times New Roman" w:eastAsia="SimSun" w:cs="Mangal"/>
      <w:b/>
      <w:sz w:val="16"/>
      <w:szCs w:val="16"/>
      <w:lang w:eastAsia="zh-CN" w:bidi="hi-IN"/>
    </w:rPr>
  </w:style>
  <w:style w:type="paragraph" w:styleId="1128" w:customStyle="1">
    <w:name w:val="Основной текст (8)"/>
    <w:uiPriority w:val="99"/>
    <w:pPr>
      <w:spacing w:after="0" w:line="240" w:lineRule="auto"/>
      <w:shd w:val="clear" w:color="auto" w:fill="ffffff"/>
    </w:pPr>
    <w:rPr>
      <w:rFonts w:ascii="Times New Roman" w:hAnsi="Times New Roman" w:eastAsia="SimSun" w:cs="Mangal"/>
      <w:b/>
      <w:i/>
      <w:sz w:val="21"/>
      <w:szCs w:val="21"/>
      <w:lang w:eastAsia="zh-CN" w:bidi="hi-IN"/>
    </w:rPr>
  </w:style>
  <w:style w:type="paragraph" w:styleId="1129" w:customStyle="1">
    <w:name w:val="Основной текст (9)"/>
    <w:uiPriority w:val="99"/>
    <w:pPr>
      <w:spacing w:after="0" w:line="240" w:lineRule="auto"/>
      <w:shd w:val="clear" w:color="auto" w:fill="ffffff"/>
    </w:pPr>
    <w:rPr>
      <w:rFonts w:ascii="Times New Roman" w:hAnsi="Times New Roman" w:eastAsia="SimSun" w:cs="Mangal"/>
      <w:b/>
      <w:sz w:val="20"/>
      <w:szCs w:val="20"/>
      <w:lang w:eastAsia="zh-CN" w:bidi="hi-IN"/>
    </w:rPr>
  </w:style>
  <w:style w:type="paragraph" w:styleId="1130" w:customStyle="1">
    <w:name w:val="Основной текст 22"/>
    <w:basedOn w:val="932"/>
    <w:uiPriority w:val="99"/>
    <w:pPr>
      <w:jc w:val="both"/>
      <w:spacing w:after="0" w:line="240" w:lineRule="auto"/>
      <w:widowControl w:val="off"/>
    </w:pPr>
    <w:rPr>
      <w:rFonts w:ascii="Times New Roman" w:hAnsi="Times New Roman" w:eastAsia="Andale Sans UI" w:cs="Times New Roman"/>
      <w:sz w:val="24"/>
      <w:szCs w:val="20"/>
      <w:lang w:eastAsia="ru-RU"/>
    </w:rPr>
  </w:style>
  <w:style w:type="paragraph" w:styleId="1131" w:customStyle="1">
    <w:name w:val="WW-Normal"/>
    <w:basedOn w:val="932"/>
    <w:uiPriority w:val="99"/>
    <w:pPr>
      <w:spacing w:after="0" w:line="240" w:lineRule="auto"/>
      <w:widowControl w:val="off"/>
    </w:pPr>
    <w:rPr>
      <w:rFonts w:ascii="Times New Roman" w:hAnsi="Times New Roman" w:eastAsia="Times New Roman" w:cs="Times New Roman"/>
      <w:color w:val="000000"/>
      <w:sz w:val="24"/>
      <w:szCs w:val="24"/>
      <w:lang w:eastAsia="zh-CN" w:bidi="hi-IN"/>
    </w:rPr>
  </w:style>
  <w:style w:type="character" w:styleId="1132" w:customStyle="1">
    <w:name w:val="WW8Num2z0"/>
    <w:rPr>
      <w:rFonts w:hint="default" w:ascii="Symbol" w:hAnsi="Symbol" w:cs="Symbol"/>
    </w:rPr>
  </w:style>
  <w:style w:type="paragraph" w:styleId="1133" w:customStyle="1">
    <w:name w:val="Style4"/>
    <w:basedOn w:val="932"/>
    <w:uiPriority w:val="99"/>
    <w:pPr>
      <w:jc w:val="both"/>
      <w:spacing w:after="0" w:line="218" w:lineRule="exact"/>
      <w:widowControl w:val="off"/>
    </w:pPr>
    <w:rPr>
      <w:rFonts w:ascii="Tahoma" w:hAnsi="Tahoma" w:eastAsia="Times New Roman" w:cs="Tahoma"/>
      <w:sz w:val="24"/>
      <w:szCs w:val="24"/>
      <w:lang w:eastAsia="ru-RU"/>
    </w:rPr>
  </w:style>
  <w:style w:type="character" w:styleId="1134" w:customStyle="1">
    <w:name w:val="Font Style12"/>
    <w:uiPriority w:val="99"/>
    <w:rPr>
      <w:rFonts w:ascii="Tahoma" w:hAnsi="Tahoma" w:cs="Tahoma"/>
      <w:b/>
      <w:bCs/>
      <w:sz w:val="18"/>
      <w:szCs w:val="18"/>
    </w:rPr>
  </w:style>
  <w:style w:type="character" w:styleId="1135" w:customStyle="1">
    <w:name w:val="Font Style14"/>
    <w:uiPriority w:val="99"/>
    <w:rPr>
      <w:rFonts w:ascii="Tahoma" w:hAnsi="Tahoma" w:cs="Tahoma"/>
      <w:sz w:val="18"/>
      <w:szCs w:val="18"/>
    </w:rPr>
  </w:style>
  <w:style w:type="paragraph" w:styleId="1136" w:customStyle="1">
    <w:name w:val="font5"/>
    <w:basedOn w:val="932"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37" w:customStyle="1">
    <w:name w:val="font6"/>
    <w:basedOn w:val="932"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138" w:customStyle="1">
    <w:name w:val="font7"/>
    <w:basedOn w:val="932"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39" w:customStyle="1">
    <w:name w:val="font8"/>
    <w:basedOn w:val="932"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color w:val="ff0000"/>
      <w:sz w:val="20"/>
      <w:szCs w:val="20"/>
      <w:lang w:eastAsia="ru-RU"/>
    </w:rPr>
  </w:style>
  <w:style w:type="paragraph" w:styleId="1140" w:customStyle="1">
    <w:name w:val="xl165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41" w:customStyle="1">
    <w:name w:val="xl166"/>
    <w:basedOn w:val="932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42" w:customStyle="1">
    <w:name w:val="xl167"/>
    <w:basedOn w:val="932"/>
    <w:pPr>
      <w:spacing w:before="100" w:beforeAutospacing="1" w:after="100" w:afterAutospacing="1" w:line="240" w:lineRule="auto"/>
      <w:shd w:val="clear" w:color="25437c" w:fill="ffff00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43" w:customStyle="1">
    <w:name w:val="xl168"/>
    <w:basedOn w:val="932"/>
    <w:pPr>
      <w:jc w:val="center"/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44" w:customStyle="1">
    <w:name w:val="xl169"/>
    <w:basedOn w:val="932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45" w:customStyle="1">
    <w:name w:val="xl170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46" w:customStyle="1">
    <w:name w:val="xl171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47" w:customStyle="1">
    <w:name w:val="xl172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48" w:customStyle="1">
    <w:name w:val="xl173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49" w:customStyle="1">
    <w:name w:val="xl174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50" w:customStyle="1">
    <w:name w:val="xl175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151" w:customStyle="1">
    <w:name w:val="xl176"/>
    <w:basedOn w:val="932"/>
    <w:pPr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52" w:customStyle="1">
    <w:name w:val="xl177"/>
    <w:basedOn w:val="932"/>
    <w:pPr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53" w:customStyle="1">
    <w:name w:val="xl178"/>
    <w:basedOn w:val="932"/>
    <w:pPr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54" w:customStyle="1">
    <w:name w:val="xl179"/>
    <w:basedOn w:val="932"/>
    <w:pPr>
      <w:jc w:val="both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55" w:customStyle="1">
    <w:name w:val="xl180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ff0000"/>
      <w:sz w:val="20"/>
      <w:szCs w:val="20"/>
      <w:lang w:eastAsia="ru-RU"/>
    </w:rPr>
  </w:style>
  <w:style w:type="paragraph" w:styleId="1156" w:customStyle="1">
    <w:name w:val="xl181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ff0000"/>
      <w:sz w:val="20"/>
      <w:szCs w:val="20"/>
      <w:lang w:eastAsia="ru-RU"/>
    </w:rPr>
  </w:style>
  <w:style w:type="paragraph" w:styleId="1157" w:customStyle="1">
    <w:name w:val="xl182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ff0000"/>
      <w:sz w:val="20"/>
      <w:szCs w:val="20"/>
      <w:lang w:eastAsia="ru-RU"/>
    </w:rPr>
  </w:style>
  <w:style w:type="paragraph" w:styleId="1158" w:customStyle="1">
    <w:name w:val="xl183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59" w:customStyle="1">
    <w:name w:val="xl184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60" w:customStyle="1">
    <w:name w:val="xl185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61" w:customStyle="1">
    <w:name w:val="xl186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62" w:customStyle="1">
    <w:name w:val="xl187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63" w:customStyle="1">
    <w:name w:val="xl188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64" w:customStyle="1">
    <w:name w:val="xl189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65" w:customStyle="1">
    <w:name w:val="xl190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i/>
      <w:iCs/>
      <w:sz w:val="20"/>
      <w:szCs w:val="20"/>
      <w:lang w:eastAsia="ru-RU"/>
    </w:rPr>
  </w:style>
  <w:style w:type="paragraph" w:styleId="1166" w:customStyle="1">
    <w:name w:val="xl191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67" w:customStyle="1">
    <w:name w:val="xl192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000000"/>
      <w:sz w:val="18"/>
      <w:szCs w:val="18"/>
      <w:lang w:eastAsia="ru-RU"/>
    </w:rPr>
  </w:style>
  <w:style w:type="paragraph" w:styleId="1168" w:customStyle="1">
    <w:name w:val="xl193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000000"/>
      <w:sz w:val="18"/>
      <w:szCs w:val="18"/>
      <w:lang w:eastAsia="ru-RU"/>
    </w:rPr>
  </w:style>
  <w:style w:type="paragraph" w:styleId="1169" w:customStyle="1">
    <w:name w:val="xl194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000000"/>
      <w:sz w:val="18"/>
      <w:szCs w:val="18"/>
      <w:lang w:eastAsia="ru-RU"/>
    </w:rPr>
  </w:style>
  <w:style w:type="paragraph" w:styleId="1170" w:customStyle="1">
    <w:name w:val="xl195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171" w:customStyle="1">
    <w:name w:val="xl196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172" w:customStyle="1">
    <w:name w:val="xl197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73" w:customStyle="1">
    <w:name w:val="xl198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174" w:customStyle="1">
    <w:name w:val="xl199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175" w:customStyle="1">
    <w:name w:val="xl200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76" w:customStyle="1">
    <w:name w:val="xl201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77" w:customStyle="1">
    <w:name w:val="xl202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78" w:customStyle="1">
    <w:name w:val="xl203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79" w:customStyle="1">
    <w:name w:val="xl204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80" w:customStyle="1">
    <w:name w:val="xl205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81" w:customStyle="1">
    <w:name w:val="xl206"/>
    <w:basedOn w:val="932"/>
    <w:pPr>
      <w:jc w:val="center"/>
      <w:spacing w:before="100" w:beforeAutospacing="1" w:after="100" w:afterAutospacing="1" w:line="240" w:lineRule="auto"/>
      <w:shd w:val="clear" w:color="25437c" w:fill="ff0000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82" w:customStyle="1">
    <w:name w:val="xl207"/>
    <w:basedOn w:val="932"/>
    <w:pPr>
      <w:jc w:val="center"/>
      <w:spacing w:before="100" w:beforeAutospacing="1" w:after="100" w:afterAutospacing="1" w:line="240" w:lineRule="auto"/>
      <w:shd w:val="clear" w:color="25437c" w:fill="ff0000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83" w:customStyle="1">
    <w:name w:val="xl208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84" w:customStyle="1">
    <w:name w:val="xl209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85" w:customStyle="1">
    <w:name w:val="xl210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86" w:customStyle="1">
    <w:name w:val="xl211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87" w:customStyle="1">
    <w:name w:val="xl212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88" w:customStyle="1">
    <w:name w:val="xl213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89" w:customStyle="1">
    <w:name w:val="xl214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90" w:customStyle="1">
    <w:name w:val="xl215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91" w:customStyle="1">
    <w:name w:val="xl216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92" w:customStyle="1">
    <w:name w:val="xl217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193" w:customStyle="1">
    <w:name w:val="xl218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94" w:customStyle="1">
    <w:name w:val="xl219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95" w:customStyle="1">
    <w:name w:val="xl220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96" w:customStyle="1">
    <w:name w:val="xl221"/>
    <w:basedOn w:val="932"/>
    <w:pPr>
      <w:jc w:val="center"/>
      <w:spacing w:before="100" w:beforeAutospacing="1" w:after="100" w:afterAutospacing="1" w:line="240" w:lineRule="auto"/>
      <w:shd w:val="clear" w:color="25437c" w:fill="ff0000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97" w:customStyle="1">
    <w:name w:val="xl222"/>
    <w:basedOn w:val="932"/>
    <w:pPr>
      <w:jc w:val="center"/>
      <w:spacing w:before="100" w:beforeAutospacing="1" w:after="100" w:afterAutospacing="1" w:line="240" w:lineRule="auto"/>
      <w:shd w:val="clear" w:color="25437c" w:fill="ffff99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98" w:customStyle="1">
    <w:name w:val="xl223"/>
    <w:basedOn w:val="932"/>
    <w:pPr>
      <w:jc w:val="center"/>
      <w:spacing w:before="100" w:beforeAutospacing="1" w:after="100" w:afterAutospacing="1" w:line="240" w:lineRule="auto"/>
      <w:shd w:val="clear" w:color="25437c" w:fill="ffff99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199" w:customStyle="1">
    <w:name w:val="xl224"/>
    <w:basedOn w:val="932"/>
    <w:pPr>
      <w:jc w:val="center"/>
      <w:spacing w:before="100" w:beforeAutospacing="1" w:after="100" w:afterAutospacing="1" w:line="240" w:lineRule="auto"/>
      <w:shd w:val="clear" w:color="25437c" w:fill="ffff99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00" w:customStyle="1">
    <w:name w:val="xl225"/>
    <w:basedOn w:val="932"/>
    <w:pPr>
      <w:jc w:val="center"/>
      <w:spacing w:before="100" w:beforeAutospacing="1" w:after="100" w:afterAutospacing="1" w:line="240" w:lineRule="auto"/>
      <w:shd w:val="clear" w:color="25437c" w:fill="ff0000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01" w:customStyle="1">
    <w:name w:val="xl226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02" w:customStyle="1">
    <w:name w:val="xl227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203" w:customStyle="1">
    <w:name w:val="xl228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04" w:customStyle="1">
    <w:name w:val="xl229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05" w:customStyle="1">
    <w:name w:val="xl230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06" w:customStyle="1">
    <w:name w:val="xl231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07" w:customStyle="1">
    <w:name w:val="xl232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08" w:customStyle="1">
    <w:name w:val="xl233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09" w:customStyle="1">
    <w:name w:val="xl234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10" w:customStyle="1">
    <w:name w:val="xl235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11" w:customStyle="1">
    <w:name w:val="xl236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12" w:customStyle="1">
    <w:name w:val="xl237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13" w:customStyle="1">
    <w:name w:val="xl238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ff0000"/>
      <w:sz w:val="20"/>
      <w:szCs w:val="20"/>
      <w:lang w:eastAsia="ru-RU"/>
    </w:rPr>
  </w:style>
  <w:style w:type="paragraph" w:styleId="1214" w:customStyle="1">
    <w:name w:val="xl239"/>
    <w:basedOn w:val="932"/>
    <w:pPr>
      <w:jc w:val="center"/>
      <w:spacing w:before="100" w:beforeAutospacing="1" w:after="100" w:afterAutospacing="1" w:line="240" w:lineRule="auto"/>
      <w:shd w:val="clear" w:color="25437c" w:fill="ffff99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15" w:customStyle="1">
    <w:name w:val="xl240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16" w:customStyle="1">
    <w:name w:val="xl241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17" w:customStyle="1">
    <w:name w:val="xl242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18" w:customStyle="1">
    <w:name w:val="xl243"/>
    <w:basedOn w:val="932"/>
    <w:pPr>
      <w:jc w:val="center"/>
      <w:spacing w:before="100" w:beforeAutospacing="1" w:after="100" w:afterAutospacing="1" w:line="240" w:lineRule="auto"/>
      <w:shd w:val="clear" w:color="25437c" w:fill="ffff99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19" w:customStyle="1">
    <w:name w:val="xl244"/>
    <w:basedOn w:val="932"/>
    <w:pPr>
      <w:jc w:val="center"/>
      <w:spacing w:before="100" w:beforeAutospacing="1" w:after="100" w:afterAutospacing="1" w:line="240" w:lineRule="auto"/>
      <w:shd w:val="clear" w:color="25437c" w:fill="ffff99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20" w:customStyle="1">
    <w:name w:val="xl245"/>
    <w:basedOn w:val="932"/>
    <w:pPr>
      <w:jc w:val="center"/>
      <w:spacing w:before="100" w:beforeAutospacing="1" w:after="100" w:afterAutospacing="1" w:line="240" w:lineRule="auto"/>
      <w:shd w:val="clear" w:color="25437c" w:fill="ffff99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21" w:customStyle="1">
    <w:name w:val="xl246"/>
    <w:basedOn w:val="932"/>
    <w:pPr>
      <w:jc w:val="center"/>
      <w:spacing w:before="100" w:beforeAutospacing="1" w:after="100" w:afterAutospacing="1" w:line="240" w:lineRule="auto"/>
      <w:shd w:val="clear" w:color="25437c" w:fill="ffff99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22" w:customStyle="1">
    <w:name w:val="xl247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23" w:customStyle="1">
    <w:name w:val="xl248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ff0000"/>
      <w:sz w:val="20"/>
      <w:szCs w:val="20"/>
      <w:lang w:eastAsia="ru-RU"/>
    </w:rPr>
  </w:style>
  <w:style w:type="paragraph" w:styleId="1224" w:customStyle="1">
    <w:name w:val="xl249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25" w:customStyle="1">
    <w:name w:val="xl250"/>
    <w:basedOn w:val="932"/>
    <w:pPr>
      <w:ind w:firstLine="100"/>
      <w:spacing w:before="100" w:beforeAutospacing="1" w:after="100" w:afterAutospacing="1" w:line="240" w:lineRule="auto"/>
      <w:pBdr>
        <w:top w:val="single" w:color="auto" w:sz="4" w:space="0"/>
        <w:left w:val="single" w:color="auto" w:sz="4" w:space="8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26" w:customStyle="1">
    <w:name w:val="xl251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27" w:customStyle="1">
    <w:name w:val="xl252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28" w:customStyle="1">
    <w:name w:val="xl253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229" w:customStyle="1">
    <w:name w:val="xl254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bottom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230" w:customStyle="1">
    <w:name w:val="xl255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231" w:customStyle="1">
    <w:name w:val="xl256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32" w:customStyle="1">
    <w:name w:val="xl257"/>
    <w:basedOn w:val="932"/>
    <w:pPr>
      <w:jc w:val="center"/>
      <w:spacing w:before="100" w:beforeAutospacing="1" w:after="100" w:afterAutospacing="1" w:line="240" w:lineRule="auto"/>
      <w:shd w:val="clear" w:color="25437c" w:fill="ffff99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33" w:customStyle="1">
    <w:name w:val="xl258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34" w:customStyle="1">
    <w:name w:val="xl259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35" w:customStyle="1">
    <w:name w:val="xl260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36" w:customStyle="1">
    <w:name w:val="xl261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237" w:customStyle="1">
    <w:name w:val="xl262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38" w:customStyle="1">
    <w:name w:val="xl263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39" w:customStyle="1">
    <w:name w:val="xl264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40" w:customStyle="1">
    <w:name w:val="xl265"/>
    <w:basedOn w:val="932"/>
    <w:pPr>
      <w:jc w:val="center"/>
      <w:spacing w:before="100" w:beforeAutospacing="1" w:after="100" w:afterAutospacing="1" w:line="240" w:lineRule="auto"/>
      <w:shd w:val="clear" w:color="25437c" w:fill="ff0000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41" w:customStyle="1">
    <w:name w:val="xl266"/>
    <w:basedOn w:val="932"/>
    <w:pPr>
      <w:jc w:val="center"/>
      <w:spacing w:before="100" w:beforeAutospacing="1" w:after="100" w:afterAutospacing="1" w:line="240" w:lineRule="auto"/>
      <w:shd w:val="clear" w:color="25437c" w:fill="ff0000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42" w:customStyle="1">
    <w:name w:val="xl267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43" w:customStyle="1">
    <w:name w:val="xl268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44" w:customStyle="1">
    <w:name w:val="xl269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45" w:customStyle="1">
    <w:name w:val="xl270"/>
    <w:basedOn w:val="932"/>
    <w:pPr>
      <w:jc w:val="center"/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46" w:customStyle="1">
    <w:name w:val="xl271"/>
    <w:basedOn w:val="932"/>
    <w:pPr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47" w:customStyle="1">
    <w:name w:val="xl272"/>
    <w:basedOn w:val="932"/>
    <w:pPr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248" w:customStyle="1">
    <w:name w:val="xl273"/>
    <w:basedOn w:val="932"/>
    <w:pPr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49" w:customStyle="1">
    <w:name w:val="xl274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250" w:customStyle="1">
    <w:name w:val="xl275"/>
    <w:basedOn w:val="932"/>
    <w:pPr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51" w:customStyle="1">
    <w:name w:val="xl276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252" w:customStyle="1">
    <w:name w:val="xl277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53" w:customStyle="1">
    <w:name w:val="xl278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Arial CYR" w:hAnsi="Arial CYR" w:eastAsia="Times New Roman" w:cs="Arial CYR"/>
      <w:sz w:val="20"/>
      <w:szCs w:val="20"/>
      <w:lang w:eastAsia="ru-RU"/>
    </w:rPr>
  </w:style>
  <w:style w:type="paragraph" w:styleId="1254" w:customStyle="1">
    <w:name w:val="xl279"/>
    <w:basedOn w:val="932"/>
    <w:pPr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255" w:customStyle="1">
    <w:name w:val="xl280"/>
    <w:basedOn w:val="932"/>
    <w:pPr>
      <w:spacing w:before="100" w:beforeAutospacing="1" w:after="100" w:afterAutospacing="1" w:line="240" w:lineRule="auto"/>
      <w:shd w:val="clear" w:color="25437c" w:fill="ffffff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character" w:styleId="1256">
    <w:name w:val="Strong"/>
    <w:uiPriority w:val="22"/>
    <w:qFormat/>
    <w:rPr>
      <w:rFonts w:cs="Times New Roman"/>
      <w:b/>
      <w:bCs/>
    </w:rPr>
  </w:style>
  <w:style w:type="character" w:styleId="1257">
    <w:name w:val="Emphasis"/>
    <w:uiPriority w:val="20"/>
    <w:qFormat/>
    <w:rPr>
      <w:rFonts w:cs="Times New Roman"/>
      <w:i/>
      <w:iCs/>
    </w:rPr>
  </w:style>
  <w:style w:type="paragraph" w:styleId="1258">
    <w:name w:val="footnote text"/>
    <w:basedOn w:val="932"/>
    <w:link w:val="1259"/>
    <w:uiPriority w:val="9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character" w:styleId="1259" w:customStyle="1">
    <w:name w:val="Текст сноски Знак"/>
    <w:basedOn w:val="942"/>
    <w:link w:val="1258"/>
    <w:uiPriority w:val="99"/>
    <w:rPr>
      <w:rFonts w:ascii="Times New Roman" w:hAnsi="Times New Roman" w:eastAsia="Times New Roman" w:cs="Times New Roman"/>
      <w:sz w:val="20"/>
      <w:szCs w:val="20"/>
      <w:lang w:eastAsia="ru-RU"/>
    </w:rPr>
  </w:style>
  <w:style w:type="character" w:styleId="1260">
    <w:name w:val="footnote reference"/>
    <w:rPr>
      <w:vertAlign w:val="superscript"/>
    </w:rPr>
  </w:style>
  <w:style w:type="paragraph" w:styleId="1261" w:customStyle="1">
    <w:name w:val="Основной текст 23"/>
    <w:basedOn w:val="932"/>
    <w:pPr>
      <w:ind w:firstLine="709"/>
      <w:jc w:val="both"/>
      <w:spacing w:before="120" w:after="120" w:line="276" w:lineRule="auto"/>
    </w:pPr>
    <w:rPr>
      <w:rFonts w:ascii="Times New Roman" w:hAnsi="Times New Roman" w:eastAsia="Times New Roman" w:cs="Times New Roman"/>
      <w:sz w:val="24"/>
      <w:szCs w:val="20"/>
      <w:lang w:eastAsia="ru-RU"/>
    </w:rPr>
  </w:style>
  <w:style w:type="character" w:styleId="1262" w:customStyle="1">
    <w:name w:val="Основной текст + 9 pt"/>
    <w:rPr>
      <w:rFonts w:ascii="Times New Roman" w:hAnsi="Times New Roman" w:eastAsia="Times New Roman" w:cs="Times New Roman"/>
      <w:b w:val="0"/>
      <w:bCs w:val="0"/>
      <w:i w:val="0"/>
      <w:iCs w:val="0"/>
      <w:smallCaps w:val="0"/>
      <w:strike w:val="0"/>
      <w:color w:val="000000"/>
      <w:spacing w:val="0"/>
      <w:position w:val="0"/>
      <w:sz w:val="18"/>
      <w:szCs w:val="18"/>
      <w:u w:val="none"/>
      <w:lang w:val="ru-RU"/>
    </w:rPr>
  </w:style>
  <w:style w:type="paragraph" w:styleId="1263">
    <w:name w:val="List Bullet"/>
    <w:basedOn w:val="932"/>
    <w:qFormat/>
    <w:pPr>
      <w:numPr>
        <w:numId w:val="9"/>
      </w:numPr>
      <w:ind w:left="1134" w:hanging="283"/>
      <w:jc w:val="both"/>
      <w:spacing w:before="120" w:after="120" w:line="276" w:lineRule="auto"/>
    </w:pPr>
    <w:rPr>
      <w:rFonts w:ascii="Calibri" w:hAnsi="Calibri" w:eastAsia="Times New Roman" w:cs="Times New Roman"/>
      <w:color w:val="000000"/>
      <w:sz w:val="24"/>
      <w:szCs w:val="24"/>
      <w:lang w:eastAsia="ru-RU"/>
    </w:rPr>
  </w:style>
  <w:style w:type="paragraph" w:styleId="1264" w:customStyle="1">
    <w:name w:val="Обычный в таблице Знак"/>
    <w:basedOn w:val="932"/>
    <w:link w:val="1265"/>
    <w:pPr>
      <w:ind w:hanging="6"/>
      <w:jc w:val="center"/>
      <w:spacing w:after="120" w:line="240" w:lineRule="auto"/>
    </w:pPr>
    <w:rPr>
      <w:rFonts w:ascii="Times New Roman" w:hAnsi="Times New Roman" w:eastAsia="Calibri" w:cs="Times New Roman"/>
      <w:sz w:val="24"/>
      <w:szCs w:val="24"/>
    </w:rPr>
  </w:style>
  <w:style w:type="character" w:styleId="1265" w:customStyle="1">
    <w:name w:val="Обычный в таблице Знак Знак"/>
    <w:basedOn w:val="942"/>
    <w:link w:val="1264"/>
    <w:rPr>
      <w:rFonts w:ascii="Times New Roman" w:hAnsi="Times New Roman" w:eastAsia="Calibri" w:cs="Times New Roman"/>
      <w:sz w:val="24"/>
      <w:szCs w:val="24"/>
    </w:rPr>
  </w:style>
  <w:style w:type="paragraph" w:styleId="1266" w:customStyle="1">
    <w:name w:val="Основной текст4"/>
    <w:basedOn w:val="932"/>
    <w:pPr>
      <w:ind w:hanging="740"/>
      <w:spacing w:after="0" w:line="254" w:lineRule="exact"/>
      <w:shd w:val="clear" w:color="auto" w:fill="ffffff"/>
      <w:widowControl w:val="off"/>
    </w:pPr>
    <w:rPr>
      <w:spacing w:val="4"/>
    </w:rPr>
  </w:style>
  <w:style w:type="table" w:styleId="1267" w:customStyle="1">
    <w:name w:val="Сетка таблицы4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1268" w:customStyle="1">
    <w:name w:val="docdata"/>
    <w:basedOn w:val="942"/>
  </w:style>
  <w:style w:type="paragraph" w:styleId="1269" w:customStyle="1">
    <w:name w:val="xl81"/>
    <w:basedOn w:val="932"/>
    <w:pPr>
      <w:jc w:val="center"/>
      <w:spacing w:before="100" w:beforeAutospacing="1" w:after="100" w:afterAutospacing="1" w:line="240" w:lineRule="auto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70" w:customStyle="1">
    <w:name w:val="xl82"/>
    <w:basedOn w:val="932"/>
    <w:pPr>
      <w:jc w:val="center"/>
      <w:spacing w:before="100" w:beforeAutospacing="1" w:after="100" w:afterAutospacing="1" w:line="240" w:lineRule="auto"/>
      <w:pBdr>
        <w:top w:val="single" w:color="auto" w:sz="8" w:space="0"/>
        <w:bottom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71" w:customStyle="1">
    <w:name w:val="xl83"/>
    <w:basedOn w:val="932"/>
    <w:pPr>
      <w:jc w:val="center"/>
      <w:spacing w:before="100" w:beforeAutospacing="1" w:after="100" w:afterAutospacing="1" w:line="240" w:lineRule="auto"/>
      <w:pBdr>
        <w:top w:val="single" w:color="auto" w:sz="8" w:space="0"/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72" w:customStyle="1">
    <w:name w:val="xl84"/>
    <w:basedOn w:val="932"/>
    <w:pPr>
      <w:jc w:val="center"/>
      <w:spacing w:before="100" w:beforeAutospacing="1" w:after="100" w:afterAutospacing="1" w:line="240" w:lineRule="auto"/>
      <w:pBdr>
        <w:top w:val="single" w:color="auto" w:sz="8" w:space="0"/>
        <w:left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73" w:customStyle="1">
    <w:name w:val="xl85"/>
    <w:basedOn w:val="932"/>
    <w:pPr>
      <w:jc w:val="center"/>
      <w:spacing w:before="100" w:beforeAutospacing="1" w:after="100" w:afterAutospacing="1" w:line="240" w:lineRule="auto"/>
      <w:pBdr>
        <w:left w:val="single" w:color="auto" w:sz="8" w:space="0"/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74" w:customStyle="1">
    <w:name w:val="xl86"/>
    <w:basedOn w:val="932"/>
    <w:pPr>
      <w:jc w:val="center"/>
      <w:spacing w:before="100" w:beforeAutospacing="1" w:after="100" w:afterAutospacing="1" w:line="240" w:lineRule="auto"/>
      <w:pBdr>
        <w:top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75" w:customStyle="1">
    <w:name w:val="xl87"/>
    <w:basedOn w:val="932"/>
    <w:pPr>
      <w:jc w:val="center"/>
      <w:spacing w:before="100" w:beforeAutospacing="1" w:after="100" w:afterAutospacing="1" w:line="240" w:lineRule="auto"/>
      <w:pBdr>
        <w:top w:val="single" w:color="auto" w:sz="8" w:space="0"/>
        <w:lef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76" w:customStyle="1">
    <w:name w:val="xl88"/>
    <w:basedOn w:val="932"/>
    <w:pPr>
      <w:jc w:val="center"/>
      <w:spacing w:before="100" w:beforeAutospacing="1" w:after="100" w:afterAutospacing="1" w:line="240" w:lineRule="auto"/>
      <w:pBdr>
        <w:top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77" w:customStyle="1">
    <w:name w:val="xl89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278" w:customStyle="1">
    <w:name w:val="xl90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79" w:customStyle="1">
    <w:name w:val="xl91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80" w:customStyle="1">
    <w:name w:val="xl92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281" w:customStyle="1">
    <w:name w:val="xl93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282" w:customStyle="1">
    <w:name w:val="xl94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83" w:customStyle="1">
    <w:name w:val="xl95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84" w:customStyle="1">
    <w:name w:val="xl96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85" w:customStyle="1">
    <w:name w:val="xl97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286" w:customStyle="1">
    <w:name w:val="xl98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287" w:customStyle="1">
    <w:name w:val="xl99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righ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88" w:customStyle="1">
    <w:name w:val="xl100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89" w:customStyle="1">
    <w:name w:val="xl101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90" w:customStyle="1">
    <w:name w:val="xl102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291" w:customStyle="1">
    <w:name w:val="xl103"/>
    <w:basedOn w:val="932"/>
    <w:pPr>
      <w:jc w:val="center"/>
      <w:spacing w:before="100" w:beforeAutospacing="1" w:after="100" w:afterAutospacing="1" w:line="240" w:lineRule="auto"/>
      <w:pBdr>
        <w:righ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92" w:customStyle="1">
    <w:name w:val="xl104"/>
    <w:basedOn w:val="932"/>
    <w:pPr>
      <w:jc w:val="center"/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93" w:customStyle="1">
    <w:name w:val="xl105"/>
    <w:basedOn w:val="932"/>
    <w:pPr>
      <w:jc w:val="center"/>
      <w:spacing w:before="100" w:beforeAutospacing="1" w:after="100" w:afterAutospacing="1" w:line="240" w:lineRule="auto"/>
      <w:pBdr>
        <w:lef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94" w:customStyle="1">
    <w:name w:val="xl106"/>
    <w:basedOn w:val="932"/>
    <w:pPr>
      <w:jc w:val="center"/>
      <w:spacing w:before="100" w:beforeAutospacing="1" w:after="100" w:afterAutospacing="1" w:line="240" w:lineRule="auto"/>
      <w:pBdr>
        <w:left w:val="single" w:color="auto" w:sz="4" w:space="0"/>
        <w:bottom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95" w:customStyle="1">
    <w:name w:val="xl107"/>
    <w:basedOn w:val="932"/>
    <w:pPr>
      <w:jc w:val="center"/>
      <w:spacing w:before="100" w:beforeAutospacing="1" w:after="100" w:afterAutospacing="1" w:line="240" w:lineRule="auto"/>
      <w:pBdr>
        <w:left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296" w:customStyle="1">
    <w:name w:val="xl108"/>
    <w:basedOn w:val="932"/>
    <w:pPr>
      <w:jc w:val="center"/>
      <w:spacing w:before="100" w:beforeAutospacing="1" w:after="100" w:afterAutospacing="1" w:line="240" w:lineRule="auto"/>
      <w:pBdr>
        <w:top w:val="single" w:color="auto" w:sz="4" w:space="0"/>
        <w:left w:val="single" w:color="auto" w:sz="4" w:space="0"/>
        <w:right w:val="single" w:color="auto" w:sz="4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character" w:styleId="1297" w:customStyle="1">
    <w:name w:val="Основной текст + Times New Roman"/>
    <w:uiPriority w:val="99"/>
    <w:rPr>
      <w:rFonts w:ascii="Times New Roman" w:hAnsi="Times New Roman" w:cs="Times New Roman"/>
      <w:b/>
      <w:bCs/>
      <w:color w:val="000000"/>
      <w:spacing w:val="2"/>
      <w:position w:val="0"/>
      <w:sz w:val="21"/>
      <w:szCs w:val="21"/>
      <w:u w:val="none"/>
      <w:shd w:val="clear" w:color="auto" w:fill="ffffff"/>
      <w:lang w:val="ru-RU"/>
    </w:rPr>
  </w:style>
  <w:style w:type="numbering" w:styleId="1298" w:customStyle="1">
    <w:name w:val="No List1"/>
    <w:next w:val="944"/>
    <w:uiPriority w:val="99"/>
    <w:semiHidden/>
    <w:unhideWhenUsed/>
  </w:style>
  <w:style w:type="numbering" w:styleId="1299" w:customStyle="1">
    <w:name w:val="Нет списка12"/>
    <w:next w:val="944"/>
    <w:uiPriority w:val="99"/>
    <w:semiHidden/>
    <w:unhideWhenUsed/>
  </w:style>
  <w:style w:type="numbering" w:styleId="1300" w:customStyle="1">
    <w:name w:val="Нет списка2"/>
    <w:next w:val="944"/>
    <w:uiPriority w:val="99"/>
    <w:semiHidden/>
    <w:unhideWhenUsed/>
  </w:style>
  <w:style w:type="numbering" w:styleId="1301" w:customStyle="1">
    <w:name w:val="Нет списка3"/>
    <w:next w:val="944"/>
    <w:uiPriority w:val="99"/>
    <w:semiHidden/>
    <w:unhideWhenUsed/>
  </w:style>
  <w:style w:type="numbering" w:styleId="1302" w:customStyle="1">
    <w:name w:val="Нет списка4"/>
    <w:next w:val="944"/>
    <w:uiPriority w:val="99"/>
    <w:semiHidden/>
    <w:unhideWhenUsed/>
  </w:style>
  <w:style w:type="numbering" w:styleId="1303" w:customStyle="1">
    <w:name w:val="Нет списка5"/>
    <w:next w:val="944"/>
    <w:uiPriority w:val="99"/>
    <w:semiHidden/>
    <w:unhideWhenUsed/>
  </w:style>
  <w:style w:type="numbering" w:styleId="1304" w:customStyle="1">
    <w:name w:val="Нет списка6"/>
    <w:next w:val="944"/>
    <w:uiPriority w:val="99"/>
    <w:semiHidden/>
    <w:unhideWhenUsed/>
  </w:style>
  <w:style w:type="table" w:styleId="1305" w:customStyle="1">
    <w:name w:val="Table Grid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306" w:customStyle="1">
    <w:name w:val="font9"/>
    <w:basedOn w:val="932"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07" w:customStyle="1">
    <w:name w:val="xl69"/>
    <w:basedOn w:val="932"/>
    <w:pPr>
      <w:spacing w:before="100" w:beforeAutospacing="1" w:after="100" w:afterAutospacing="1" w:line="240" w:lineRule="auto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308" w:customStyle="1">
    <w:name w:val="xl70"/>
    <w:basedOn w:val="932"/>
    <w:pPr>
      <w:jc w:val="center"/>
      <w:spacing w:before="100" w:beforeAutospacing="1" w:after="100" w:afterAutospacing="1" w:line="240" w:lineRule="auto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309" w:customStyle="1">
    <w:name w:val="xl71"/>
    <w:basedOn w:val="932"/>
    <w:pPr>
      <w:jc w:val="both"/>
      <w:spacing w:before="100" w:beforeAutospacing="1" w:after="100" w:afterAutospacing="1" w:line="240" w:lineRule="auto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310" w:customStyle="1">
    <w:name w:val="xl72"/>
    <w:basedOn w:val="932"/>
    <w:pPr>
      <w:jc w:val="right"/>
      <w:spacing w:before="100" w:beforeAutospacing="1" w:after="100" w:afterAutospacing="1" w:line="240" w:lineRule="auto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311" w:customStyle="1">
    <w:name w:val="xl73"/>
    <w:basedOn w:val="932"/>
    <w:pPr>
      <w:jc w:val="center"/>
      <w:spacing w:before="100" w:beforeAutospacing="1" w:after="100" w:afterAutospacing="1" w:line="240" w:lineRule="auto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312" w:customStyle="1">
    <w:name w:val="xl74"/>
    <w:basedOn w:val="932"/>
    <w:pPr>
      <w:jc w:val="center"/>
      <w:spacing w:before="100" w:beforeAutospacing="1" w:after="100" w:afterAutospacing="1" w:line="240" w:lineRule="auto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313" w:customStyle="1">
    <w:name w:val="xl75"/>
    <w:basedOn w:val="932"/>
    <w:pPr>
      <w:jc w:val="center"/>
      <w:spacing w:before="100" w:beforeAutospacing="1" w:after="100" w:afterAutospacing="1" w:line="240" w:lineRule="auto"/>
      <w:shd w:val="clear" w:color="000000" w:fill="ffff00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314" w:customStyle="1">
    <w:name w:val="xl76"/>
    <w:basedOn w:val="932"/>
    <w:pPr>
      <w:jc w:val="both"/>
      <w:spacing w:before="100" w:beforeAutospacing="1" w:after="100" w:afterAutospacing="1" w:line="240" w:lineRule="auto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ff0000"/>
      <w:sz w:val="20"/>
      <w:szCs w:val="20"/>
      <w:lang w:eastAsia="ru-RU"/>
    </w:rPr>
  </w:style>
  <w:style w:type="paragraph" w:styleId="1315" w:customStyle="1">
    <w:name w:val="xl77"/>
    <w:basedOn w:val="932"/>
    <w:pPr>
      <w:jc w:val="center"/>
      <w:spacing w:before="100" w:beforeAutospacing="1" w:after="100" w:afterAutospacing="1" w:line="240" w:lineRule="auto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ff0000"/>
      <w:sz w:val="20"/>
      <w:szCs w:val="20"/>
      <w:lang w:eastAsia="ru-RU"/>
    </w:rPr>
  </w:style>
  <w:style w:type="paragraph" w:styleId="1316" w:customStyle="1">
    <w:name w:val="xl78"/>
    <w:basedOn w:val="932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color w:val="ff0000"/>
      <w:sz w:val="24"/>
      <w:szCs w:val="24"/>
      <w:lang w:eastAsia="ru-RU"/>
    </w:rPr>
  </w:style>
  <w:style w:type="paragraph" w:styleId="1317" w:customStyle="1">
    <w:name w:val="xl79"/>
    <w:basedOn w:val="932"/>
    <w:pPr>
      <w:jc w:val="center"/>
      <w:spacing w:before="100" w:beforeAutospacing="1" w:after="100" w:afterAutospacing="1" w:line="240" w:lineRule="auto"/>
      <w:pBdr>
        <w:left w:val="single" w:color="auto" w:sz="8" w:space="0"/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b/>
      <w:bCs/>
      <w:sz w:val="20"/>
      <w:szCs w:val="20"/>
      <w:lang w:eastAsia="ru-RU"/>
    </w:rPr>
  </w:style>
  <w:style w:type="paragraph" w:styleId="1318" w:customStyle="1">
    <w:name w:val="xl80"/>
    <w:basedOn w:val="932"/>
    <w:pPr>
      <w:jc w:val="center"/>
      <w:spacing w:before="100" w:beforeAutospacing="1" w:after="100" w:afterAutospacing="1" w:line="240" w:lineRule="auto"/>
      <w:pBdr>
        <w:left w:val="single" w:color="auto" w:sz="8" w:space="0"/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319" w:customStyle="1">
    <w:name w:val="s_1"/>
    <w:basedOn w:val="932"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320" w:customStyle="1">
    <w:name w:val="xl109"/>
    <w:basedOn w:val="932"/>
    <w:pPr>
      <w:jc w:val="center"/>
      <w:spacing w:before="100" w:beforeAutospacing="1" w:after="100" w:afterAutospacing="1" w:line="240" w:lineRule="auto"/>
      <w:shd w:val="clear" w:color="000000" w:fill="ffff00"/>
      <w:pBdr>
        <w:top w:val="single" w:color="auto" w:sz="8" w:space="0"/>
        <w:left w:val="single" w:color="auto" w:sz="8" w:space="0"/>
        <w:bottom w:val="single" w:color="auto" w:sz="8" w:space="0"/>
      </w:pBdr>
    </w:pPr>
    <w:rPr>
      <w:rFonts w:ascii="Times New Roman" w:hAnsi="Times New Roman" w:eastAsia="Times New Roman" w:cs="Times New Roman"/>
      <w:sz w:val="20"/>
      <w:szCs w:val="20"/>
      <w:lang w:eastAsia="ru-RU"/>
    </w:rPr>
  </w:style>
  <w:style w:type="paragraph" w:styleId="1321" w:customStyle="1">
    <w:name w:val="xl110"/>
    <w:basedOn w:val="932"/>
    <w:pPr>
      <w:jc w:val="center"/>
      <w:spacing w:before="100" w:beforeAutospacing="1" w:after="100" w:afterAutospacing="1" w:line="240" w:lineRule="auto"/>
      <w:shd w:val="clear" w:color="000000" w:fill="f2dddc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22" w:customStyle="1">
    <w:name w:val="xl111"/>
    <w:basedOn w:val="932"/>
    <w:pPr>
      <w:spacing w:before="100" w:beforeAutospacing="1" w:after="100" w:afterAutospacing="1" w:line="240" w:lineRule="auto"/>
      <w:shd w:val="clear" w:color="000000" w:fill="f2dddc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paragraph" w:styleId="1323" w:customStyle="1">
    <w:name w:val="xl112"/>
    <w:basedOn w:val="932"/>
    <w:pPr>
      <w:spacing w:before="100" w:beforeAutospacing="1" w:after="100" w:afterAutospacing="1" w:line="240" w:lineRule="auto"/>
      <w:shd w:val="clear" w:color="000000" w:fill="f2dddc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24" w:customStyle="1">
    <w:name w:val="xl113"/>
    <w:basedOn w:val="932"/>
    <w:pPr>
      <w:spacing w:before="100" w:beforeAutospacing="1" w:after="100" w:afterAutospacing="1" w:line="240" w:lineRule="auto"/>
      <w:shd w:val="clear" w:color="000000" w:fill="f2dddc"/>
      <w:pBdr>
        <w:left w:val="single" w:color="auto" w:sz="8" w:space="0"/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paragraph" w:styleId="1325" w:customStyle="1">
    <w:name w:val="xl114"/>
    <w:basedOn w:val="932"/>
    <w:pPr>
      <w:jc w:val="center"/>
      <w:spacing w:before="100" w:beforeAutospacing="1" w:after="100" w:afterAutospacing="1" w:line="240" w:lineRule="auto"/>
      <w:shd w:val="clear" w:color="000000" w:fill="f2dddc"/>
      <w:pBdr>
        <w:left w:val="single" w:color="auto" w:sz="8" w:space="0"/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26" w:customStyle="1">
    <w:name w:val="xl115"/>
    <w:basedOn w:val="932"/>
    <w:pPr>
      <w:jc w:val="center"/>
      <w:spacing w:before="100" w:beforeAutospacing="1" w:after="100" w:afterAutospacing="1" w:line="240" w:lineRule="auto"/>
      <w:shd w:val="clear" w:color="000000" w:fill="f2dddc"/>
      <w:pBdr>
        <w:left w:val="single" w:color="auto" w:sz="8" w:space="0"/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27" w:customStyle="1">
    <w:name w:val="xl116"/>
    <w:basedOn w:val="932"/>
    <w:pPr>
      <w:spacing w:before="100" w:beforeAutospacing="1" w:after="100" w:afterAutospacing="1" w:line="240" w:lineRule="auto"/>
      <w:shd w:val="clear" w:color="000000" w:fill="f2dddc"/>
      <w:pBdr>
        <w:left w:val="single" w:color="auto" w:sz="8" w:space="0"/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28" w:customStyle="1">
    <w:name w:val="xl117"/>
    <w:basedOn w:val="932"/>
    <w:uiPriority w:val="99"/>
    <w:pPr>
      <w:jc w:val="center"/>
      <w:spacing w:before="100" w:beforeAutospacing="1" w:after="100" w:afterAutospacing="1" w:line="240" w:lineRule="auto"/>
      <w:shd w:val="clear" w:color="000000" w:fill="f2dddc"/>
      <w:pBdr>
        <w:left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29" w:customStyle="1">
    <w:name w:val="xl118"/>
    <w:basedOn w:val="932"/>
    <w:uiPriority w:val="99"/>
    <w:pPr>
      <w:jc w:val="center"/>
      <w:spacing w:before="100" w:beforeAutospacing="1" w:after="100" w:afterAutospacing="1" w:line="240" w:lineRule="auto"/>
      <w:shd w:val="clear" w:color="000000" w:fill="f2dddc"/>
      <w:pBdr>
        <w:left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30" w:customStyle="1">
    <w:name w:val="xl119"/>
    <w:basedOn w:val="932"/>
    <w:uiPriority w:val="99"/>
    <w:pPr>
      <w:spacing w:before="100" w:beforeAutospacing="1" w:after="100" w:afterAutospacing="1" w:line="240" w:lineRule="auto"/>
      <w:shd w:val="clear" w:color="000000" w:fill="f2dddc"/>
      <w:pBdr>
        <w:left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31" w:customStyle="1">
    <w:name w:val="xl120"/>
    <w:basedOn w:val="932"/>
    <w:uiPriority w:val="99"/>
    <w:pPr>
      <w:jc w:val="center"/>
      <w:spacing w:before="100" w:beforeAutospacing="1" w:after="100" w:afterAutospacing="1" w:line="240" w:lineRule="auto"/>
      <w:shd w:val="clear" w:color="000000" w:fill="f2dddc"/>
      <w:pBdr>
        <w:top w:val="single" w:color="auto" w:sz="8" w:space="0"/>
        <w:left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32" w:customStyle="1">
    <w:name w:val="xl121"/>
    <w:basedOn w:val="932"/>
    <w:uiPriority w:val="99"/>
    <w:pPr>
      <w:jc w:val="center"/>
      <w:spacing w:before="100" w:beforeAutospacing="1" w:after="100" w:afterAutospacing="1" w:line="240" w:lineRule="auto"/>
      <w:shd w:val="clear" w:color="000000" w:fill="f2dddc"/>
      <w:pBdr>
        <w:top w:val="single" w:color="auto" w:sz="8" w:space="0"/>
        <w:left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33" w:customStyle="1">
    <w:name w:val="xl122"/>
    <w:basedOn w:val="932"/>
    <w:uiPriority w:val="99"/>
    <w:pPr>
      <w:spacing w:before="100" w:beforeAutospacing="1" w:after="100" w:afterAutospacing="1" w:line="240" w:lineRule="auto"/>
      <w:shd w:val="clear" w:color="000000" w:fill="f2dddc"/>
      <w:pBdr>
        <w:top w:val="single" w:color="auto" w:sz="8" w:space="0"/>
        <w:left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34" w:customStyle="1">
    <w:name w:val="xl123"/>
    <w:basedOn w:val="932"/>
    <w:uiPriority w:val="99"/>
    <w:pPr>
      <w:jc w:val="center"/>
      <w:spacing w:before="100" w:beforeAutospacing="1" w:after="100" w:afterAutospacing="1" w:line="240" w:lineRule="auto"/>
      <w:shd w:val="clear" w:color="000000" w:fill="8db4e3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35" w:customStyle="1">
    <w:name w:val="xl124"/>
    <w:basedOn w:val="932"/>
    <w:uiPriority w:val="99"/>
    <w:pPr>
      <w:spacing w:before="100" w:beforeAutospacing="1" w:after="100" w:afterAutospacing="1" w:line="240" w:lineRule="auto"/>
      <w:shd w:val="clear" w:color="000000" w:fill="8db4e3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paragraph" w:styleId="1336" w:customStyle="1">
    <w:name w:val="xl125"/>
    <w:basedOn w:val="932"/>
    <w:uiPriority w:val="99"/>
    <w:pPr>
      <w:jc w:val="center"/>
      <w:spacing w:before="100" w:beforeAutospacing="1" w:after="100" w:afterAutospacing="1" w:line="240" w:lineRule="auto"/>
      <w:shd w:val="clear" w:color="000000" w:fill="ffff00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337" w:customStyle="1">
    <w:name w:val="xl126"/>
    <w:basedOn w:val="932"/>
    <w:uiPriority w:val="99"/>
    <w:pPr>
      <w:jc w:val="center"/>
      <w:spacing w:before="100" w:beforeAutospacing="1" w:after="100" w:afterAutospacing="1" w:line="240" w:lineRule="auto"/>
      <w:shd w:val="clear" w:color="000000" w:fill="ffff00"/>
      <w:pBdr>
        <w:bottom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b/>
      <w:bCs/>
      <w:color w:val="000000"/>
      <w:sz w:val="20"/>
      <w:szCs w:val="20"/>
      <w:lang w:eastAsia="ru-RU"/>
    </w:rPr>
  </w:style>
  <w:style w:type="paragraph" w:styleId="1338" w:customStyle="1">
    <w:name w:val="xl127"/>
    <w:basedOn w:val="932"/>
    <w:uiPriority w:val="99"/>
    <w:pPr>
      <w:jc w:val="center"/>
      <w:spacing w:before="100" w:beforeAutospacing="1" w:after="100" w:afterAutospacing="1" w:line="240" w:lineRule="auto"/>
      <w:shd w:val="clear" w:color="000000" w:fill="ffff00"/>
      <w:pBdr>
        <w:top w:val="single" w:color="auto" w:sz="8" w:space="0"/>
        <w:left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paragraph" w:styleId="1339" w:customStyle="1">
    <w:name w:val="xl128"/>
    <w:basedOn w:val="932"/>
    <w:uiPriority w:val="99"/>
    <w:pPr>
      <w:jc w:val="center"/>
      <w:spacing w:before="100" w:beforeAutospacing="1" w:after="100" w:afterAutospacing="1" w:line="240" w:lineRule="auto"/>
      <w:shd w:val="clear" w:color="000000" w:fill="ffff00"/>
      <w:pBdr>
        <w:top w:val="single" w:color="auto" w:sz="8" w:space="0"/>
        <w:left w:val="single" w:color="auto" w:sz="8" w:space="0"/>
        <w:right w:val="single" w:color="auto" w:sz="8" w:space="0"/>
      </w:pBdr>
    </w:pPr>
    <w:rPr>
      <w:rFonts w:ascii="Times New Roman" w:hAnsi="Times New Roman" w:eastAsia="Times New Roman" w:cs="Times New Roman"/>
      <w:color w:val="000000"/>
      <w:sz w:val="20"/>
      <w:szCs w:val="20"/>
      <w:lang w:eastAsia="ru-RU"/>
    </w:rPr>
  </w:style>
  <w:style w:type="numbering" w:styleId="1340" w:customStyle="1">
    <w:name w:val="Нет списка7"/>
    <w:next w:val="944"/>
    <w:uiPriority w:val="99"/>
    <w:semiHidden/>
    <w:unhideWhenUsed/>
  </w:style>
  <w:style w:type="numbering" w:styleId="1341" w:customStyle="1">
    <w:name w:val="Нет списка111"/>
    <w:next w:val="944"/>
    <w:uiPriority w:val="99"/>
    <w:semiHidden/>
    <w:unhideWhenUsed/>
  </w:style>
  <w:style w:type="numbering" w:styleId="1342" w:customStyle="1">
    <w:name w:val="Нет списка21"/>
    <w:next w:val="944"/>
    <w:uiPriority w:val="99"/>
    <w:semiHidden/>
    <w:unhideWhenUsed/>
  </w:style>
  <w:style w:type="numbering" w:styleId="1343" w:customStyle="1">
    <w:name w:val="Нет списка31"/>
    <w:next w:val="944"/>
    <w:uiPriority w:val="99"/>
    <w:semiHidden/>
    <w:unhideWhenUsed/>
  </w:style>
  <w:style w:type="numbering" w:styleId="1344" w:customStyle="1">
    <w:name w:val="Нет списка41"/>
    <w:next w:val="944"/>
    <w:uiPriority w:val="99"/>
    <w:semiHidden/>
    <w:unhideWhenUsed/>
  </w:style>
  <w:style w:type="numbering" w:styleId="1345" w:customStyle="1">
    <w:name w:val="Нет списка51"/>
    <w:next w:val="944"/>
    <w:uiPriority w:val="99"/>
    <w:semiHidden/>
    <w:unhideWhenUsed/>
  </w:style>
  <w:style w:type="numbering" w:styleId="1346" w:customStyle="1">
    <w:name w:val="Нет списка61"/>
    <w:next w:val="944"/>
    <w:uiPriority w:val="99"/>
    <w:semiHidden/>
    <w:unhideWhenUsed/>
  </w:style>
  <w:style w:type="table" w:styleId="1347" w:customStyle="1">
    <w:name w:val="Сетка таблицы1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1348" w:customStyle="1">
    <w:name w:val="Основной текст Знак1"/>
    <w:basedOn w:val="942"/>
    <w:uiPriority w:val="99"/>
    <w:rPr>
      <w:rFonts w:hint="default" w:ascii="Times New Roman" w:hAnsi="Times New Roman" w:cs="Times New Roman"/>
      <w:shd w:val="clear" w:color="auto" w:fill="ffffff"/>
    </w:rPr>
  </w:style>
  <w:style w:type="numbering" w:styleId="1349" w:customStyle="1">
    <w:name w:val="Нет списка8"/>
    <w:next w:val="944"/>
    <w:uiPriority w:val="99"/>
    <w:semiHidden/>
    <w:unhideWhenUsed/>
  </w:style>
  <w:style w:type="numbering" w:styleId="1350" w:customStyle="1">
    <w:name w:val="Нет списка121"/>
    <w:next w:val="944"/>
    <w:uiPriority w:val="99"/>
    <w:semiHidden/>
    <w:unhideWhenUsed/>
  </w:style>
  <w:style w:type="numbering" w:styleId="1351" w:customStyle="1">
    <w:name w:val="Нет списка22"/>
    <w:next w:val="944"/>
    <w:uiPriority w:val="99"/>
    <w:semiHidden/>
    <w:unhideWhenUsed/>
  </w:style>
  <w:style w:type="numbering" w:styleId="1352" w:customStyle="1">
    <w:name w:val="Нет списка32"/>
    <w:next w:val="944"/>
    <w:uiPriority w:val="99"/>
    <w:semiHidden/>
    <w:unhideWhenUsed/>
  </w:style>
  <w:style w:type="numbering" w:styleId="1353" w:customStyle="1">
    <w:name w:val="Нет списка42"/>
    <w:next w:val="944"/>
    <w:uiPriority w:val="99"/>
    <w:semiHidden/>
    <w:unhideWhenUsed/>
  </w:style>
  <w:style w:type="numbering" w:styleId="1354" w:customStyle="1">
    <w:name w:val="Нет списка52"/>
    <w:next w:val="944"/>
    <w:uiPriority w:val="99"/>
    <w:semiHidden/>
    <w:unhideWhenUsed/>
  </w:style>
  <w:style w:type="numbering" w:styleId="1355" w:customStyle="1">
    <w:name w:val="Нет списка62"/>
    <w:next w:val="944"/>
    <w:uiPriority w:val="99"/>
    <w:semiHidden/>
    <w:unhideWhenUsed/>
  </w:style>
  <w:style w:type="table" w:styleId="1356" w:customStyle="1">
    <w:name w:val="Сетка таблицы22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357" w:customStyle="1">
    <w:name w:val="Нет списка9"/>
    <w:next w:val="944"/>
    <w:uiPriority w:val="99"/>
    <w:semiHidden/>
    <w:unhideWhenUsed/>
  </w:style>
  <w:style w:type="numbering" w:styleId="1358" w:customStyle="1">
    <w:name w:val="Нет списка13"/>
    <w:next w:val="944"/>
    <w:uiPriority w:val="99"/>
    <w:semiHidden/>
    <w:unhideWhenUsed/>
  </w:style>
  <w:style w:type="numbering" w:styleId="1359" w:customStyle="1">
    <w:name w:val="Нет списка23"/>
    <w:next w:val="944"/>
    <w:uiPriority w:val="99"/>
    <w:semiHidden/>
    <w:unhideWhenUsed/>
  </w:style>
  <w:style w:type="numbering" w:styleId="1360" w:customStyle="1">
    <w:name w:val="Нет списка33"/>
    <w:next w:val="944"/>
    <w:uiPriority w:val="99"/>
    <w:semiHidden/>
    <w:unhideWhenUsed/>
  </w:style>
  <w:style w:type="numbering" w:styleId="1361" w:customStyle="1">
    <w:name w:val="Нет списка43"/>
    <w:next w:val="944"/>
    <w:uiPriority w:val="99"/>
    <w:semiHidden/>
    <w:unhideWhenUsed/>
  </w:style>
  <w:style w:type="numbering" w:styleId="1362" w:customStyle="1">
    <w:name w:val="Нет списка53"/>
    <w:next w:val="944"/>
    <w:uiPriority w:val="99"/>
    <w:semiHidden/>
    <w:unhideWhenUsed/>
  </w:style>
  <w:style w:type="numbering" w:styleId="1363" w:customStyle="1">
    <w:name w:val="Нет списка63"/>
    <w:next w:val="944"/>
    <w:uiPriority w:val="99"/>
    <w:semiHidden/>
    <w:unhideWhenUsed/>
  </w:style>
  <w:style w:type="table" w:styleId="1364" w:customStyle="1">
    <w:name w:val="Сетка таблицы114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365" w:customStyle="1">
    <w:name w:val="Нет списка10"/>
    <w:next w:val="944"/>
    <w:uiPriority w:val="99"/>
    <w:semiHidden/>
    <w:unhideWhenUsed/>
  </w:style>
  <w:style w:type="numbering" w:styleId="1366" w:customStyle="1">
    <w:name w:val="Нет списка14"/>
    <w:next w:val="944"/>
    <w:uiPriority w:val="99"/>
    <w:semiHidden/>
    <w:unhideWhenUsed/>
  </w:style>
  <w:style w:type="numbering" w:styleId="1367" w:customStyle="1">
    <w:name w:val="Нет списка24"/>
    <w:next w:val="944"/>
    <w:uiPriority w:val="99"/>
    <w:semiHidden/>
    <w:unhideWhenUsed/>
  </w:style>
  <w:style w:type="numbering" w:styleId="1368" w:customStyle="1">
    <w:name w:val="Нет списка34"/>
    <w:next w:val="944"/>
    <w:uiPriority w:val="99"/>
    <w:semiHidden/>
    <w:unhideWhenUsed/>
  </w:style>
  <w:style w:type="numbering" w:styleId="1369" w:customStyle="1">
    <w:name w:val="Нет списка44"/>
    <w:next w:val="944"/>
    <w:uiPriority w:val="99"/>
    <w:semiHidden/>
    <w:unhideWhenUsed/>
  </w:style>
  <w:style w:type="numbering" w:styleId="1370" w:customStyle="1">
    <w:name w:val="Нет списка54"/>
    <w:next w:val="944"/>
    <w:uiPriority w:val="99"/>
    <w:semiHidden/>
    <w:unhideWhenUsed/>
  </w:style>
  <w:style w:type="numbering" w:styleId="1371" w:customStyle="1">
    <w:name w:val="Нет списка64"/>
    <w:next w:val="944"/>
    <w:uiPriority w:val="99"/>
    <w:semiHidden/>
    <w:unhideWhenUsed/>
  </w:style>
  <w:style w:type="table" w:styleId="1372" w:customStyle="1">
    <w:name w:val="Сетка таблицы12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373" w:customStyle="1">
    <w:name w:val="Нет списка15"/>
    <w:next w:val="944"/>
    <w:uiPriority w:val="99"/>
    <w:semiHidden/>
    <w:unhideWhenUsed/>
  </w:style>
  <w:style w:type="numbering" w:styleId="1374" w:customStyle="1">
    <w:name w:val="Нет списка16"/>
    <w:next w:val="944"/>
    <w:uiPriority w:val="99"/>
    <w:semiHidden/>
    <w:unhideWhenUsed/>
  </w:style>
  <w:style w:type="numbering" w:styleId="1375" w:customStyle="1">
    <w:name w:val="Нет списка25"/>
    <w:next w:val="944"/>
    <w:uiPriority w:val="99"/>
    <w:semiHidden/>
    <w:unhideWhenUsed/>
  </w:style>
  <w:style w:type="numbering" w:styleId="1376" w:customStyle="1">
    <w:name w:val="Нет списка35"/>
    <w:next w:val="944"/>
    <w:uiPriority w:val="99"/>
    <w:semiHidden/>
    <w:unhideWhenUsed/>
  </w:style>
  <w:style w:type="numbering" w:styleId="1377" w:customStyle="1">
    <w:name w:val="Нет списка45"/>
    <w:next w:val="944"/>
    <w:uiPriority w:val="99"/>
    <w:semiHidden/>
    <w:unhideWhenUsed/>
  </w:style>
  <w:style w:type="numbering" w:styleId="1378" w:customStyle="1">
    <w:name w:val="Нет списка55"/>
    <w:next w:val="944"/>
    <w:uiPriority w:val="99"/>
    <w:semiHidden/>
    <w:unhideWhenUsed/>
  </w:style>
  <w:style w:type="numbering" w:styleId="1379" w:customStyle="1">
    <w:name w:val="Нет списка65"/>
    <w:next w:val="944"/>
    <w:uiPriority w:val="99"/>
    <w:semiHidden/>
    <w:unhideWhenUsed/>
  </w:style>
  <w:style w:type="table" w:styleId="1380" w:customStyle="1">
    <w:name w:val="Сетка таблицы13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381" w:customStyle="1">
    <w:name w:val="Нет списка17"/>
    <w:next w:val="944"/>
    <w:uiPriority w:val="99"/>
    <w:semiHidden/>
    <w:unhideWhenUsed/>
  </w:style>
  <w:style w:type="numbering" w:styleId="1382" w:customStyle="1">
    <w:name w:val="Нет списка18"/>
    <w:next w:val="944"/>
    <w:uiPriority w:val="99"/>
    <w:semiHidden/>
    <w:unhideWhenUsed/>
  </w:style>
  <w:style w:type="numbering" w:styleId="1383" w:customStyle="1">
    <w:name w:val="Нет списка26"/>
    <w:next w:val="944"/>
    <w:uiPriority w:val="99"/>
    <w:semiHidden/>
    <w:unhideWhenUsed/>
  </w:style>
  <w:style w:type="numbering" w:styleId="1384" w:customStyle="1">
    <w:name w:val="Нет списка36"/>
    <w:next w:val="944"/>
    <w:uiPriority w:val="99"/>
    <w:semiHidden/>
    <w:unhideWhenUsed/>
  </w:style>
  <w:style w:type="numbering" w:styleId="1385" w:customStyle="1">
    <w:name w:val="Нет списка46"/>
    <w:next w:val="944"/>
    <w:uiPriority w:val="99"/>
    <w:semiHidden/>
    <w:unhideWhenUsed/>
  </w:style>
  <w:style w:type="numbering" w:styleId="1386" w:customStyle="1">
    <w:name w:val="Нет списка56"/>
    <w:next w:val="944"/>
    <w:uiPriority w:val="99"/>
    <w:semiHidden/>
    <w:unhideWhenUsed/>
  </w:style>
  <w:style w:type="numbering" w:styleId="1387" w:customStyle="1">
    <w:name w:val="Нет списка66"/>
    <w:next w:val="944"/>
    <w:uiPriority w:val="99"/>
    <w:semiHidden/>
    <w:unhideWhenUsed/>
  </w:style>
  <w:style w:type="table" w:styleId="1388" w:customStyle="1">
    <w:name w:val="Сетка таблицы14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389" w:customStyle="1">
    <w:name w:val="Нет списка19"/>
    <w:next w:val="944"/>
    <w:uiPriority w:val="99"/>
    <w:semiHidden/>
    <w:unhideWhenUsed/>
  </w:style>
  <w:style w:type="numbering" w:styleId="1390" w:customStyle="1">
    <w:name w:val="Нет списка110"/>
    <w:next w:val="944"/>
    <w:uiPriority w:val="99"/>
    <w:semiHidden/>
    <w:unhideWhenUsed/>
  </w:style>
  <w:style w:type="numbering" w:styleId="1391" w:customStyle="1">
    <w:name w:val="Нет списка27"/>
    <w:next w:val="944"/>
    <w:uiPriority w:val="99"/>
    <w:semiHidden/>
    <w:unhideWhenUsed/>
  </w:style>
  <w:style w:type="numbering" w:styleId="1392" w:customStyle="1">
    <w:name w:val="Нет списка37"/>
    <w:next w:val="944"/>
    <w:uiPriority w:val="99"/>
    <w:semiHidden/>
    <w:unhideWhenUsed/>
  </w:style>
  <w:style w:type="numbering" w:styleId="1393" w:customStyle="1">
    <w:name w:val="Нет списка47"/>
    <w:next w:val="944"/>
    <w:uiPriority w:val="99"/>
    <w:semiHidden/>
    <w:unhideWhenUsed/>
  </w:style>
  <w:style w:type="numbering" w:styleId="1394" w:customStyle="1">
    <w:name w:val="Нет списка57"/>
    <w:next w:val="944"/>
    <w:uiPriority w:val="99"/>
    <w:semiHidden/>
    <w:unhideWhenUsed/>
  </w:style>
  <w:style w:type="numbering" w:styleId="1395" w:customStyle="1">
    <w:name w:val="Нет списка67"/>
    <w:next w:val="944"/>
    <w:uiPriority w:val="99"/>
    <w:semiHidden/>
    <w:unhideWhenUsed/>
  </w:style>
  <w:style w:type="table" w:styleId="1396" w:customStyle="1">
    <w:name w:val="Сетка таблицы3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397" w:customStyle="1">
    <w:name w:val="Сетка таблицы15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398" w:customStyle="1">
    <w:name w:val="Сетка таблицы211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399" w:customStyle="1">
    <w:name w:val="Нет списка71"/>
    <w:next w:val="944"/>
    <w:uiPriority w:val="99"/>
    <w:semiHidden/>
    <w:unhideWhenUsed/>
  </w:style>
  <w:style w:type="numbering" w:styleId="1400" w:customStyle="1">
    <w:name w:val="Нет списка1111"/>
    <w:next w:val="944"/>
    <w:uiPriority w:val="99"/>
    <w:semiHidden/>
    <w:unhideWhenUsed/>
  </w:style>
  <w:style w:type="numbering" w:styleId="1401" w:customStyle="1">
    <w:name w:val="Нет списка211"/>
    <w:next w:val="944"/>
    <w:uiPriority w:val="99"/>
    <w:semiHidden/>
    <w:unhideWhenUsed/>
  </w:style>
  <w:style w:type="numbering" w:styleId="1402" w:customStyle="1">
    <w:name w:val="Нет списка311"/>
    <w:next w:val="944"/>
    <w:uiPriority w:val="99"/>
    <w:semiHidden/>
    <w:unhideWhenUsed/>
  </w:style>
  <w:style w:type="numbering" w:styleId="1403" w:customStyle="1">
    <w:name w:val="Нет списка411"/>
    <w:next w:val="944"/>
    <w:uiPriority w:val="99"/>
    <w:semiHidden/>
    <w:unhideWhenUsed/>
  </w:style>
  <w:style w:type="numbering" w:styleId="1404" w:customStyle="1">
    <w:name w:val="Нет списка511"/>
    <w:next w:val="944"/>
    <w:uiPriority w:val="99"/>
    <w:semiHidden/>
    <w:unhideWhenUsed/>
  </w:style>
  <w:style w:type="numbering" w:styleId="1405" w:customStyle="1">
    <w:name w:val="Нет списка611"/>
    <w:next w:val="944"/>
    <w:uiPriority w:val="99"/>
    <w:semiHidden/>
    <w:unhideWhenUsed/>
  </w:style>
  <w:style w:type="numbering" w:styleId="1406" w:customStyle="1">
    <w:name w:val="Нет списка711"/>
    <w:next w:val="944"/>
    <w:uiPriority w:val="99"/>
    <w:semiHidden/>
    <w:unhideWhenUsed/>
  </w:style>
  <w:style w:type="numbering" w:styleId="1407" w:customStyle="1">
    <w:name w:val="Нет списка11111"/>
    <w:next w:val="944"/>
    <w:uiPriority w:val="99"/>
    <w:semiHidden/>
    <w:unhideWhenUsed/>
  </w:style>
  <w:style w:type="numbering" w:styleId="1408" w:customStyle="1">
    <w:name w:val="Нет списка2111"/>
    <w:next w:val="944"/>
    <w:uiPriority w:val="99"/>
    <w:semiHidden/>
    <w:unhideWhenUsed/>
  </w:style>
  <w:style w:type="numbering" w:styleId="1409" w:customStyle="1">
    <w:name w:val="Нет списка3111"/>
    <w:next w:val="944"/>
    <w:uiPriority w:val="99"/>
    <w:semiHidden/>
    <w:unhideWhenUsed/>
  </w:style>
  <w:style w:type="numbering" w:styleId="1410" w:customStyle="1">
    <w:name w:val="Нет списка4111"/>
    <w:next w:val="944"/>
    <w:uiPriority w:val="99"/>
    <w:semiHidden/>
    <w:unhideWhenUsed/>
  </w:style>
  <w:style w:type="numbering" w:styleId="1411" w:customStyle="1">
    <w:name w:val="Нет списка5111"/>
    <w:next w:val="944"/>
    <w:uiPriority w:val="99"/>
    <w:semiHidden/>
    <w:unhideWhenUsed/>
  </w:style>
  <w:style w:type="numbering" w:styleId="1412" w:customStyle="1">
    <w:name w:val="Нет списка6111"/>
    <w:next w:val="944"/>
    <w:uiPriority w:val="99"/>
    <w:semiHidden/>
    <w:unhideWhenUsed/>
  </w:style>
  <w:style w:type="table" w:styleId="1413" w:customStyle="1">
    <w:name w:val="Сетка таблицы111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414" w:customStyle="1">
    <w:name w:val="Нет списка81"/>
    <w:next w:val="944"/>
    <w:uiPriority w:val="99"/>
    <w:semiHidden/>
    <w:unhideWhenUsed/>
  </w:style>
  <w:style w:type="numbering" w:styleId="1415" w:customStyle="1">
    <w:name w:val="Нет списка1211"/>
    <w:next w:val="944"/>
    <w:uiPriority w:val="99"/>
    <w:semiHidden/>
    <w:unhideWhenUsed/>
  </w:style>
  <w:style w:type="numbering" w:styleId="1416" w:customStyle="1">
    <w:name w:val="Нет списка221"/>
    <w:next w:val="944"/>
    <w:uiPriority w:val="99"/>
    <w:semiHidden/>
    <w:unhideWhenUsed/>
  </w:style>
  <w:style w:type="numbering" w:styleId="1417" w:customStyle="1">
    <w:name w:val="Нет списка321"/>
    <w:next w:val="944"/>
    <w:uiPriority w:val="99"/>
    <w:semiHidden/>
    <w:unhideWhenUsed/>
  </w:style>
  <w:style w:type="numbering" w:styleId="1418" w:customStyle="1">
    <w:name w:val="Нет списка421"/>
    <w:next w:val="944"/>
    <w:uiPriority w:val="99"/>
    <w:semiHidden/>
    <w:unhideWhenUsed/>
  </w:style>
  <w:style w:type="numbering" w:styleId="1419" w:customStyle="1">
    <w:name w:val="Нет списка521"/>
    <w:next w:val="944"/>
    <w:uiPriority w:val="99"/>
    <w:semiHidden/>
    <w:unhideWhenUsed/>
  </w:style>
  <w:style w:type="numbering" w:styleId="1420" w:customStyle="1">
    <w:name w:val="Нет списка621"/>
    <w:next w:val="944"/>
    <w:uiPriority w:val="99"/>
    <w:semiHidden/>
    <w:unhideWhenUsed/>
  </w:style>
  <w:style w:type="numbering" w:styleId="1421" w:customStyle="1">
    <w:name w:val="Нет списка91"/>
    <w:next w:val="944"/>
    <w:uiPriority w:val="99"/>
    <w:semiHidden/>
    <w:unhideWhenUsed/>
  </w:style>
  <w:style w:type="numbering" w:styleId="1422" w:customStyle="1">
    <w:name w:val="Нет списка131"/>
    <w:next w:val="944"/>
    <w:uiPriority w:val="99"/>
    <w:semiHidden/>
    <w:unhideWhenUsed/>
  </w:style>
  <w:style w:type="numbering" w:styleId="1423" w:customStyle="1">
    <w:name w:val="Нет списка231"/>
    <w:next w:val="944"/>
    <w:uiPriority w:val="99"/>
    <w:semiHidden/>
    <w:unhideWhenUsed/>
  </w:style>
  <w:style w:type="numbering" w:styleId="1424" w:customStyle="1">
    <w:name w:val="Нет списка331"/>
    <w:next w:val="944"/>
    <w:uiPriority w:val="99"/>
    <w:semiHidden/>
    <w:unhideWhenUsed/>
  </w:style>
  <w:style w:type="numbering" w:styleId="1425" w:customStyle="1">
    <w:name w:val="Нет списка431"/>
    <w:next w:val="944"/>
    <w:uiPriority w:val="99"/>
    <w:semiHidden/>
    <w:unhideWhenUsed/>
  </w:style>
  <w:style w:type="numbering" w:styleId="1426" w:customStyle="1">
    <w:name w:val="Нет списка531"/>
    <w:next w:val="944"/>
    <w:uiPriority w:val="99"/>
    <w:semiHidden/>
    <w:unhideWhenUsed/>
  </w:style>
  <w:style w:type="numbering" w:styleId="1427" w:customStyle="1">
    <w:name w:val="Нет списка631"/>
    <w:next w:val="944"/>
    <w:uiPriority w:val="99"/>
    <w:semiHidden/>
    <w:unhideWhenUsed/>
  </w:style>
  <w:style w:type="table" w:styleId="1428" w:customStyle="1">
    <w:name w:val="Сетка таблицы1111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429" w:customStyle="1">
    <w:name w:val="Нет списка101"/>
    <w:next w:val="944"/>
    <w:uiPriority w:val="99"/>
    <w:semiHidden/>
    <w:unhideWhenUsed/>
  </w:style>
  <w:style w:type="numbering" w:styleId="1430" w:customStyle="1">
    <w:name w:val="Нет списка141"/>
    <w:next w:val="944"/>
    <w:uiPriority w:val="99"/>
    <w:semiHidden/>
    <w:unhideWhenUsed/>
  </w:style>
  <w:style w:type="numbering" w:styleId="1431" w:customStyle="1">
    <w:name w:val="Нет списка241"/>
    <w:next w:val="944"/>
    <w:uiPriority w:val="99"/>
    <w:semiHidden/>
    <w:unhideWhenUsed/>
  </w:style>
  <w:style w:type="numbering" w:styleId="1432" w:customStyle="1">
    <w:name w:val="Нет списка341"/>
    <w:next w:val="944"/>
    <w:uiPriority w:val="99"/>
    <w:semiHidden/>
    <w:unhideWhenUsed/>
  </w:style>
  <w:style w:type="numbering" w:styleId="1433" w:customStyle="1">
    <w:name w:val="Нет списка441"/>
    <w:next w:val="944"/>
    <w:uiPriority w:val="99"/>
    <w:semiHidden/>
    <w:unhideWhenUsed/>
  </w:style>
  <w:style w:type="numbering" w:styleId="1434" w:customStyle="1">
    <w:name w:val="Нет списка541"/>
    <w:next w:val="944"/>
    <w:uiPriority w:val="99"/>
    <w:semiHidden/>
    <w:unhideWhenUsed/>
  </w:style>
  <w:style w:type="numbering" w:styleId="1435" w:customStyle="1">
    <w:name w:val="Нет списка641"/>
    <w:next w:val="944"/>
    <w:uiPriority w:val="99"/>
    <w:semiHidden/>
    <w:unhideWhenUsed/>
  </w:style>
  <w:style w:type="numbering" w:styleId="1436" w:customStyle="1">
    <w:name w:val="Нет списка151"/>
    <w:next w:val="944"/>
    <w:uiPriority w:val="99"/>
    <w:semiHidden/>
    <w:unhideWhenUsed/>
  </w:style>
  <w:style w:type="numbering" w:styleId="1437" w:customStyle="1">
    <w:name w:val="Нет списка161"/>
    <w:next w:val="944"/>
    <w:uiPriority w:val="99"/>
    <w:semiHidden/>
    <w:unhideWhenUsed/>
  </w:style>
  <w:style w:type="numbering" w:styleId="1438" w:customStyle="1">
    <w:name w:val="Нет списка251"/>
    <w:next w:val="944"/>
    <w:uiPriority w:val="99"/>
    <w:semiHidden/>
    <w:unhideWhenUsed/>
  </w:style>
  <w:style w:type="numbering" w:styleId="1439" w:customStyle="1">
    <w:name w:val="Нет списка351"/>
    <w:next w:val="944"/>
    <w:uiPriority w:val="99"/>
    <w:semiHidden/>
    <w:unhideWhenUsed/>
  </w:style>
  <w:style w:type="numbering" w:styleId="1440" w:customStyle="1">
    <w:name w:val="Нет списка451"/>
    <w:next w:val="944"/>
    <w:uiPriority w:val="99"/>
    <w:semiHidden/>
    <w:unhideWhenUsed/>
  </w:style>
  <w:style w:type="numbering" w:styleId="1441" w:customStyle="1">
    <w:name w:val="Нет списка551"/>
    <w:next w:val="944"/>
    <w:uiPriority w:val="99"/>
    <w:semiHidden/>
    <w:unhideWhenUsed/>
  </w:style>
  <w:style w:type="numbering" w:styleId="1442" w:customStyle="1">
    <w:name w:val="Нет списка651"/>
    <w:next w:val="944"/>
    <w:uiPriority w:val="99"/>
    <w:semiHidden/>
    <w:unhideWhenUsed/>
  </w:style>
  <w:style w:type="numbering" w:styleId="1443" w:customStyle="1">
    <w:name w:val="Нет списка171"/>
    <w:next w:val="944"/>
    <w:uiPriority w:val="99"/>
    <w:semiHidden/>
    <w:unhideWhenUsed/>
  </w:style>
  <w:style w:type="numbering" w:styleId="1444" w:customStyle="1">
    <w:name w:val="Нет списка181"/>
    <w:next w:val="944"/>
    <w:uiPriority w:val="99"/>
    <w:semiHidden/>
    <w:unhideWhenUsed/>
  </w:style>
  <w:style w:type="numbering" w:styleId="1445" w:customStyle="1">
    <w:name w:val="Нет списка261"/>
    <w:next w:val="944"/>
    <w:uiPriority w:val="99"/>
    <w:semiHidden/>
    <w:unhideWhenUsed/>
  </w:style>
  <w:style w:type="numbering" w:styleId="1446" w:customStyle="1">
    <w:name w:val="Нет списка361"/>
    <w:next w:val="944"/>
    <w:uiPriority w:val="99"/>
    <w:semiHidden/>
    <w:unhideWhenUsed/>
  </w:style>
  <w:style w:type="numbering" w:styleId="1447" w:customStyle="1">
    <w:name w:val="Нет списка461"/>
    <w:next w:val="944"/>
    <w:uiPriority w:val="99"/>
    <w:semiHidden/>
    <w:unhideWhenUsed/>
  </w:style>
  <w:style w:type="numbering" w:styleId="1448" w:customStyle="1">
    <w:name w:val="Нет списка561"/>
    <w:next w:val="944"/>
    <w:uiPriority w:val="99"/>
    <w:semiHidden/>
    <w:unhideWhenUsed/>
  </w:style>
  <w:style w:type="numbering" w:styleId="1449" w:customStyle="1">
    <w:name w:val="Нет списка661"/>
    <w:next w:val="944"/>
    <w:uiPriority w:val="99"/>
    <w:semiHidden/>
    <w:unhideWhenUsed/>
  </w:style>
  <w:style w:type="table" w:styleId="1450" w:customStyle="1">
    <w:name w:val="Сетка таблицы14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451" w:customStyle="1">
    <w:name w:val="Нет списка20"/>
    <w:next w:val="944"/>
    <w:uiPriority w:val="99"/>
    <w:semiHidden/>
    <w:unhideWhenUsed/>
  </w:style>
  <w:style w:type="numbering" w:styleId="1452" w:customStyle="1">
    <w:name w:val="Нет списка112"/>
    <w:next w:val="944"/>
    <w:uiPriority w:val="99"/>
    <w:semiHidden/>
    <w:unhideWhenUsed/>
  </w:style>
  <w:style w:type="numbering" w:styleId="1453" w:customStyle="1">
    <w:name w:val="Нет списка28"/>
    <w:next w:val="944"/>
    <w:uiPriority w:val="99"/>
    <w:semiHidden/>
    <w:unhideWhenUsed/>
  </w:style>
  <w:style w:type="numbering" w:styleId="1454" w:customStyle="1">
    <w:name w:val="Нет списка38"/>
    <w:next w:val="944"/>
    <w:uiPriority w:val="99"/>
    <w:semiHidden/>
    <w:unhideWhenUsed/>
  </w:style>
  <w:style w:type="numbering" w:styleId="1455" w:customStyle="1">
    <w:name w:val="Нет списка48"/>
    <w:next w:val="944"/>
    <w:uiPriority w:val="99"/>
    <w:semiHidden/>
    <w:unhideWhenUsed/>
  </w:style>
  <w:style w:type="numbering" w:styleId="1456" w:customStyle="1">
    <w:name w:val="Нет списка58"/>
    <w:next w:val="944"/>
    <w:uiPriority w:val="99"/>
    <w:semiHidden/>
    <w:unhideWhenUsed/>
  </w:style>
  <w:style w:type="numbering" w:styleId="1457" w:customStyle="1">
    <w:name w:val="Нет списка68"/>
    <w:next w:val="944"/>
    <w:uiPriority w:val="99"/>
    <w:semiHidden/>
    <w:unhideWhenUsed/>
  </w:style>
  <w:style w:type="table" w:styleId="1458" w:customStyle="1">
    <w:name w:val="Сетка таблицы4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459" w:customStyle="1">
    <w:name w:val="Сетка таблицы1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460" w:customStyle="1">
    <w:name w:val="Сетка таблицы23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461" w:customStyle="1">
    <w:name w:val="Нет списка72"/>
    <w:next w:val="944"/>
    <w:uiPriority w:val="99"/>
    <w:semiHidden/>
    <w:unhideWhenUsed/>
  </w:style>
  <w:style w:type="numbering" w:styleId="1462" w:customStyle="1">
    <w:name w:val="Нет списка113"/>
    <w:next w:val="944"/>
    <w:uiPriority w:val="99"/>
    <w:semiHidden/>
    <w:unhideWhenUsed/>
  </w:style>
  <w:style w:type="numbering" w:styleId="1463" w:customStyle="1">
    <w:name w:val="Нет списка212"/>
    <w:next w:val="944"/>
    <w:uiPriority w:val="99"/>
    <w:semiHidden/>
    <w:unhideWhenUsed/>
  </w:style>
  <w:style w:type="numbering" w:styleId="1464" w:customStyle="1">
    <w:name w:val="Нет списка312"/>
    <w:next w:val="944"/>
    <w:uiPriority w:val="99"/>
    <w:semiHidden/>
    <w:unhideWhenUsed/>
  </w:style>
  <w:style w:type="numbering" w:styleId="1465" w:customStyle="1">
    <w:name w:val="Нет списка412"/>
    <w:next w:val="944"/>
    <w:uiPriority w:val="99"/>
    <w:semiHidden/>
    <w:unhideWhenUsed/>
  </w:style>
  <w:style w:type="numbering" w:styleId="1466" w:customStyle="1">
    <w:name w:val="Нет списка512"/>
    <w:next w:val="944"/>
    <w:uiPriority w:val="99"/>
    <w:semiHidden/>
    <w:unhideWhenUsed/>
  </w:style>
  <w:style w:type="numbering" w:styleId="1467" w:customStyle="1">
    <w:name w:val="Нет списка612"/>
    <w:next w:val="944"/>
    <w:uiPriority w:val="99"/>
    <w:semiHidden/>
    <w:unhideWhenUsed/>
  </w:style>
  <w:style w:type="numbering" w:styleId="1468" w:customStyle="1">
    <w:name w:val="Нет списка712"/>
    <w:next w:val="944"/>
    <w:uiPriority w:val="99"/>
    <w:semiHidden/>
    <w:unhideWhenUsed/>
  </w:style>
  <w:style w:type="numbering" w:styleId="1469" w:customStyle="1">
    <w:name w:val="Нет списка1112"/>
    <w:next w:val="944"/>
    <w:uiPriority w:val="99"/>
    <w:semiHidden/>
    <w:unhideWhenUsed/>
  </w:style>
  <w:style w:type="numbering" w:styleId="1470" w:customStyle="1">
    <w:name w:val="Нет списка2112"/>
    <w:next w:val="944"/>
    <w:uiPriority w:val="99"/>
    <w:semiHidden/>
    <w:unhideWhenUsed/>
  </w:style>
  <w:style w:type="numbering" w:styleId="1471" w:customStyle="1">
    <w:name w:val="Нет списка3112"/>
    <w:next w:val="944"/>
    <w:uiPriority w:val="99"/>
    <w:semiHidden/>
    <w:unhideWhenUsed/>
  </w:style>
  <w:style w:type="numbering" w:styleId="1472" w:customStyle="1">
    <w:name w:val="Нет списка4112"/>
    <w:next w:val="944"/>
    <w:uiPriority w:val="99"/>
    <w:semiHidden/>
    <w:unhideWhenUsed/>
  </w:style>
  <w:style w:type="numbering" w:styleId="1473" w:customStyle="1">
    <w:name w:val="Нет списка5112"/>
    <w:next w:val="944"/>
    <w:uiPriority w:val="99"/>
    <w:semiHidden/>
    <w:unhideWhenUsed/>
  </w:style>
  <w:style w:type="numbering" w:styleId="1474" w:customStyle="1">
    <w:name w:val="Нет списка6112"/>
    <w:next w:val="944"/>
    <w:uiPriority w:val="99"/>
    <w:semiHidden/>
    <w:unhideWhenUsed/>
  </w:style>
  <w:style w:type="table" w:styleId="1475" w:customStyle="1">
    <w:name w:val="Сетка таблицы112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476" w:customStyle="1">
    <w:name w:val="Нет списка82"/>
    <w:next w:val="944"/>
    <w:uiPriority w:val="99"/>
    <w:semiHidden/>
    <w:unhideWhenUsed/>
  </w:style>
  <w:style w:type="numbering" w:styleId="1477" w:customStyle="1">
    <w:name w:val="Нет списка122"/>
    <w:next w:val="944"/>
    <w:uiPriority w:val="99"/>
    <w:semiHidden/>
    <w:unhideWhenUsed/>
  </w:style>
  <w:style w:type="numbering" w:styleId="1478" w:customStyle="1">
    <w:name w:val="Нет списка222"/>
    <w:next w:val="944"/>
    <w:uiPriority w:val="99"/>
    <w:semiHidden/>
    <w:unhideWhenUsed/>
  </w:style>
  <w:style w:type="numbering" w:styleId="1479" w:customStyle="1">
    <w:name w:val="Нет списка322"/>
    <w:next w:val="944"/>
    <w:uiPriority w:val="99"/>
    <w:semiHidden/>
    <w:unhideWhenUsed/>
  </w:style>
  <w:style w:type="numbering" w:styleId="1480" w:customStyle="1">
    <w:name w:val="Нет списка422"/>
    <w:next w:val="944"/>
    <w:uiPriority w:val="99"/>
    <w:semiHidden/>
    <w:unhideWhenUsed/>
  </w:style>
  <w:style w:type="numbering" w:styleId="1481" w:customStyle="1">
    <w:name w:val="Нет списка522"/>
    <w:next w:val="944"/>
    <w:uiPriority w:val="99"/>
    <w:semiHidden/>
    <w:unhideWhenUsed/>
  </w:style>
  <w:style w:type="numbering" w:styleId="1482" w:customStyle="1">
    <w:name w:val="Нет списка622"/>
    <w:next w:val="944"/>
    <w:uiPriority w:val="99"/>
    <w:semiHidden/>
    <w:unhideWhenUsed/>
  </w:style>
  <w:style w:type="table" w:styleId="1483" w:customStyle="1">
    <w:name w:val="Сетка таблицы221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484" w:customStyle="1">
    <w:name w:val="Нет списка92"/>
    <w:next w:val="944"/>
    <w:uiPriority w:val="99"/>
    <w:semiHidden/>
    <w:unhideWhenUsed/>
  </w:style>
  <w:style w:type="numbering" w:styleId="1485" w:customStyle="1">
    <w:name w:val="Нет списка132"/>
    <w:next w:val="944"/>
    <w:uiPriority w:val="99"/>
    <w:semiHidden/>
    <w:unhideWhenUsed/>
  </w:style>
  <w:style w:type="numbering" w:styleId="1486" w:customStyle="1">
    <w:name w:val="Нет списка232"/>
    <w:next w:val="944"/>
    <w:uiPriority w:val="99"/>
    <w:semiHidden/>
    <w:unhideWhenUsed/>
  </w:style>
  <w:style w:type="numbering" w:styleId="1487" w:customStyle="1">
    <w:name w:val="Нет списка332"/>
    <w:next w:val="944"/>
    <w:uiPriority w:val="99"/>
    <w:semiHidden/>
    <w:unhideWhenUsed/>
  </w:style>
  <w:style w:type="numbering" w:styleId="1488" w:customStyle="1">
    <w:name w:val="Нет списка432"/>
    <w:next w:val="944"/>
    <w:uiPriority w:val="99"/>
    <w:semiHidden/>
    <w:unhideWhenUsed/>
  </w:style>
  <w:style w:type="numbering" w:styleId="1489" w:customStyle="1">
    <w:name w:val="Нет списка532"/>
    <w:next w:val="944"/>
    <w:uiPriority w:val="99"/>
    <w:semiHidden/>
    <w:unhideWhenUsed/>
  </w:style>
  <w:style w:type="numbering" w:styleId="1490" w:customStyle="1">
    <w:name w:val="Нет списка632"/>
    <w:next w:val="944"/>
    <w:uiPriority w:val="99"/>
    <w:semiHidden/>
    <w:unhideWhenUsed/>
  </w:style>
  <w:style w:type="table" w:styleId="1491" w:customStyle="1">
    <w:name w:val="Сетка таблицы111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492" w:customStyle="1">
    <w:name w:val="Нет списка102"/>
    <w:next w:val="944"/>
    <w:uiPriority w:val="99"/>
    <w:semiHidden/>
    <w:unhideWhenUsed/>
  </w:style>
  <w:style w:type="numbering" w:styleId="1493" w:customStyle="1">
    <w:name w:val="Нет списка142"/>
    <w:next w:val="944"/>
    <w:uiPriority w:val="99"/>
    <w:semiHidden/>
    <w:unhideWhenUsed/>
  </w:style>
  <w:style w:type="numbering" w:styleId="1494" w:customStyle="1">
    <w:name w:val="Нет списка242"/>
    <w:next w:val="944"/>
    <w:uiPriority w:val="99"/>
    <w:semiHidden/>
    <w:unhideWhenUsed/>
  </w:style>
  <w:style w:type="numbering" w:styleId="1495" w:customStyle="1">
    <w:name w:val="Нет списка342"/>
    <w:next w:val="944"/>
    <w:uiPriority w:val="99"/>
    <w:semiHidden/>
    <w:unhideWhenUsed/>
  </w:style>
  <w:style w:type="numbering" w:styleId="1496" w:customStyle="1">
    <w:name w:val="Нет списка442"/>
    <w:next w:val="944"/>
    <w:uiPriority w:val="99"/>
    <w:semiHidden/>
    <w:unhideWhenUsed/>
  </w:style>
  <w:style w:type="numbering" w:styleId="1497" w:customStyle="1">
    <w:name w:val="Нет списка542"/>
    <w:next w:val="944"/>
    <w:uiPriority w:val="99"/>
    <w:semiHidden/>
    <w:unhideWhenUsed/>
  </w:style>
  <w:style w:type="numbering" w:styleId="1498" w:customStyle="1">
    <w:name w:val="Нет списка642"/>
    <w:next w:val="944"/>
    <w:uiPriority w:val="99"/>
    <w:semiHidden/>
    <w:unhideWhenUsed/>
  </w:style>
  <w:style w:type="table" w:styleId="1499" w:customStyle="1">
    <w:name w:val="Сетка таблицы12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500" w:customStyle="1">
    <w:name w:val="Нет списка152"/>
    <w:next w:val="944"/>
    <w:uiPriority w:val="99"/>
    <w:semiHidden/>
    <w:unhideWhenUsed/>
  </w:style>
  <w:style w:type="numbering" w:styleId="1501" w:customStyle="1">
    <w:name w:val="Нет списка162"/>
    <w:next w:val="944"/>
    <w:uiPriority w:val="99"/>
    <w:semiHidden/>
    <w:unhideWhenUsed/>
  </w:style>
  <w:style w:type="numbering" w:styleId="1502" w:customStyle="1">
    <w:name w:val="Нет списка252"/>
    <w:next w:val="944"/>
    <w:uiPriority w:val="99"/>
    <w:semiHidden/>
    <w:unhideWhenUsed/>
  </w:style>
  <w:style w:type="numbering" w:styleId="1503" w:customStyle="1">
    <w:name w:val="Нет списка352"/>
    <w:next w:val="944"/>
    <w:uiPriority w:val="99"/>
    <w:semiHidden/>
    <w:unhideWhenUsed/>
  </w:style>
  <w:style w:type="numbering" w:styleId="1504" w:customStyle="1">
    <w:name w:val="Нет списка452"/>
    <w:next w:val="944"/>
    <w:uiPriority w:val="99"/>
    <w:semiHidden/>
    <w:unhideWhenUsed/>
  </w:style>
  <w:style w:type="numbering" w:styleId="1505" w:customStyle="1">
    <w:name w:val="Нет списка552"/>
    <w:next w:val="944"/>
    <w:uiPriority w:val="99"/>
    <w:semiHidden/>
    <w:unhideWhenUsed/>
  </w:style>
  <w:style w:type="numbering" w:styleId="1506" w:customStyle="1">
    <w:name w:val="Нет списка652"/>
    <w:next w:val="944"/>
    <w:uiPriority w:val="99"/>
    <w:semiHidden/>
    <w:unhideWhenUsed/>
  </w:style>
  <w:style w:type="table" w:styleId="1507" w:customStyle="1">
    <w:name w:val="Сетка таблицы13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508" w:customStyle="1">
    <w:name w:val="Нет списка172"/>
    <w:next w:val="944"/>
    <w:uiPriority w:val="99"/>
    <w:semiHidden/>
    <w:unhideWhenUsed/>
  </w:style>
  <w:style w:type="numbering" w:styleId="1509" w:customStyle="1">
    <w:name w:val="Нет списка182"/>
    <w:next w:val="944"/>
    <w:uiPriority w:val="99"/>
    <w:semiHidden/>
    <w:unhideWhenUsed/>
  </w:style>
  <w:style w:type="numbering" w:styleId="1510" w:customStyle="1">
    <w:name w:val="Нет списка262"/>
    <w:next w:val="944"/>
    <w:uiPriority w:val="99"/>
    <w:semiHidden/>
    <w:unhideWhenUsed/>
  </w:style>
  <w:style w:type="numbering" w:styleId="1511" w:customStyle="1">
    <w:name w:val="Нет списка362"/>
    <w:next w:val="944"/>
    <w:uiPriority w:val="99"/>
    <w:semiHidden/>
    <w:unhideWhenUsed/>
  </w:style>
  <w:style w:type="numbering" w:styleId="1512" w:customStyle="1">
    <w:name w:val="Нет списка462"/>
    <w:next w:val="944"/>
    <w:uiPriority w:val="99"/>
    <w:semiHidden/>
    <w:unhideWhenUsed/>
  </w:style>
  <w:style w:type="numbering" w:styleId="1513" w:customStyle="1">
    <w:name w:val="Нет списка562"/>
    <w:next w:val="944"/>
    <w:uiPriority w:val="99"/>
    <w:semiHidden/>
    <w:unhideWhenUsed/>
  </w:style>
  <w:style w:type="numbering" w:styleId="1514" w:customStyle="1">
    <w:name w:val="Нет списка662"/>
    <w:next w:val="944"/>
    <w:uiPriority w:val="99"/>
    <w:semiHidden/>
    <w:unhideWhenUsed/>
  </w:style>
  <w:style w:type="table" w:styleId="1515" w:customStyle="1">
    <w:name w:val="Сетка таблицы14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516" w:customStyle="1">
    <w:name w:val="Основной"/>
    <w:link w:val="1552"/>
    <w:uiPriority w:val="99"/>
    <w:qFormat/>
    <w:pPr>
      <w:numPr>
        <w:numId w:val="10"/>
      </w:numPr>
      <w:jc w:val="both"/>
      <w:spacing w:before="120" w:after="0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517" w:customStyle="1">
    <w:name w:val="Нумерованный (1)"/>
    <w:basedOn w:val="932"/>
    <w:uiPriority w:val="99"/>
    <w:pPr>
      <w:numPr>
        <w:ilvl w:val="3"/>
        <w:numId w:val="10"/>
      </w:numPr>
      <w:ind w:left="605" w:hanging="425"/>
      <w:jc w:val="both"/>
      <w:spacing w:before="120" w:after="0" w:line="240" w:lineRule="auto"/>
      <w:tabs>
        <w:tab w:val="num" w:pos="605" w:leader="none"/>
        <w:tab w:val="clear" w:pos="709" w:leader="none"/>
      </w:tabs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1518">
    <w:name w:val="List Bullet 2"/>
    <w:basedOn w:val="932"/>
    <w:uiPriority w:val="99"/>
    <w:pPr>
      <w:numPr>
        <w:ilvl w:val="5"/>
        <w:numId w:val="10"/>
      </w:numPr>
      <w:ind w:left="992" w:hanging="283"/>
      <w:jc w:val="both"/>
      <w:spacing w:after="0" w:line="240" w:lineRule="auto"/>
      <w:tabs>
        <w:tab w:val="clear" w:pos="709" w:leader="none"/>
        <w:tab w:val="num" w:pos="992" w:leader="none"/>
      </w:tabs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table" w:styleId="1519" w:customStyle="1">
    <w:name w:val="Table Normal14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numbering" w:styleId="1520" w:customStyle="1">
    <w:name w:val="Нет списка29"/>
    <w:next w:val="944"/>
    <w:uiPriority w:val="99"/>
    <w:semiHidden/>
    <w:unhideWhenUsed/>
  </w:style>
  <w:style w:type="paragraph" w:styleId="1521">
    <w:name w:val="HTML Preformatted"/>
    <w:basedOn w:val="932"/>
    <w:link w:val="1522"/>
    <w:uiPriority w:val="99"/>
    <w:unhideWhenUsed/>
    <w:pPr>
      <w:spacing w:after="0" w:line="240" w:lineRule="auto"/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eastAsia="Times New Roman" w:cs="Courier New"/>
      <w:sz w:val="20"/>
      <w:szCs w:val="20"/>
      <w:lang w:eastAsia="ru-RU"/>
    </w:rPr>
  </w:style>
  <w:style w:type="character" w:styleId="1522" w:customStyle="1">
    <w:name w:val="Стандартный HTML Знак"/>
    <w:basedOn w:val="942"/>
    <w:link w:val="1521"/>
    <w:uiPriority w:val="99"/>
    <w:rPr>
      <w:rFonts w:ascii="Courier New" w:hAnsi="Courier New" w:eastAsia="Times New Roman" w:cs="Courier New"/>
      <w:sz w:val="20"/>
      <w:szCs w:val="20"/>
      <w:lang w:eastAsia="ru-RU"/>
    </w:rPr>
  </w:style>
  <w:style w:type="table" w:styleId="1523" w:customStyle="1">
    <w:name w:val="Table Grid"/>
    <w:pPr>
      <w:spacing w:after="0" w:line="240" w:lineRule="auto"/>
    </w:pPr>
    <w:rPr>
      <w:rFonts w:eastAsia="Times New Roman"/>
      <w:lang w:eastAsia="ru-RU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1524" w:customStyle="1">
    <w:name w:val="Сетка таблицы6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525" w:customStyle="1">
    <w:name w:val="_ТЕКСТ"/>
    <w:basedOn w:val="932"/>
    <w:link w:val="1526"/>
    <w:uiPriority w:val="99"/>
    <w:pPr>
      <w:ind w:firstLine="709"/>
      <w:jc w:val="both"/>
      <w:spacing w:after="0" w:line="360" w:lineRule="auto"/>
    </w:pPr>
    <w:rPr>
      <w:rFonts w:ascii="Arial" w:hAnsi="Arial" w:eastAsia="Times New Roman" w:cs="Arial"/>
      <w:sz w:val="24"/>
      <w:szCs w:val="24"/>
    </w:rPr>
  </w:style>
  <w:style w:type="character" w:styleId="1526" w:customStyle="1">
    <w:name w:val="_ТЕКСТ Знак"/>
    <w:basedOn w:val="942"/>
    <w:link w:val="1525"/>
    <w:uiPriority w:val="99"/>
    <w:rPr>
      <w:rFonts w:ascii="Arial" w:hAnsi="Arial" w:eastAsia="Times New Roman" w:cs="Arial"/>
      <w:sz w:val="24"/>
      <w:szCs w:val="24"/>
    </w:rPr>
  </w:style>
  <w:style w:type="table" w:styleId="1527" w:customStyle="1">
    <w:name w:val="Таблица простая 21"/>
    <w:basedOn w:val="943"/>
    <w:uiPriority w:val="42"/>
    <w:pPr>
      <w:spacing w:after="0" w:line="240" w:lineRule="auto"/>
    </w:pPr>
    <w:tblPr>
      <w:tblStyleRowBandSize w:val="1"/>
      <w:tblStyleColBandSize w:val="1"/>
      <w:tblBorders>
        <w:top w:val="single" w:color="7F7F7F" w:sz="4" w:space="0"/>
        <w:bottom w:val="single" w:color="7F7F7F" w:sz="4" w:space="0"/>
      </w:tblBorders>
    </w:tblPr>
    <w:tblStylePr w:type="band1Horz">
      <w:tcPr>
        <w:tcBorders>
          <w:top w:val="single" w:color="7F7F7F" w:sz="4" w:space="0"/>
          <w:bottom w:val="single" w:color="7F7F7F" w:sz="4" w:space="0"/>
        </w:tcBorders>
      </w:tcPr>
    </w:tblStylePr>
    <w:tblStylePr w:type="band1Vert">
      <w:tcPr>
        <w:tcBorders>
          <w:left w:val="single" w:color="7F7F7F" w:sz="4" w:space="0"/>
          <w:right w:val="single" w:color="7F7F7F" w:sz="4" w:space="0"/>
        </w:tcBorders>
      </w:tcPr>
    </w:tblStylePr>
    <w:tblStylePr w:type="band2Vert">
      <w:tcPr>
        <w:tcBorders>
          <w:left w:val="single" w:color="7F7F7F" w:sz="4" w:space="0"/>
          <w:right w:val="single" w:color="7F7F7F" w:sz="4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</w:rPr>
      <w:tcPr>
        <w:tcBorders>
          <w:bottom w:val="single" w:color="7F7F7F" w:sz="4" w:space="0"/>
        </w:tcBorders>
      </w:tcPr>
    </w:tblStylePr>
    <w:tblStylePr w:type="lastCol">
      <w:rPr>
        <w:b/>
        <w:bCs/>
      </w:rPr>
    </w:tblStylePr>
    <w:tblStylePr w:type="lastRow">
      <w:rPr>
        <w:b/>
        <w:bCs/>
      </w:rPr>
      <w:tcPr>
        <w:tcBorders>
          <w:top w:val="single" w:color="7F7F7F" w:sz="4" w:space="0"/>
        </w:tcBorders>
      </w:tcPr>
    </w:tblStylePr>
  </w:style>
  <w:style w:type="table" w:styleId="1528" w:customStyle="1">
    <w:name w:val="Сетка таблицы17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paragraph" w:styleId="1529">
    <w:name w:val="HTML Address"/>
    <w:basedOn w:val="932"/>
    <w:link w:val="1530"/>
    <w:uiPriority w:val="99"/>
    <w:semiHidden/>
    <w:unhideWhenUsed/>
    <w:pPr>
      <w:spacing w:after="0" w:line="240" w:lineRule="auto"/>
    </w:pPr>
    <w:rPr>
      <w:rFonts w:ascii="Times New Roman" w:hAnsi="Times New Roman" w:eastAsia="Times New Roman" w:cs="Times New Roman"/>
      <w:i/>
      <w:iCs/>
      <w:sz w:val="24"/>
      <w:szCs w:val="24"/>
      <w:lang w:eastAsia="ru-RU"/>
    </w:rPr>
  </w:style>
  <w:style w:type="character" w:styleId="1530" w:customStyle="1">
    <w:name w:val="Адрес HTML Знак"/>
    <w:basedOn w:val="942"/>
    <w:link w:val="1529"/>
    <w:uiPriority w:val="99"/>
    <w:semiHidden/>
    <w:rPr>
      <w:rFonts w:ascii="Times New Roman" w:hAnsi="Times New Roman" w:eastAsia="Times New Roman" w:cs="Times New Roman"/>
      <w:i/>
      <w:iCs/>
      <w:sz w:val="24"/>
      <w:szCs w:val="24"/>
      <w:lang w:eastAsia="ru-RU"/>
    </w:rPr>
  </w:style>
  <w:style w:type="character" w:styleId="1531" w:customStyle="1">
    <w:name w:val="copy_target"/>
    <w:basedOn w:val="942"/>
  </w:style>
  <w:style w:type="paragraph" w:styleId="1532" w:customStyle="1">
    <w:name w:val="44"/>
    <w:basedOn w:val="932"/>
    <w:link w:val="1533"/>
    <w:qFormat/>
    <w:pPr>
      <w:ind w:firstLine="709"/>
      <w:jc w:val="both"/>
      <w:spacing w:before="120" w:after="120" w:line="360" w:lineRule="auto"/>
    </w:pPr>
    <w:rPr>
      <w:rFonts w:ascii="Times New Roman" w:hAnsi="Times New Roman" w:eastAsia="Calibri" w:cs="Times New Roman"/>
      <w:sz w:val="24"/>
    </w:rPr>
  </w:style>
  <w:style w:type="character" w:styleId="1533" w:customStyle="1">
    <w:name w:val="44 Знак"/>
    <w:basedOn w:val="942"/>
    <w:link w:val="1532"/>
    <w:rPr>
      <w:rFonts w:ascii="Times New Roman" w:hAnsi="Times New Roman" w:eastAsia="Calibri" w:cs="Times New Roman"/>
      <w:sz w:val="24"/>
    </w:rPr>
  </w:style>
  <w:style w:type="paragraph" w:styleId="1534" w:customStyle="1">
    <w:name w:val="headertext"/>
    <w:basedOn w:val="932"/>
    <w:uiPriority w:val="99"/>
    <w:pPr>
      <w:spacing w:before="100" w:beforeAutospacing="1" w:after="100" w:afterAutospacing="1" w:line="240" w:lineRule="auto"/>
    </w:pPr>
    <w:rPr>
      <w:rFonts w:ascii="Calibri" w:hAnsi="Calibri" w:eastAsia="Times New Roman" w:cs="Times New Roman"/>
      <w:sz w:val="24"/>
      <w:szCs w:val="24"/>
      <w:lang w:eastAsia="ru-RU"/>
    </w:rPr>
  </w:style>
  <w:style w:type="character" w:styleId="1535" w:customStyle="1">
    <w:name w:val="Основной текст (2)_"/>
    <w:basedOn w:val="942"/>
    <w:link w:val="1536"/>
    <w:rPr>
      <w:shd w:val="clear" w:color="auto" w:fill="ffffff"/>
    </w:rPr>
  </w:style>
  <w:style w:type="paragraph" w:styleId="1536" w:customStyle="1">
    <w:name w:val="Основной текст (2)"/>
    <w:basedOn w:val="932"/>
    <w:link w:val="1535"/>
    <w:pPr>
      <w:spacing w:after="0" w:line="240" w:lineRule="auto"/>
      <w:shd w:val="clear" w:color="auto" w:fill="ffffff"/>
      <w:widowControl w:val="off"/>
    </w:pPr>
  </w:style>
  <w:style w:type="paragraph" w:styleId="1537" w:customStyle="1">
    <w:name w:val="Основной текст (2)1"/>
    <w:basedOn w:val="932"/>
    <w:uiPriority w:val="99"/>
    <w:pPr>
      <w:spacing w:after="0" w:line="240" w:lineRule="atLeast"/>
      <w:shd w:val="clear" w:color="auto" w:fill="ffffff"/>
      <w:widowControl w:val="off"/>
    </w:pPr>
    <w:rPr>
      <w:rFonts w:ascii="Tahoma" w:hAnsi="Tahoma" w:eastAsia="Arial Unicode MS" w:cs="Tahoma"/>
      <w:sz w:val="24"/>
      <w:szCs w:val="24"/>
      <w:lang w:eastAsia="ru-RU"/>
    </w:rPr>
  </w:style>
  <w:style w:type="table" w:styleId="1538" w:customStyle="1">
    <w:name w:val="Сетка таблицы18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539" w:customStyle="1">
    <w:name w:val="TableGrid1"/>
    <w:pPr>
      <w:spacing w:after="0" w:line="240" w:lineRule="auto"/>
    </w:pPr>
    <w:rPr>
      <w:rFonts w:eastAsia="Times New Roman"/>
      <w:lang w:eastAsia="ru-RU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1540" w:customStyle="1">
    <w:name w:val="Сетка таблицы19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541" w:customStyle="1">
    <w:name w:val="Table Grid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542" w:customStyle="1">
    <w:name w:val="No List2"/>
    <w:next w:val="944"/>
    <w:uiPriority w:val="99"/>
    <w:semiHidden/>
    <w:unhideWhenUsed/>
  </w:style>
  <w:style w:type="character" w:styleId="1543" w:customStyle="1">
    <w:name w:val="Обычный1 Знак"/>
    <w:link w:val="1111"/>
    <w:uiPriority w:val="99"/>
    <w:rPr>
      <w:rFonts w:ascii="Times New Roman" w:hAnsi="Times New Roman" w:eastAsia="Times New Roman" w:cs="Times New Roman"/>
      <w:color w:val="000000"/>
      <w:sz w:val="24"/>
      <w:szCs w:val="24"/>
      <w:lang w:eastAsia="zh-CN" w:bidi="hi-IN"/>
    </w:rPr>
  </w:style>
  <w:style w:type="character" w:styleId="1544" w:customStyle="1">
    <w:name w:val="Основной текст1"/>
    <w:basedOn w:val="942"/>
    <w:rPr>
      <w:rFonts w:ascii="Times New Roman" w:hAnsi="Times New Roman" w:eastAsia="Times New Roman" w:cs="Times New Roman"/>
      <w:b w:val="0"/>
      <w:bCs w:val="0"/>
      <w:i w:val="0"/>
      <w:iCs w:val="0"/>
      <w:smallCaps w:val="0"/>
      <w:strike w:val="0"/>
      <w:color w:val="000000"/>
      <w:spacing w:val="0"/>
      <w:position w:val="0"/>
      <w:sz w:val="22"/>
      <w:szCs w:val="22"/>
      <w:u w:val="single"/>
      <w:lang w:val="ru-RU"/>
    </w:rPr>
  </w:style>
  <w:style w:type="character" w:styleId="1545">
    <w:name w:val="Subtle Emphasis"/>
    <w:basedOn w:val="1262"/>
    <w:uiPriority w:val="19"/>
    <w:qFormat/>
    <w:rPr>
      <w:rFonts w:ascii="Times New Roman" w:hAnsi="Times New Roman" w:eastAsia="Times New Roman" w:cs="Times New Roman"/>
      <w:b w:val="0"/>
      <w:bCs w:val="0"/>
      <w:i w:val="0"/>
      <w:iCs/>
      <w:smallCaps w:val="0"/>
      <w:strike w:val="0"/>
      <w:color w:val="auto"/>
      <w:spacing w:val="0"/>
      <w:position w:val="0"/>
      <w:sz w:val="20"/>
      <w:szCs w:val="18"/>
      <w:u w:val="none"/>
      <w:lang w:val="ru-RU"/>
    </w:rPr>
  </w:style>
  <w:style w:type="character" w:styleId="1546" w:customStyle="1">
    <w:name w:val="apple-converted-space"/>
    <w:rPr>
      <w:rFonts w:cs="Times New Roman"/>
    </w:rPr>
  </w:style>
  <w:style w:type="table" w:styleId="1547" w:customStyle="1">
    <w:name w:val="Table Grid3"/>
    <w:basedOn w:val="943"/>
    <w:next w:val="961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1548" w:customStyle="1">
    <w:name w:val="ConsNormal"/>
    <w:pPr>
      <w:ind w:right="19772" w:firstLine="720"/>
      <w:spacing w:after="0" w:line="240" w:lineRule="auto"/>
      <w:widowControl w:val="off"/>
    </w:pPr>
    <w:rPr>
      <w:rFonts w:ascii="Arial" w:hAnsi="Arial" w:eastAsia="Times New Roman" w:cs="Arial"/>
      <w:sz w:val="20"/>
      <w:szCs w:val="20"/>
      <w:lang w:eastAsia="ru-RU"/>
    </w:rPr>
  </w:style>
  <w:style w:type="paragraph" w:styleId="1549" w:customStyle="1">
    <w:name w:val="Основной текст17"/>
    <w:basedOn w:val="932"/>
    <w:pPr>
      <w:ind w:hanging="1100"/>
      <w:jc w:val="both"/>
      <w:spacing w:after="120" w:line="0" w:lineRule="atLeast"/>
      <w:shd w:val="clear" w:color="auto" w:fill="ffffff"/>
      <w:widowControl w:val="off"/>
    </w:pPr>
    <w:rPr>
      <w:rFonts w:ascii="Times New Roman" w:hAnsi="Times New Roman" w:eastAsia="Times New Roman" w:cs="Times New Roman"/>
      <w:color w:val="000000"/>
      <w:spacing w:val="1"/>
      <w:sz w:val="16"/>
      <w:szCs w:val="16"/>
      <w:lang w:eastAsia="ru-RU"/>
    </w:rPr>
  </w:style>
  <w:style w:type="paragraph" w:styleId="1550" w:customStyle="1">
    <w:name w:val="2 уровень"/>
    <w:basedOn w:val="932"/>
    <w:pPr>
      <w:spacing w:after="0" w:line="240" w:lineRule="auto"/>
    </w:pPr>
    <w:rPr>
      <w:rFonts w:ascii="Times New Roman" w:hAnsi="Times New Roman" w:eastAsia="Times New Roman" w:cs="Times New Roman"/>
      <w:b/>
      <w:sz w:val="24"/>
      <w:szCs w:val="24"/>
      <w:lang w:eastAsia="ru-RU"/>
    </w:rPr>
  </w:style>
  <w:style w:type="paragraph" w:styleId="1551" w:customStyle="1">
    <w:name w:val="1 уровень"/>
    <w:basedOn w:val="933"/>
    <w:pPr>
      <w:numPr>
        <w:numId w:val="0"/>
      </w:numPr>
      <w:jc w:val="left"/>
      <w:keepNext/>
      <w:pageBreakBefore w:val="0"/>
      <w:spacing w:before="240" w:after="60"/>
    </w:pPr>
    <w:rPr>
      <w:rFonts w:eastAsia="Times New Roman" w:cs="Arial"/>
      <w:caps/>
      <w:spacing w:val="0"/>
      <w:szCs w:val="28"/>
    </w:rPr>
  </w:style>
  <w:style w:type="character" w:styleId="1552" w:customStyle="1">
    <w:name w:val="Основной Знак"/>
    <w:basedOn w:val="1012"/>
    <w:link w:val="1516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1553" w:customStyle="1">
    <w:name w:val="sc"/>
    <w:basedOn w:val="942"/>
  </w:style>
  <w:style w:type="paragraph" w:styleId="1554" w:customStyle="1">
    <w:name w:val="FR1"/>
    <w:pPr>
      <w:ind w:firstLine="500"/>
      <w:jc w:val="both"/>
      <w:spacing w:after="0" w:line="320" w:lineRule="auto"/>
      <w:widowControl w:val="off"/>
    </w:pPr>
    <w:rPr>
      <w:rFonts w:ascii="Arial" w:hAnsi="Arial" w:eastAsia="Times New Roman" w:cs="Times New Roman"/>
      <w:sz w:val="18"/>
      <w:szCs w:val="20"/>
      <w:lang w:eastAsia="ru-RU"/>
    </w:rPr>
  </w:style>
  <w:style w:type="character" w:styleId="1555" w:customStyle="1">
    <w:name w:val="Основной текст (2) + Не полужирный"/>
    <w:basedOn w:val="1535"/>
    <w:rPr>
      <w:rFonts w:ascii="Calibri" w:hAnsi="Calibri" w:eastAsia="Calibri" w:cs="Calibri"/>
      <w:b/>
      <w:bCs/>
      <w:i w:val="0"/>
      <w:iCs w:val="0"/>
      <w:smallCaps w:val="0"/>
      <w:strike w:val="0"/>
      <w:color w:val="000000"/>
      <w:spacing w:val="0"/>
      <w:position w:val="0"/>
      <w:sz w:val="54"/>
      <w:szCs w:val="54"/>
      <w:u w:val="none"/>
      <w:shd w:val="clear" w:color="auto" w:fill="ffffff"/>
      <w:lang w:val="ru-RU" w:eastAsia="ru-RU" w:bidi="ru-RU"/>
    </w:rPr>
  </w:style>
  <w:style w:type="character" w:styleId="1556" w:customStyle="1">
    <w:name w:val="Основной текст (2) + Полужирный1"/>
    <w:basedOn w:val="1535"/>
    <w:uiPriority w:val="99"/>
    <w:rPr>
      <w:rFonts w:ascii="Tahoma" w:hAnsi="Tahoma" w:cs="Tahoma"/>
      <w:b/>
      <w:bCs/>
      <w:sz w:val="16"/>
      <w:szCs w:val="16"/>
      <w:u w:val="none"/>
      <w:shd w:val="clear" w:color="auto" w:fill="ffffff"/>
      <w:lang w:val="en-US"/>
    </w:rPr>
  </w:style>
  <w:style w:type="table" w:styleId="1557" w:customStyle="1">
    <w:name w:val="Table Normal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numbering" w:styleId="1558" w:customStyle="1">
    <w:name w:val="Нет списка30"/>
    <w:next w:val="944"/>
    <w:uiPriority w:val="99"/>
    <w:semiHidden/>
    <w:unhideWhenUsed/>
  </w:style>
  <w:style w:type="numbering" w:styleId="1559" w:customStyle="1">
    <w:name w:val="Нет списка114"/>
    <w:next w:val="944"/>
    <w:uiPriority w:val="99"/>
    <w:semiHidden/>
    <w:unhideWhenUsed/>
  </w:style>
  <w:style w:type="numbering" w:styleId="1560" w:customStyle="1">
    <w:name w:val="Нет списка210"/>
    <w:next w:val="944"/>
    <w:uiPriority w:val="99"/>
    <w:semiHidden/>
    <w:unhideWhenUsed/>
  </w:style>
  <w:style w:type="numbering" w:styleId="1561" w:customStyle="1">
    <w:name w:val="Нет списка39"/>
    <w:next w:val="944"/>
    <w:uiPriority w:val="99"/>
    <w:semiHidden/>
    <w:unhideWhenUsed/>
  </w:style>
  <w:style w:type="numbering" w:styleId="1562" w:customStyle="1">
    <w:name w:val="Нет списка49"/>
    <w:next w:val="944"/>
    <w:uiPriority w:val="99"/>
    <w:semiHidden/>
    <w:unhideWhenUsed/>
  </w:style>
  <w:style w:type="numbering" w:styleId="1563" w:customStyle="1">
    <w:name w:val="Нет списка59"/>
    <w:next w:val="944"/>
    <w:uiPriority w:val="99"/>
    <w:semiHidden/>
    <w:unhideWhenUsed/>
  </w:style>
  <w:style w:type="numbering" w:styleId="1564" w:customStyle="1">
    <w:name w:val="Нет списка69"/>
    <w:next w:val="944"/>
    <w:uiPriority w:val="99"/>
    <w:semiHidden/>
    <w:unhideWhenUsed/>
  </w:style>
  <w:style w:type="table" w:styleId="1565" w:customStyle="1">
    <w:name w:val="Сетка таблицы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566" w:customStyle="1">
    <w:name w:val="Нет списка73"/>
    <w:next w:val="944"/>
    <w:uiPriority w:val="99"/>
    <w:semiHidden/>
    <w:unhideWhenUsed/>
  </w:style>
  <w:style w:type="numbering" w:styleId="1567" w:customStyle="1">
    <w:name w:val="Нет списка115"/>
    <w:next w:val="944"/>
    <w:uiPriority w:val="99"/>
    <w:semiHidden/>
    <w:unhideWhenUsed/>
  </w:style>
  <w:style w:type="numbering" w:styleId="1568" w:customStyle="1">
    <w:name w:val="Нет списка213"/>
    <w:next w:val="944"/>
    <w:uiPriority w:val="99"/>
    <w:semiHidden/>
    <w:unhideWhenUsed/>
  </w:style>
  <w:style w:type="numbering" w:styleId="1569" w:customStyle="1">
    <w:name w:val="Нет списка313"/>
    <w:next w:val="944"/>
    <w:uiPriority w:val="99"/>
    <w:semiHidden/>
    <w:unhideWhenUsed/>
  </w:style>
  <w:style w:type="numbering" w:styleId="1570" w:customStyle="1">
    <w:name w:val="Нет списка413"/>
    <w:next w:val="944"/>
    <w:uiPriority w:val="99"/>
    <w:semiHidden/>
    <w:unhideWhenUsed/>
  </w:style>
  <w:style w:type="numbering" w:styleId="1571" w:customStyle="1">
    <w:name w:val="Нет списка513"/>
    <w:next w:val="944"/>
    <w:uiPriority w:val="99"/>
    <w:semiHidden/>
    <w:unhideWhenUsed/>
  </w:style>
  <w:style w:type="numbering" w:styleId="1572" w:customStyle="1">
    <w:name w:val="Нет списка613"/>
    <w:next w:val="944"/>
    <w:uiPriority w:val="99"/>
    <w:semiHidden/>
    <w:unhideWhenUsed/>
  </w:style>
  <w:style w:type="table" w:styleId="1573" w:customStyle="1">
    <w:name w:val="Сетка таблицы110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574" w:customStyle="1">
    <w:name w:val="Нет списка83"/>
    <w:next w:val="944"/>
    <w:uiPriority w:val="99"/>
    <w:semiHidden/>
    <w:unhideWhenUsed/>
  </w:style>
  <w:style w:type="numbering" w:styleId="1575" w:customStyle="1">
    <w:name w:val="Нет списка123"/>
    <w:next w:val="944"/>
    <w:uiPriority w:val="99"/>
    <w:semiHidden/>
    <w:unhideWhenUsed/>
  </w:style>
  <w:style w:type="numbering" w:styleId="1576" w:customStyle="1">
    <w:name w:val="Нет списка223"/>
    <w:next w:val="944"/>
    <w:uiPriority w:val="99"/>
    <w:semiHidden/>
    <w:unhideWhenUsed/>
  </w:style>
  <w:style w:type="numbering" w:styleId="1577" w:customStyle="1">
    <w:name w:val="Нет списка323"/>
    <w:next w:val="944"/>
    <w:uiPriority w:val="99"/>
    <w:semiHidden/>
    <w:unhideWhenUsed/>
  </w:style>
  <w:style w:type="numbering" w:styleId="1578" w:customStyle="1">
    <w:name w:val="Нет списка423"/>
    <w:next w:val="944"/>
    <w:uiPriority w:val="99"/>
    <w:semiHidden/>
    <w:unhideWhenUsed/>
  </w:style>
  <w:style w:type="numbering" w:styleId="1579" w:customStyle="1">
    <w:name w:val="Нет списка523"/>
    <w:next w:val="944"/>
    <w:uiPriority w:val="99"/>
    <w:semiHidden/>
    <w:unhideWhenUsed/>
  </w:style>
  <w:style w:type="numbering" w:styleId="1580" w:customStyle="1">
    <w:name w:val="Нет списка623"/>
    <w:next w:val="944"/>
    <w:uiPriority w:val="99"/>
    <w:semiHidden/>
    <w:unhideWhenUsed/>
  </w:style>
  <w:style w:type="table" w:styleId="1581" w:customStyle="1">
    <w:name w:val="Сетка таблицы24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582" w:customStyle="1">
    <w:name w:val="Нет списка93"/>
    <w:next w:val="944"/>
    <w:uiPriority w:val="99"/>
    <w:semiHidden/>
    <w:unhideWhenUsed/>
  </w:style>
  <w:style w:type="numbering" w:styleId="1583" w:customStyle="1">
    <w:name w:val="Нет списка133"/>
    <w:next w:val="944"/>
    <w:uiPriority w:val="99"/>
    <w:semiHidden/>
    <w:unhideWhenUsed/>
  </w:style>
  <w:style w:type="numbering" w:styleId="1584" w:customStyle="1">
    <w:name w:val="Нет списка233"/>
    <w:next w:val="944"/>
    <w:uiPriority w:val="99"/>
    <w:semiHidden/>
    <w:unhideWhenUsed/>
  </w:style>
  <w:style w:type="numbering" w:styleId="1585" w:customStyle="1">
    <w:name w:val="Нет списка333"/>
    <w:next w:val="944"/>
    <w:uiPriority w:val="99"/>
    <w:semiHidden/>
    <w:unhideWhenUsed/>
  </w:style>
  <w:style w:type="numbering" w:styleId="1586" w:customStyle="1">
    <w:name w:val="Нет списка433"/>
    <w:next w:val="944"/>
    <w:uiPriority w:val="99"/>
    <w:semiHidden/>
    <w:unhideWhenUsed/>
  </w:style>
  <w:style w:type="numbering" w:styleId="1587" w:customStyle="1">
    <w:name w:val="Нет списка533"/>
    <w:next w:val="944"/>
    <w:uiPriority w:val="99"/>
    <w:semiHidden/>
    <w:unhideWhenUsed/>
  </w:style>
  <w:style w:type="numbering" w:styleId="1588" w:customStyle="1">
    <w:name w:val="Нет списка633"/>
    <w:next w:val="944"/>
    <w:uiPriority w:val="99"/>
    <w:semiHidden/>
    <w:unhideWhenUsed/>
  </w:style>
  <w:style w:type="table" w:styleId="1589" w:customStyle="1">
    <w:name w:val="Сетка таблицы115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590" w:customStyle="1">
    <w:name w:val="Нет списка103"/>
    <w:next w:val="944"/>
    <w:uiPriority w:val="99"/>
    <w:semiHidden/>
    <w:unhideWhenUsed/>
  </w:style>
  <w:style w:type="numbering" w:styleId="1591" w:customStyle="1">
    <w:name w:val="Нет списка143"/>
    <w:next w:val="944"/>
    <w:uiPriority w:val="99"/>
    <w:semiHidden/>
    <w:unhideWhenUsed/>
  </w:style>
  <w:style w:type="numbering" w:styleId="1592" w:customStyle="1">
    <w:name w:val="Нет списка243"/>
    <w:next w:val="944"/>
    <w:uiPriority w:val="99"/>
    <w:semiHidden/>
    <w:unhideWhenUsed/>
  </w:style>
  <w:style w:type="numbering" w:styleId="1593" w:customStyle="1">
    <w:name w:val="Нет списка343"/>
    <w:next w:val="944"/>
    <w:uiPriority w:val="99"/>
    <w:semiHidden/>
    <w:unhideWhenUsed/>
  </w:style>
  <w:style w:type="numbering" w:styleId="1594" w:customStyle="1">
    <w:name w:val="Нет списка443"/>
    <w:next w:val="944"/>
    <w:uiPriority w:val="99"/>
    <w:semiHidden/>
    <w:unhideWhenUsed/>
  </w:style>
  <w:style w:type="numbering" w:styleId="1595" w:customStyle="1">
    <w:name w:val="Нет списка543"/>
    <w:next w:val="944"/>
    <w:uiPriority w:val="99"/>
    <w:semiHidden/>
    <w:unhideWhenUsed/>
  </w:style>
  <w:style w:type="numbering" w:styleId="1596" w:customStyle="1">
    <w:name w:val="Нет списка643"/>
    <w:next w:val="944"/>
    <w:uiPriority w:val="99"/>
    <w:semiHidden/>
    <w:unhideWhenUsed/>
  </w:style>
  <w:style w:type="table" w:styleId="1597" w:customStyle="1">
    <w:name w:val="Сетка таблицы12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598" w:customStyle="1">
    <w:name w:val="Нет списка153"/>
    <w:next w:val="944"/>
    <w:uiPriority w:val="99"/>
    <w:semiHidden/>
    <w:unhideWhenUsed/>
  </w:style>
  <w:style w:type="numbering" w:styleId="1599" w:customStyle="1">
    <w:name w:val="Нет списка163"/>
    <w:next w:val="944"/>
    <w:uiPriority w:val="99"/>
    <w:semiHidden/>
    <w:unhideWhenUsed/>
  </w:style>
  <w:style w:type="numbering" w:styleId="1600" w:customStyle="1">
    <w:name w:val="Нет списка253"/>
    <w:next w:val="944"/>
    <w:uiPriority w:val="99"/>
    <w:semiHidden/>
    <w:unhideWhenUsed/>
  </w:style>
  <w:style w:type="numbering" w:styleId="1601" w:customStyle="1">
    <w:name w:val="Нет списка353"/>
    <w:next w:val="944"/>
    <w:uiPriority w:val="99"/>
    <w:semiHidden/>
    <w:unhideWhenUsed/>
  </w:style>
  <w:style w:type="numbering" w:styleId="1602" w:customStyle="1">
    <w:name w:val="Нет списка453"/>
    <w:next w:val="944"/>
    <w:uiPriority w:val="99"/>
    <w:semiHidden/>
    <w:unhideWhenUsed/>
  </w:style>
  <w:style w:type="numbering" w:styleId="1603" w:customStyle="1">
    <w:name w:val="Нет списка553"/>
    <w:next w:val="944"/>
    <w:uiPriority w:val="99"/>
    <w:semiHidden/>
    <w:unhideWhenUsed/>
  </w:style>
  <w:style w:type="numbering" w:styleId="1604" w:customStyle="1">
    <w:name w:val="Нет списка653"/>
    <w:next w:val="944"/>
    <w:uiPriority w:val="99"/>
    <w:semiHidden/>
    <w:unhideWhenUsed/>
  </w:style>
  <w:style w:type="table" w:styleId="1605" w:customStyle="1">
    <w:name w:val="Сетка таблицы13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606" w:customStyle="1">
    <w:name w:val="Нет списка173"/>
    <w:next w:val="944"/>
    <w:uiPriority w:val="99"/>
    <w:semiHidden/>
    <w:unhideWhenUsed/>
  </w:style>
  <w:style w:type="numbering" w:styleId="1607" w:customStyle="1">
    <w:name w:val="Нет списка183"/>
    <w:next w:val="944"/>
    <w:uiPriority w:val="99"/>
    <w:semiHidden/>
    <w:unhideWhenUsed/>
  </w:style>
  <w:style w:type="numbering" w:styleId="1608" w:customStyle="1">
    <w:name w:val="Нет списка263"/>
    <w:next w:val="944"/>
    <w:uiPriority w:val="99"/>
    <w:semiHidden/>
    <w:unhideWhenUsed/>
  </w:style>
  <w:style w:type="numbering" w:styleId="1609" w:customStyle="1">
    <w:name w:val="Нет списка363"/>
    <w:next w:val="944"/>
    <w:uiPriority w:val="99"/>
    <w:semiHidden/>
    <w:unhideWhenUsed/>
  </w:style>
  <w:style w:type="numbering" w:styleId="1610" w:customStyle="1">
    <w:name w:val="Нет списка463"/>
    <w:next w:val="944"/>
    <w:uiPriority w:val="99"/>
    <w:semiHidden/>
    <w:unhideWhenUsed/>
  </w:style>
  <w:style w:type="numbering" w:styleId="1611" w:customStyle="1">
    <w:name w:val="Нет списка563"/>
    <w:next w:val="944"/>
    <w:uiPriority w:val="99"/>
    <w:semiHidden/>
    <w:unhideWhenUsed/>
  </w:style>
  <w:style w:type="numbering" w:styleId="1612" w:customStyle="1">
    <w:name w:val="Нет списка663"/>
    <w:next w:val="944"/>
    <w:uiPriority w:val="99"/>
    <w:semiHidden/>
    <w:unhideWhenUsed/>
  </w:style>
  <w:style w:type="numbering" w:styleId="1613" w:customStyle="1">
    <w:name w:val="Нет списка191"/>
    <w:next w:val="944"/>
    <w:uiPriority w:val="99"/>
    <w:semiHidden/>
    <w:unhideWhenUsed/>
  </w:style>
  <w:style w:type="numbering" w:styleId="1614" w:customStyle="1">
    <w:name w:val="Нет списка1101"/>
    <w:next w:val="944"/>
    <w:uiPriority w:val="99"/>
    <w:semiHidden/>
    <w:unhideWhenUsed/>
  </w:style>
  <w:style w:type="numbering" w:styleId="1615" w:customStyle="1">
    <w:name w:val="Нет списка271"/>
    <w:next w:val="944"/>
    <w:uiPriority w:val="99"/>
    <w:semiHidden/>
    <w:unhideWhenUsed/>
  </w:style>
  <w:style w:type="numbering" w:styleId="1616" w:customStyle="1">
    <w:name w:val="Нет списка371"/>
    <w:next w:val="944"/>
    <w:uiPriority w:val="99"/>
    <w:semiHidden/>
    <w:unhideWhenUsed/>
  </w:style>
  <w:style w:type="numbering" w:styleId="1617" w:customStyle="1">
    <w:name w:val="Нет списка471"/>
    <w:next w:val="944"/>
    <w:uiPriority w:val="99"/>
    <w:semiHidden/>
    <w:unhideWhenUsed/>
  </w:style>
  <w:style w:type="numbering" w:styleId="1618" w:customStyle="1">
    <w:name w:val="Нет списка571"/>
    <w:next w:val="944"/>
    <w:uiPriority w:val="99"/>
    <w:semiHidden/>
    <w:unhideWhenUsed/>
  </w:style>
  <w:style w:type="numbering" w:styleId="1619" w:customStyle="1">
    <w:name w:val="Нет списка671"/>
    <w:next w:val="944"/>
    <w:uiPriority w:val="99"/>
    <w:semiHidden/>
    <w:unhideWhenUsed/>
  </w:style>
  <w:style w:type="table" w:styleId="1620" w:customStyle="1">
    <w:name w:val="Сетка таблицы3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621" w:customStyle="1">
    <w:name w:val="Сетка таблицы212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622" w:customStyle="1">
    <w:name w:val="Нет списка713"/>
    <w:next w:val="944"/>
    <w:uiPriority w:val="99"/>
    <w:semiHidden/>
    <w:unhideWhenUsed/>
  </w:style>
  <w:style w:type="numbering" w:styleId="1623" w:customStyle="1">
    <w:name w:val="Нет списка1113"/>
    <w:next w:val="944"/>
    <w:uiPriority w:val="99"/>
    <w:semiHidden/>
    <w:unhideWhenUsed/>
  </w:style>
  <w:style w:type="numbering" w:styleId="1624" w:customStyle="1">
    <w:name w:val="Нет списка2113"/>
    <w:next w:val="944"/>
    <w:uiPriority w:val="99"/>
    <w:semiHidden/>
    <w:unhideWhenUsed/>
  </w:style>
  <w:style w:type="numbering" w:styleId="1625" w:customStyle="1">
    <w:name w:val="Нет списка3113"/>
    <w:next w:val="944"/>
    <w:uiPriority w:val="99"/>
    <w:semiHidden/>
    <w:unhideWhenUsed/>
  </w:style>
  <w:style w:type="numbering" w:styleId="1626" w:customStyle="1">
    <w:name w:val="Нет списка4113"/>
    <w:next w:val="944"/>
    <w:uiPriority w:val="99"/>
    <w:semiHidden/>
    <w:unhideWhenUsed/>
  </w:style>
  <w:style w:type="numbering" w:styleId="1627" w:customStyle="1">
    <w:name w:val="Нет списка5113"/>
    <w:next w:val="944"/>
    <w:uiPriority w:val="99"/>
    <w:semiHidden/>
    <w:unhideWhenUsed/>
  </w:style>
  <w:style w:type="numbering" w:styleId="1628" w:customStyle="1">
    <w:name w:val="Нет списка6113"/>
    <w:next w:val="944"/>
    <w:uiPriority w:val="99"/>
    <w:semiHidden/>
    <w:unhideWhenUsed/>
  </w:style>
  <w:style w:type="numbering" w:styleId="1629" w:customStyle="1">
    <w:name w:val="Нет списка7111"/>
    <w:next w:val="944"/>
    <w:uiPriority w:val="99"/>
    <w:semiHidden/>
    <w:unhideWhenUsed/>
  </w:style>
  <w:style w:type="numbering" w:styleId="1630" w:customStyle="1">
    <w:name w:val="Нет списка11112"/>
    <w:next w:val="944"/>
    <w:uiPriority w:val="99"/>
    <w:semiHidden/>
    <w:unhideWhenUsed/>
  </w:style>
  <w:style w:type="numbering" w:styleId="1631" w:customStyle="1">
    <w:name w:val="Нет списка21111"/>
    <w:next w:val="944"/>
    <w:uiPriority w:val="99"/>
    <w:semiHidden/>
    <w:unhideWhenUsed/>
  </w:style>
  <w:style w:type="numbering" w:styleId="1632" w:customStyle="1">
    <w:name w:val="Нет списка31111"/>
    <w:next w:val="944"/>
    <w:uiPriority w:val="99"/>
    <w:semiHidden/>
    <w:unhideWhenUsed/>
  </w:style>
  <w:style w:type="numbering" w:styleId="1633" w:customStyle="1">
    <w:name w:val="Нет списка41111"/>
    <w:next w:val="944"/>
    <w:uiPriority w:val="99"/>
    <w:semiHidden/>
    <w:unhideWhenUsed/>
  </w:style>
  <w:style w:type="numbering" w:styleId="1634" w:customStyle="1">
    <w:name w:val="Нет списка51111"/>
    <w:next w:val="944"/>
    <w:uiPriority w:val="99"/>
    <w:semiHidden/>
    <w:unhideWhenUsed/>
  </w:style>
  <w:style w:type="numbering" w:styleId="1635" w:customStyle="1">
    <w:name w:val="Нет списка61111"/>
    <w:next w:val="944"/>
    <w:uiPriority w:val="99"/>
    <w:semiHidden/>
    <w:unhideWhenUsed/>
  </w:style>
  <w:style w:type="table" w:styleId="1636" w:customStyle="1">
    <w:name w:val="Сетка таблицы111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637" w:customStyle="1">
    <w:name w:val="Нет списка811"/>
    <w:next w:val="944"/>
    <w:uiPriority w:val="99"/>
    <w:semiHidden/>
    <w:unhideWhenUsed/>
  </w:style>
  <w:style w:type="numbering" w:styleId="1638" w:customStyle="1">
    <w:name w:val="Нет списка1212"/>
    <w:next w:val="944"/>
    <w:uiPriority w:val="99"/>
    <w:semiHidden/>
    <w:unhideWhenUsed/>
  </w:style>
  <w:style w:type="numbering" w:styleId="1639" w:customStyle="1">
    <w:name w:val="Нет списка2211"/>
    <w:next w:val="944"/>
    <w:uiPriority w:val="99"/>
    <w:semiHidden/>
    <w:unhideWhenUsed/>
  </w:style>
  <w:style w:type="numbering" w:styleId="1640" w:customStyle="1">
    <w:name w:val="Нет списка3211"/>
    <w:next w:val="944"/>
    <w:uiPriority w:val="99"/>
    <w:semiHidden/>
    <w:unhideWhenUsed/>
  </w:style>
  <w:style w:type="numbering" w:styleId="1641" w:customStyle="1">
    <w:name w:val="Нет списка4211"/>
    <w:next w:val="944"/>
    <w:uiPriority w:val="99"/>
    <w:semiHidden/>
    <w:unhideWhenUsed/>
  </w:style>
  <w:style w:type="numbering" w:styleId="1642" w:customStyle="1">
    <w:name w:val="Нет списка5211"/>
    <w:next w:val="944"/>
    <w:uiPriority w:val="99"/>
    <w:semiHidden/>
    <w:unhideWhenUsed/>
  </w:style>
  <w:style w:type="numbering" w:styleId="1643" w:customStyle="1">
    <w:name w:val="Нет списка6211"/>
    <w:next w:val="944"/>
    <w:uiPriority w:val="99"/>
    <w:semiHidden/>
    <w:unhideWhenUsed/>
  </w:style>
  <w:style w:type="table" w:styleId="1644" w:customStyle="1">
    <w:name w:val="Сетка таблицы222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645" w:customStyle="1">
    <w:name w:val="Нет списка911"/>
    <w:next w:val="944"/>
    <w:uiPriority w:val="99"/>
    <w:semiHidden/>
    <w:unhideWhenUsed/>
  </w:style>
  <w:style w:type="numbering" w:styleId="1646" w:customStyle="1">
    <w:name w:val="Нет списка1311"/>
    <w:next w:val="944"/>
    <w:uiPriority w:val="99"/>
    <w:semiHidden/>
    <w:unhideWhenUsed/>
  </w:style>
  <w:style w:type="numbering" w:styleId="1647" w:customStyle="1">
    <w:name w:val="Нет списка2311"/>
    <w:next w:val="944"/>
    <w:uiPriority w:val="99"/>
    <w:semiHidden/>
    <w:unhideWhenUsed/>
  </w:style>
  <w:style w:type="numbering" w:styleId="1648" w:customStyle="1">
    <w:name w:val="Нет списка3311"/>
    <w:next w:val="944"/>
    <w:uiPriority w:val="99"/>
    <w:semiHidden/>
    <w:unhideWhenUsed/>
  </w:style>
  <w:style w:type="numbering" w:styleId="1649" w:customStyle="1">
    <w:name w:val="Нет списка4311"/>
    <w:next w:val="944"/>
    <w:uiPriority w:val="99"/>
    <w:semiHidden/>
    <w:unhideWhenUsed/>
  </w:style>
  <w:style w:type="numbering" w:styleId="1650" w:customStyle="1">
    <w:name w:val="Нет списка5311"/>
    <w:next w:val="944"/>
    <w:uiPriority w:val="99"/>
    <w:semiHidden/>
    <w:unhideWhenUsed/>
  </w:style>
  <w:style w:type="numbering" w:styleId="1651" w:customStyle="1">
    <w:name w:val="Нет списка6311"/>
    <w:next w:val="944"/>
    <w:uiPriority w:val="99"/>
    <w:semiHidden/>
    <w:unhideWhenUsed/>
  </w:style>
  <w:style w:type="table" w:styleId="1652" w:customStyle="1">
    <w:name w:val="Сетка таблицы1111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653" w:customStyle="1">
    <w:name w:val="Нет списка1011"/>
    <w:next w:val="944"/>
    <w:uiPriority w:val="99"/>
    <w:semiHidden/>
    <w:unhideWhenUsed/>
  </w:style>
  <w:style w:type="numbering" w:styleId="1654" w:customStyle="1">
    <w:name w:val="Нет списка1411"/>
    <w:next w:val="944"/>
    <w:uiPriority w:val="99"/>
    <w:semiHidden/>
    <w:unhideWhenUsed/>
  </w:style>
  <w:style w:type="numbering" w:styleId="1655" w:customStyle="1">
    <w:name w:val="Нет списка2411"/>
    <w:next w:val="944"/>
    <w:uiPriority w:val="99"/>
    <w:semiHidden/>
    <w:unhideWhenUsed/>
  </w:style>
  <w:style w:type="numbering" w:styleId="1656" w:customStyle="1">
    <w:name w:val="Нет списка3411"/>
    <w:next w:val="944"/>
    <w:uiPriority w:val="99"/>
    <w:semiHidden/>
    <w:unhideWhenUsed/>
  </w:style>
  <w:style w:type="numbering" w:styleId="1657" w:customStyle="1">
    <w:name w:val="Нет списка4411"/>
    <w:next w:val="944"/>
    <w:uiPriority w:val="99"/>
    <w:semiHidden/>
    <w:unhideWhenUsed/>
  </w:style>
  <w:style w:type="numbering" w:styleId="1658" w:customStyle="1">
    <w:name w:val="Нет списка5411"/>
    <w:next w:val="944"/>
    <w:uiPriority w:val="99"/>
    <w:semiHidden/>
    <w:unhideWhenUsed/>
  </w:style>
  <w:style w:type="numbering" w:styleId="1659" w:customStyle="1">
    <w:name w:val="Нет списка6411"/>
    <w:next w:val="944"/>
    <w:uiPriority w:val="99"/>
    <w:semiHidden/>
    <w:unhideWhenUsed/>
  </w:style>
  <w:style w:type="numbering" w:styleId="1660" w:customStyle="1">
    <w:name w:val="Нет списка1511"/>
    <w:next w:val="944"/>
    <w:uiPriority w:val="99"/>
    <w:semiHidden/>
    <w:unhideWhenUsed/>
  </w:style>
  <w:style w:type="numbering" w:styleId="1661" w:customStyle="1">
    <w:name w:val="Нет списка1611"/>
    <w:next w:val="944"/>
    <w:uiPriority w:val="99"/>
    <w:semiHidden/>
    <w:unhideWhenUsed/>
  </w:style>
  <w:style w:type="numbering" w:styleId="1662" w:customStyle="1">
    <w:name w:val="Нет списка2511"/>
    <w:next w:val="944"/>
    <w:uiPriority w:val="99"/>
    <w:semiHidden/>
    <w:unhideWhenUsed/>
  </w:style>
  <w:style w:type="numbering" w:styleId="1663" w:customStyle="1">
    <w:name w:val="Нет списка3511"/>
    <w:next w:val="944"/>
    <w:uiPriority w:val="99"/>
    <w:semiHidden/>
    <w:unhideWhenUsed/>
  </w:style>
  <w:style w:type="numbering" w:styleId="1664" w:customStyle="1">
    <w:name w:val="Нет списка4511"/>
    <w:next w:val="944"/>
    <w:uiPriority w:val="99"/>
    <w:semiHidden/>
    <w:unhideWhenUsed/>
  </w:style>
  <w:style w:type="numbering" w:styleId="1665" w:customStyle="1">
    <w:name w:val="Нет списка5511"/>
    <w:next w:val="944"/>
    <w:uiPriority w:val="99"/>
    <w:semiHidden/>
    <w:unhideWhenUsed/>
  </w:style>
  <w:style w:type="numbering" w:styleId="1666" w:customStyle="1">
    <w:name w:val="Нет списка6511"/>
    <w:next w:val="944"/>
    <w:uiPriority w:val="99"/>
    <w:semiHidden/>
    <w:unhideWhenUsed/>
  </w:style>
  <w:style w:type="numbering" w:styleId="1667" w:customStyle="1">
    <w:name w:val="Нет списка1711"/>
    <w:next w:val="944"/>
    <w:uiPriority w:val="99"/>
    <w:semiHidden/>
    <w:unhideWhenUsed/>
  </w:style>
  <w:style w:type="numbering" w:styleId="1668" w:customStyle="1">
    <w:name w:val="Нет списка1811"/>
    <w:next w:val="944"/>
    <w:uiPriority w:val="99"/>
    <w:semiHidden/>
    <w:unhideWhenUsed/>
  </w:style>
  <w:style w:type="numbering" w:styleId="1669" w:customStyle="1">
    <w:name w:val="Нет списка2611"/>
    <w:next w:val="944"/>
    <w:uiPriority w:val="99"/>
    <w:semiHidden/>
    <w:unhideWhenUsed/>
  </w:style>
  <w:style w:type="numbering" w:styleId="1670" w:customStyle="1">
    <w:name w:val="Нет списка3611"/>
    <w:next w:val="944"/>
    <w:uiPriority w:val="99"/>
    <w:semiHidden/>
    <w:unhideWhenUsed/>
  </w:style>
  <w:style w:type="numbering" w:styleId="1671" w:customStyle="1">
    <w:name w:val="Нет списка4611"/>
    <w:next w:val="944"/>
    <w:uiPriority w:val="99"/>
    <w:semiHidden/>
    <w:unhideWhenUsed/>
  </w:style>
  <w:style w:type="numbering" w:styleId="1672" w:customStyle="1">
    <w:name w:val="Нет списка5611"/>
    <w:next w:val="944"/>
    <w:uiPriority w:val="99"/>
    <w:semiHidden/>
    <w:unhideWhenUsed/>
  </w:style>
  <w:style w:type="numbering" w:styleId="1673" w:customStyle="1">
    <w:name w:val="Нет списка6611"/>
    <w:next w:val="944"/>
    <w:uiPriority w:val="99"/>
    <w:semiHidden/>
    <w:unhideWhenUsed/>
  </w:style>
  <w:style w:type="numbering" w:styleId="1674" w:customStyle="1">
    <w:name w:val="Нет списка201"/>
    <w:next w:val="944"/>
    <w:uiPriority w:val="99"/>
    <w:semiHidden/>
    <w:unhideWhenUsed/>
  </w:style>
  <w:style w:type="numbering" w:styleId="1675" w:customStyle="1">
    <w:name w:val="Нет списка1121"/>
    <w:next w:val="944"/>
    <w:uiPriority w:val="99"/>
    <w:semiHidden/>
    <w:unhideWhenUsed/>
  </w:style>
  <w:style w:type="numbering" w:styleId="1676" w:customStyle="1">
    <w:name w:val="Нет списка281"/>
    <w:next w:val="944"/>
    <w:uiPriority w:val="99"/>
    <w:semiHidden/>
    <w:unhideWhenUsed/>
  </w:style>
  <w:style w:type="numbering" w:styleId="1677" w:customStyle="1">
    <w:name w:val="Нет списка381"/>
    <w:next w:val="944"/>
    <w:uiPriority w:val="99"/>
    <w:semiHidden/>
    <w:unhideWhenUsed/>
  </w:style>
  <w:style w:type="numbering" w:styleId="1678" w:customStyle="1">
    <w:name w:val="Нет списка481"/>
    <w:next w:val="944"/>
    <w:uiPriority w:val="99"/>
    <w:semiHidden/>
    <w:unhideWhenUsed/>
  </w:style>
  <w:style w:type="numbering" w:styleId="1679" w:customStyle="1">
    <w:name w:val="Нет списка581"/>
    <w:next w:val="944"/>
    <w:uiPriority w:val="99"/>
    <w:semiHidden/>
    <w:unhideWhenUsed/>
  </w:style>
  <w:style w:type="numbering" w:styleId="1680" w:customStyle="1">
    <w:name w:val="Нет списка681"/>
    <w:next w:val="944"/>
    <w:uiPriority w:val="99"/>
    <w:semiHidden/>
    <w:unhideWhenUsed/>
  </w:style>
  <w:style w:type="table" w:styleId="1681" w:customStyle="1">
    <w:name w:val="Сетка таблицы4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682" w:customStyle="1">
    <w:name w:val="Сетка таблицы231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683" w:customStyle="1">
    <w:name w:val="Сетка таблицы2111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684" w:customStyle="1">
    <w:name w:val="Нет списка721"/>
    <w:next w:val="944"/>
    <w:uiPriority w:val="99"/>
    <w:semiHidden/>
    <w:unhideWhenUsed/>
  </w:style>
  <w:style w:type="numbering" w:styleId="1685" w:customStyle="1">
    <w:name w:val="Нет списка1131"/>
    <w:next w:val="944"/>
    <w:uiPriority w:val="99"/>
    <w:semiHidden/>
    <w:unhideWhenUsed/>
  </w:style>
  <w:style w:type="numbering" w:styleId="1686" w:customStyle="1">
    <w:name w:val="Нет списка2121"/>
    <w:next w:val="944"/>
    <w:uiPriority w:val="99"/>
    <w:semiHidden/>
    <w:unhideWhenUsed/>
  </w:style>
  <w:style w:type="numbering" w:styleId="1687" w:customStyle="1">
    <w:name w:val="Нет списка3121"/>
    <w:next w:val="944"/>
    <w:uiPriority w:val="99"/>
    <w:semiHidden/>
    <w:unhideWhenUsed/>
  </w:style>
  <w:style w:type="numbering" w:styleId="1688" w:customStyle="1">
    <w:name w:val="Нет списка4121"/>
    <w:next w:val="944"/>
    <w:uiPriority w:val="99"/>
    <w:semiHidden/>
    <w:unhideWhenUsed/>
  </w:style>
  <w:style w:type="numbering" w:styleId="1689" w:customStyle="1">
    <w:name w:val="Нет списка5121"/>
    <w:next w:val="944"/>
    <w:uiPriority w:val="99"/>
    <w:semiHidden/>
    <w:unhideWhenUsed/>
  </w:style>
  <w:style w:type="numbering" w:styleId="1690" w:customStyle="1">
    <w:name w:val="Нет списка6121"/>
    <w:next w:val="944"/>
    <w:uiPriority w:val="99"/>
    <w:semiHidden/>
    <w:unhideWhenUsed/>
  </w:style>
  <w:style w:type="table" w:styleId="1691" w:customStyle="1">
    <w:name w:val="Сетка таблицы31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692" w:customStyle="1">
    <w:name w:val="Нет списка7121"/>
    <w:next w:val="944"/>
    <w:uiPriority w:val="99"/>
    <w:semiHidden/>
    <w:unhideWhenUsed/>
  </w:style>
  <w:style w:type="numbering" w:styleId="1693" w:customStyle="1">
    <w:name w:val="Нет списка11121"/>
    <w:next w:val="944"/>
    <w:uiPriority w:val="99"/>
    <w:semiHidden/>
    <w:unhideWhenUsed/>
  </w:style>
  <w:style w:type="numbering" w:styleId="1694" w:customStyle="1">
    <w:name w:val="Нет списка21121"/>
    <w:next w:val="944"/>
    <w:uiPriority w:val="99"/>
    <w:semiHidden/>
    <w:unhideWhenUsed/>
  </w:style>
  <w:style w:type="numbering" w:styleId="1695" w:customStyle="1">
    <w:name w:val="Нет списка31121"/>
    <w:next w:val="944"/>
    <w:uiPriority w:val="99"/>
    <w:semiHidden/>
    <w:unhideWhenUsed/>
  </w:style>
  <w:style w:type="numbering" w:styleId="1696" w:customStyle="1">
    <w:name w:val="Нет списка41121"/>
    <w:next w:val="944"/>
    <w:uiPriority w:val="99"/>
    <w:semiHidden/>
    <w:unhideWhenUsed/>
  </w:style>
  <w:style w:type="numbering" w:styleId="1697" w:customStyle="1">
    <w:name w:val="Нет списка51121"/>
    <w:next w:val="944"/>
    <w:uiPriority w:val="99"/>
    <w:semiHidden/>
    <w:unhideWhenUsed/>
  </w:style>
  <w:style w:type="numbering" w:styleId="1698" w:customStyle="1">
    <w:name w:val="Нет списка61121"/>
    <w:next w:val="944"/>
    <w:uiPriority w:val="99"/>
    <w:semiHidden/>
    <w:unhideWhenUsed/>
  </w:style>
  <w:style w:type="table" w:styleId="1699" w:customStyle="1">
    <w:name w:val="Сетка таблицы112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700" w:customStyle="1">
    <w:name w:val="Нет списка821"/>
    <w:next w:val="944"/>
    <w:uiPriority w:val="99"/>
    <w:semiHidden/>
    <w:unhideWhenUsed/>
  </w:style>
  <w:style w:type="numbering" w:styleId="1701" w:customStyle="1">
    <w:name w:val="Нет списка1221"/>
    <w:next w:val="944"/>
    <w:uiPriority w:val="99"/>
    <w:semiHidden/>
    <w:unhideWhenUsed/>
  </w:style>
  <w:style w:type="numbering" w:styleId="1702" w:customStyle="1">
    <w:name w:val="Нет списка2221"/>
    <w:next w:val="944"/>
    <w:uiPriority w:val="99"/>
    <w:semiHidden/>
    <w:unhideWhenUsed/>
  </w:style>
  <w:style w:type="numbering" w:styleId="1703" w:customStyle="1">
    <w:name w:val="Нет списка3221"/>
    <w:next w:val="944"/>
    <w:uiPriority w:val="99"/>
    <w:semiHidden/>
    <w:unhideWhenUsed/>
  </w:style>
  <w:style w:type="numbering" w:styleId="1704" w:customStyle="1">
    <w:name w:val="Нет списка4221"/>
    <w:next w:val="944"/>
    <w:uiPriority w:val="99"/>
    <w:semiHidden/>
    <w:unhideWhenUsed/>
  </w:style>
  <w:style w:type="numbering" w:styleId="1705" w:customStyle="1">
    <w:name w:val="Нет списка5221"/>
    <w:next w:val="944"/>
    <w:uiPriority w:val="99"/>
    <w:semiHidden/>
    <w:unhideWhenUsed/>
  </w:style>
  <w:style w:type="numbering" w:styleId="1706" w:customStyle="1">
    <w:name w:val="Нет списка6221"/>
    <w:next w:val="944"/>
    <w:uiPriority w:val="99"/>
    <w:semiHidden/>
    <w:unhideWhenUsed/>
  </w:style>
  <w:style w:type="table" w:styleId="1707" w:customStyle="1">
    <w:name w:val="Сетка таблицы2211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708" w:customStyle="1">
    <w:name w:val="Нет списка921"/>
    <w:next w:val="944"/>
    <w:uiPriority w:val="99"/>
    <w:semiHidden/>
    <w:unhideWhenUsed/>
  </w:style>
  <w:style w:type="numbering" w:styleId="1709" w:customStyle="1">
    <w:name w:val="Нет списка1321"/>
    <w:next w:val="944"/>
    <w:uiPriority w:val="99"/>
    <w:semiHidden/>
    <w:unhideWhenUsed/>
  </w:style>
  <w:style w:type="numbering" w:styleId="1710" w:customStyle="1">
    <w:name w:val="Нет списка2321"/>
    <w:next w:val="944"/>
    <w:uiPriority w:val="99"/>
    <w:semiHidden/>
    <w:unhideWhenUsed/>
  </w:style>
  <w:style w:type="numbering" w:styleId="1711" w:customStyle="1">
    <w:name w:val="Нет списка3321"/>
    <w:next w:val="944"/>
    <w:uiPriority w:val="99"/>
    <w:semiHidden/>
    <w:unhideWhenUsed/>
  </w:style>
  <w:style w:type="numbering" w:styleId="1712" w:customStyle="1">
    <w:name w:val="Нет списка4321"/>
    <w:next w:val="944"/>
    <w:uiPriority w:val="99"/>
    <w:semiHidden/>
    <w:unhideWhenUsed/>
  </w:style>
  <w:style w:type="numbering" w:styleId="1713" w:customStyle="1">
    <w:name w:val="Нет списка5321"/>
    <w:next w:val="944"/>
    <w:uiPriority w:val="99"/>
    <w:semiHidden/>
    <w:unhideWhenUsed/>
  </w:style>
  <w:style w:type="numbering" w:styleId="1714" w:customStyle="1">
    <w:name w:val="Нет списка6321"/>
    <w:next w:val="944"/>
    <w:uiPriority w:val="99"/>
    <w:semiHidden/>
    <w:unhideWhenUsed/>
  </w:style>
  <w:style w:type="numbering" w:styleId="1715" w:customStyle="1">
    <w:name w:val="Нет списка1021"/>
    <w:next w:val="944"/>
    <w:uiPriority w:val="99"/>
    <w:semiHidden/>
    <w:unhideWhenUsed/>
  </w:style>
  <w:style w:type="numbering" w:styleId="1716" w:customStyle="1">
    <w:name w:val="Нет списка1421"/>
    <w:next w:val="944"/>
    <w:uiPriority w:val="99"/>
    <w:semiHidden/>
    <w:unhideWhenUsed/>
  </w:style>
  <w:style w:type="numbering" w:styleId="1717" w:customStyle="1">
    <w:name w:val="Нет списка2421"/>
    <w:next w:val="944"/>
    <w:uiPriority w:val="99"/>
    <w:semiHidden/>
    <w:unhideWhenUsed/>
  </w:style>
  <w:style w:type="numbering" w:styleId="1718" w:customStyle="1">
    <w:name w:val="Нет списка3421"/>
    <w:next w:val="944"/>
    <w:uiPriority w:val="99"/>
    <w:semiHidden/>
    <w:unhideWhenUsed/>
  </w:style>
  <w:style w:type="numbering" w:styleId="1719" w:customStyle="1">
    <w:name w:val="Нет списка4421"/>
    <w:next w:val="944"/>
    <w:uiPriority w:val="99"/>
    <w:semiHidden/>
    <w:unhideWhenUsed/>
  </w:style>
  <w:style w:type="numbering" w:styleId="1720" w:customStyle="1">
    <w:name w:val="Нет списка5421"/>
    <w:next w:val="944"/>
    <w:uiPriority w:val="99"/>
    <w:semiHidden/>
    <w:unhideWhenUsed/>
  </w:style>
  <w:style w:type="numbering" w:styleId="1721" w:customStyle="1">
    <w:name w:val="Нет списка6421"/>
    <w:next w:val="944"/>
    <w:uiPriority w:val="99"/>
    <w:semiHidden/>
    <w:unhideWhenUsed/>
  </w:style>
  <w:style w:type="numbering" w:styleId="1722" w:customStyle="1">
    <w:name w:val="Нет списка1521"/>
    <w:next w:val="944"/>
    <w:uiPriority w:val="99"/>
    <w:semiHidden/>
    <w:unhideWhenUsed/>
  </w:style>
  <w:style w:type="numbering" w:styleId="1723" w:customStyle="1">
    <w:name w:val="Нет списка1621"/>
    <w:next w:val="944"/>
    <w:uiPriority w:val="99"/>
    <w:semiHidden/>
    <w:unhideWhenUsed/>
  </w:style>
  <w:style w:type="numbering" w:styleId="1724" w:customStyle="1">
    <w:name w:val="Нет списка2521"/>
    <w:next w:val="944"/>
    <w:uiPriority w:val="99"/>
    <w:semiHidden/>
    <w:unhideWhenUsed/>
  </w:style>
  <w:style w:type="numbering" w:styleId="1725" w:customStyle="1">
    <w:name w:val="Нет списка3521"/>
    <w:next w:val="944"/>
    <w:uiPriority w:val="99"/>
    <w:semiHidden/>
    <w:unhideWhenUsed/>
  </w:style>
  <w:style w:type="numbering" w:styleId="1726" w:customStyle="1">
    <w:name w:val="Нет списка4521"/>
    <w:next w:val="944"/>
    <w:uiPriority w:val="99"/>
    <w:semiHidden/>
    <w:unhideWhenUsed/>
  </w:style>
  <w:style w:type="numbering" w:styleId="1727" w:customStyle="1">
    <w:name w:val="Нет списка5521"/>
    <w:next w:val="944"/>
    <w:uiPriority w:val="99"/>
    <w:semiHidden/>
    <w:unhideWhenUsed/>
  </w:style>
  <w:style w:type="numbering" w:styleId="1728" w:customStyle="1">
    <w:name w:val="Нет списка6521"/>
    <w:next w:val="944"/>
    <w:uiPriority w:val="99"/>
    <w:semiHidden/>
    <w:unhideWhenUsed/>
  </w:style>
  <w:style w:type="numbering" w:styleId="1729" w:customStyle="1">
    <w:name w:val="Нет списка1721"/>
    <w:next w:val="944"/>
    <w:uiPriority w:val="99"/>
    <w:semiHidden/>
    <w:unhideWhenUsed/>
  </w:style>
  <w:style w:type="numbering" w:styleId="1730" w:customStyle="1">
    <w:name w:val="Нет списка1821"/>
    <w:next w:val="944"/>
    <w:uiPriority w:val="99"/>
    <w:semiHidden/>
    <w:unhideWhenUsed/>
  </w:style>
  <w:style w:type="numbering" w:styleId="1731" w:customStyle="1">
    <w:name w:val="Нет списка2621"/>
    <w:next w:val="944"/>
    <w:uiPriority w:val="99"/>
    <w:semiHidden/>
    <w:unhideWhenUsed/>
  </w:style>
  <w:style w:type="numbering" w:styleId="1732" w:customStyle="1">
    <w:name w:val="Нет списка3621"/>
    <w:next w:val="944"/>
    <w:uiPriority w:val="99"/>
    <w:semiHidden/>
    <w:unhideWhenUsed/>
  </w:style>
  <w:style w:type="numbering" w:styleId="1733" w:customStyle="1">
    <w:name w:val="Нет списка4621"/>
    <w:next w:val="944"/>
    <w:uiPriority w:val="99"/>
    <w:semiHidden/>
    <w:unhideWhenUsed/>
  </w:style>
  <w:style w:type="numbering" w:styleId="1734" w:customStyle="1">
    <w:name w:val="Нет списка5621"/>
    <w:next w:val="944"/>
    <w:uiPriority w:val="99"/>
    <w:semiHidden/>
    <w:unhideWhenUsed/>
  </w:style>
  <w:style w:type="numbering" w:styleId="1735" w:customStyle="1">
    <w:name w:val="Нет списка6621"/>
    <w:next w:val="944"/>
    <w:uiPriority w:val="99"/>
    <w:semiHidden/>
    <w:unhideWhenUsed/>
  </w:style>
  <w:style w:type="numbering" w:styleId="1736" w:customStyle="1">
    <w:name w:val="Нет списка291"/>
    <w:next w:val="944"/>
    <w:uiPriority w:val="99"/>
    <w:semiHidden/>
    <w:unhideWhenUsed/>
  </w:style>
  <w:style w:type="numbering" w:styleId="1737" w:customStyle="1">
    <w:name w:val="Нет списка40"/>
    <w:next w:val="944"/>
    <w:uiPriority w:val="99"/>
    <w:semiHidden/>
    <w:unhideWhenUsed/>
  </w:style>
  <w:style w:type="numbering" w:styleId="1738" w:customStyle="1">
    <w:name w:val="Нет списка116"/>
    <w:next w:val="944"/>
    <w:uiPriority w:val="99"/>
    <w:semiHidden/>
    <w:unhideWhenUsed/>
  </w:style>
  <w:style w:type="numbering" w:styleId="1739" w:customStyle="1">
    <w:name w:val="Нет списка214"/>
    <w:next w:val="944"/>
    <w:uiPriority w:val="99"/>
    <w:semiHidden/>
    <w:unhideWhenUsed/>
  </w:style>
  <w:style w:type="numbering" w:styleId="1740" w:customStyle="1">
    <w:name w:val="Нет списка310"/>
    <w:next w:val="944"/>
    <w:uiPriority w:val="99"/>
    <w:semiHidden/>
    <w:unhideWhenUsed/>
  </w:style>
  <w:style w:type="numbering" w:styleId="1741" w:customStyle="1">
    <w:name w:val="Нет списка410"/>
    <w:next w:val="944"/>
    <w:uiPriority w:val="99"/>
    <w:semiHidden/>
    <w:unhideWhenUsed/>
  </w:style>
  <w:style w:type="numbering" w:styleId="1742" w:customStyle="1">
    <w:name w:val="Нет списка510"/>
    <w:next w:val="944"/>
    <w:uiPriority w:val="99"/>
    <w:semiHidden/>
    <w:unhideWhenUsed/>
  </w:style>
  <w:style w:type="numbering" w:styleId="1743" w:customStyle="1">
    <w:name w:val="Нет списка610"/>
    <w:next w:val="944"/>
    <w:uiPriority w:val="99"/>
    <w:semiHidden/>
    <w:unhideWhenUsed/>
  </w:style>
  <w:style w:type="table" w:styleId="1744" w:customStyle="1">
    <w:name w:val="Сетка таблицы8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745" w:customStyle="1">
    <w:name w:val="Нет списка74"/>
    <w:next w:val="944"/>
    <w:uiPriority w:val="99"/>
    <w:semiHidden/>
    <w:unhideWhenUsed/>
  </w:style>
  <w:style w:type="numbering" w:styleId="1746" w:customStyle="1">
    <w:name w:val="Нет списка117"/>
    <w:next w:val="944"/>
    <w:uiPriority w:val="99"/>
    <w:semiHidden/>
    <w:unhideWhenUsed/>
  </w:style>
  <w:style w:type="numbering" w:styleId="1747" w:customStyle="1">
    <w:name w:val="Нет списка215"/>
    <w:next w:val="944"/>
    <w:uiPriority w:val="99"/>
    <w:semiHidden/>
    <w:unhideWhenUsed/>
  </w:style>
  <w:style w:type="numbering" w:styleId="1748" w:customStyle="1">
    <w:name w:val="Нет списка314"/>
    <w:next w:val="944"/>
    <w:uiPriority w:val="99"/>
    <w:semiHidden/>
    <w:unhideWhenUsed/>
  </w:style>
  <w:style w:type="numbering" w:styleId="1749" w:customStyle="1">
    <w:name w:val="Нет списка414"/>
    <w:next w:val="944"/>
    <w:uiPriority w:val="99"/>
    <w:semiHidden/>
    <w:unhideWhenUsed/>
  </w:style>
  <w:style w:type="numbering" w:styleId="1750" w:customStyle="1">
    <w:name w:val="Нет списка514"/>
    <w:next w:val="944"/>
    <w:uiPriority w:val="99"/>
    <w:semiHidden/>
    <w:unhideWhenUsed/>
  </w:style>
  <w:style w:type="numbering" w:styleId="1751" w:customStyle="1">
    <w:name w:val="Нет списка614"/>
    <w:next w:val="944"/>
    <w:uiPriority w:val="99"/>
    <w:semiHidden/>
    <w:unhideWhenUsed/>
  </w:style>
  <w:style w:type="table" w:styleId="1752" w:customStyle="1">
    <w:name w:val="Сетка таблицы11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753" w:customStyle="1">
    <w:name w:val="Нет списка84"/>
    <w:next w:val="944"/>
    <w:uiPriority w:val="99"/>
    <w:semiHidden/>
    <w:unhideWhenUsed/>
  </w:style>
  <w:style w:type="numbering" w:styleId="1754" w:customStyle="1">
    <w:name w:val="Нет списка124"/>
    <w:next w:val="944"/>
    <w:uiPriority w:val="99"/>
    <w:semiHidden/>
    <w:unhideWhenUsed/>
  </w:style>
  <w:style w:type="numbering" w:styleId="1755" w:customStyle="1">
    <w:name w:val="Нет списка224"/>
    <w:next w:val="944"/>
    <w:uiPriority w:val="99"/>
    <w:semiHidden/>
    <w:unhideWhenUsed/>
  </w:style>
  <w:style w:type="numbering" w:styleId="1756" w:customStyle="1">
    <w:name w:val="Нет списка324"/>
    <w:next w:val="944"/>
    <w:uiPriority w:val="99"/>
    <w:semiHidden/>
    <w:unhideWhenUsed/>
  </w:style>
  <w:style w:type="numbering" w:styleId="1757" w:customStyle="1">
    <w:name w:val="Нет списка424"/>
    <w:next w:val="944"/>
    <w:uiPriority w:val="99"/>
    <w:semiHidden/>
    <w:unhideWhenUsed/>
  </w:style>
  <w:style w:type="numbering" w:styleId="1758" w:customStyle="1">
    <w:name w:val="Нет списка524"/>
    <w:next w:val="944"/>
    <w:uiPriority w:val="99"/>
    <w:semiHidden/>
    <w:unhideWhenUsed/>
  </w:style>
  <w:style w:type="numbering" w:styleId="1759" w:customStyle="1">
    <w:name w:val="Нет списка624"/>
    <w:next w:val="944"/>
    <w:uiPriority w:val="99"/>
    <w:semiHidden/>
    <w:unhideWhenUsed/>
  </w:style>
  <w:style w:type="table" w:styleId="1760" w:customStyle="1">
    <w:name w:val="Сетка таблицы25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761" w:customStyle="1">
    <w:name w:val="Нет списка94"/>
    <w:next w:val="944"/>
    <w:uiPriority w:val="99"/>
    <w:semiHidden/>
    <w:unhideWhenUsed/>
  </w:style>
  <w:style w:type="numbering" w:styleId="1762" w:customStyle="1">
    <w:name w:val="Нет списка134"/>
    <w:next w:val="944"/>
    <w:uiPriority w:val="99"/>
    <w:semiHidden/>
    <w:unhideWhenUsed/>
  </w:style>
  <w:style w:type="numbering" w:styleId="1763" w:customStyle="1">
    <w:name w:val="Нет списка234"/>
    <w:next w:val="944"/>
    <w:uiPriority w:val="99"/>
    <w:semiHidden/>
    <w:unhideWhenUsed/>
  </w:style>
  <w:style w:type="numbering" w:styleId="1764" w:customStyle="1">
    <w:name w:val="Нет списка334"/>
    <w:next w:val="944"/>
    <w:uiPriority w:val="99"/>
    <w:semiHidden/>
    <w:unhideWhenUsed/>
  </w:style>
  <w:style w:type="numbering" w:styleId="1765" w:customStyle="1">
    <w:name w:val="Нет списка434"/>
    <w:next w:val="944"/>
    <w:uiPriority w:val="99"/>
    <w:semiHidden/>
    <w:unhideWhenUsed/>
  </w:style>
  <w:style w:type="numbering" w:styleId="1766" w:customStyle="1">
    <w:name w:val="Нет списка534"/>
    <w:next w:val="944"/>
    <w:uiPriority w:val="99"/>
    <w:semiHidden/>
    <w:unhideWhenUsed/>
  </w:style>
  <w:style w:type="numbering" w:styleId="1767" w:customStyle="1">
    <w:name w:val="Нет списка634"/>
    <w:next w:val="944"/>
    <w:uiPriority w:val="99"/>
    <w:semiHidden/>
    <w:unhideWhenUsed/>
  </w:style>
  <w:style w:type="table" w:styleId="1768" w:customStyle="1">
    <w:name w:val="Сетка таблицы117"/>
    <w:basedOn w:val="943"/>
    <w:next w:val="961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769" w:customStyle="1">
    <w:name w:val="Нет списка104"/>
    <w:next w:val="944"/>
    <w:uiPriority w:val="99"/>
    <w:semiHidden/>
    <w:unhideWhenUsed/>
  </w:style>
  <w:style w:type="numbering" w:styleId="1770" w:customStyle="1">
    <w:name w:val="Нет списка144"/>
    <w:next w:val="944"/>
    <w:uiPriority w:val="99"/>
    <w:semiHidden/>
    <w:unhideWhenUsed/>
  </w:style>
  <w:style w:type="numbering" w:styleId="1771" w:customStyle="1">
    <w:name w:val="Нет списка244"/>
    <w:next w:val="944"/>
    <w:uiPriority w:val="99"/>
    <w:semiHidden/>
    <w:unhideWhenUsed/>
  </w:style>
  <w:style w:type="numbering" w:styleId="1772" w:customStyle="1">
    <w:name w:val="Нет списка344"/>
    <w:next w:val="944"/>
    <w:uiPriority w:val="99"/>
    <w:semiHidden/>
    <w:unhideWhenUsed/>
  </w:style>
  <w:style w:type="numbering" w:styleId="1773" w:customStyle="1">
    <w:name w:val="Нет списка444"/>
    <w:next w:val="944"/>
    <w:uiPriority w:val="99"/>
    <w:semiHidden/>
    <w:unhideWhenUsed/>
  </w:style>
  <w:style w:type="numbering" w:styleId="1774" w:customStyle="1">
    <w:name w:val="Нет списка544"/>
    <w:next w:val="944"/>
    <w:uiPriority w:val="99"/>
    <w:semiHidden/>
    <w:unhideWhenUsed/>
  </w:style>
  <w:style w:type="numbering" w:styleId="1775" w:customStyle="1">
    <w:name w:val="Нет списка644"/>
    <w:next w:val="944"/>
    <w:uiPriority w:val="99"/>
    <w:semiHidden/>
    <w:unhideWhenUsed/>
  </w:style>
  <w:style w:type="table" w:styleId="1776" w:customStyle="1">
    <w:name w:val="Сетка таблицы124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777" w:customStyle="1">
    <w:name w:val="Нет списка154"/>
    <w:next w:val="944"/>
    <w:uiPriority w:val="99"/>
    <w:semiHidden/>
    <w:unhideWhenUsed/>
  </w:style>
  <w:style w:type="numbering" w:styleId="1778" w:customStyle="1">
    <w:name w:val="Нет списка164"/>
    <w:next w:val="944"/>
    <w:uiPriority w:val="99"/>
    <w:semiHidden/>
    <w:unhideWhenUsed/>
  </w:style>
  <w:style w:type="numbering" w:styleId="1779" w:customStyle="1">
    <w:name w:val="Нет списка254"/>
    <w:next w:val="944"/>
    <w:uiPriority w:val="99"/>
    <w:semiHidden/>
    <w:unhideWhenUsed/>
  </w:style>
  <w:style w:type="numbering" w:styleId="1780" w:customStyle="1">
    <w:name w:val="Нет списка354"/>
    <w:next w:val="944"/>
    <w:uiPriority w:val="99"/>
    <w:semiHidden/>
    <w:unhideWhenUsed/>
  </w:style>
  <w:style w:type="numbering" w:styleId="1781" w:customStyle="1">
    <w:name w:val="Нет списка454"/>
    <w:next w:val="944"/>
    <w:uiPriority w:val="99"/>
    <w:semiHidden/>
    <w:unhideWhenUsed/>
  </w:style>
  <w:style w:type="numbering" w:styleId="1782" w:customStyle="1">
    <w:name w:val="Нет списка554"/>
    <w:next w:val="944"/>
    <w:uiPriority w:val="99"/>
    <w:semiHidden/>
    <w:unhideWhenUsed/>
  </w:style>
  <w:style w:type="numbering" w:styleId="1783" w:customStyle="1">
    <w:name w:val="Нет списка654"/>
    <w:next w:val="944"/>
    <w:uiPriority w:val="99"/>
    <w:semiHidden/>
    <w:unhideWhenUsed/>
  </w:style>
  <w:style w:type="table" w:styleId="1784" w:customStyle="1">
    <w:name w:val="Сетка таблицы134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785" w:customStyle="1">
    <w:name w:val="Нет списка174"/>
    <w:next w:val="944"/>
    <w:uiPriority w:val="99"/>
    <w:semiHidden/>
    <w:unhideWhenUsed/>
  </w:style>
  <w:style w:type="numbering" w:styleId="1786" w:customStyle="1">
    <w:name w:val="Нет списка184"/>
    <w:next w:val="944"/>
    <w:uiPriority w:val="99"/>
    <w:semiHidden/>
    <w:unhideWhenUsed/>
  </w:style>
  <w:style w:type="numbering" w:styleId="1787" w:customStyle="1">
    <w:name w:val="Нет списка264"/>
    <w:next w:val="944"/>
    <w:uiPriority w:val="99"/>
    <w:semiHidden/>
    <w:unhideWhenUsed/>
  </w:style>
  <w:style w:type="numbering" w:styleId="1788" w:customStyle="1">
    <w:name w:val="Нет списка364"/>
    <w:next w:val="944"/>
    <w:uiPriority w:val="99"/>
    <w:semiHidden/>
    <w:unhideWhenUsed/>
  </w:style>
  <w:style w:type="numbering" w:styleId="1789" w:customStyle="1">
    <w:name w:val="Нет списка464"/>
    <w:next w:val="944"/>
    <w:uiPriority w:val="99"/>
    <w:semiHidden/>
    <w:unhideWhenUsed/>
  </w:style>
  <w:style w:type="numbering" w:styleId="1790" w:customStyle="1">
    <w:name w:val="Нет списка564"/>
    <w:next w:val="944"/>
    <w:uiPriority w:val="99"/>
    <w:semiHidden/>
    <w:unhideWhenUsed/>
  </w:style>
  <w:style w:type="numbering" w:styleId="1791" w:customStyle="1">
    <w:name w:val="Нет списка664"/>
    <w:next w:val="944"/>
    <w:uiPriority w:val="99"/>
    <w:semiHidden/>
    <w:unhideWhenUsed/>
  </w:style>
  <w:style w:type="numbering" w:styleId="1792" w:customStyle="1">
    <w:name w:val="Нет списка192"/>
    <w:next w:val="944"/>
    <w:uiPriority w:val="99"/>
    <w:semiHidden/>
    <w:unhideWhenUsed/>
  </w:style>
  <w:style w:type="numbering" w:styleId="1793" w:customStyle="1">
    <w:name w:val="Нет списка1102"/>
    <w:next w:val="944"/>
    <w:uiPriority w:val="99"/>
    <w:semiHidden/>
    <w:unhideWhenUsed/>
  </w:style>
  <w:style w:type="numbering" w:styleId="1794" w:customStyle="1">
    <w:name w:val="Нет списка272"/>
    <w:next w:val="944"/>
    <w:uiPriority w:val="99"/>
    <w:semiHidden/>
    <w:unhideWhenUsed/>
  </w:style>
  <w:style w:type="numbering" w:styleId="1795" w:customStyle="1">
    <w:name w:val="Нет списка372"/>
    <w:next w:val="944"/>
    <w:uiPriority w:val="99"/>
    <w:semiHidden/>
    <w:unhideWhenUsed/>
  </w:style>
  <w:style w:type="numbering" w:styleId="1796" w:customStyle="1">
    <w:name w:val="Нет списка472"/>
    <w:next w:val="944"/>
    <w:uiPriority w:val="99"/>
    <w:semiHidden/>
    <w:unhideWhenUsed/>
  </w:style>
  <w:style w:type="numbering" w:styleId="1797" w:customStyle="1">
    <w:name w:val="Нет списка572"/>
    <w:next w:val="944"/>
    <w:uiPriority w:val="99"/>
    <w:semiHidden/>
    <w:unhideWhenUsed/>
  </w:style>
  <w:style w:type="numbering" w:styleId="1798" w:customStyle="1">
    <w:name w:val="Нет списка672"/>
    <w:next w:val="944"/>
    <w:uiPriority w:val="99"/>
    <w:semiHidden/>
    <w:unhideWhenUsed/>
  </w:style>
  <w:style w:type="table" w:styleId="1799" w:customStyle="1">
    <w:name w:val="Сетка таблицы3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800" w:customStyle="1">
    <w:name w:val="Сетка таблицы213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801" w:customStyle="1">
    <w:name w:val="Нет списка714"/>
    <w:next w:val="944"/>
    <w:uiPriority w:val="99"/>
    <w:semiHidden/>
    <w:unhideWhenUsed/>
  </w:style>
  <w:style w:type="numbering" w:styleId="1802" w:customStyle="1">
    <w:name w:val="Нет списка1114"/>
    <w:next w:val="944"/>
    <w:uiPriority w:val="99"/>
    <w:semiHidden/>
    <w:unhideWhenUsed/>
  </w:style>
  <w:style w:type="numbering" w:styleId="1803" w:customStyle="1">
    <w:name w:val="Нет списка2114"/>
    <w:next w:val="944"/>
    <w:uiPriority w:val="99"/>
    <w:semiHidden/>
    <w:unhideWhenUsed/>
  </w:style>
  <w:style w:type="numbering" w:styleId="1804" w:customStyle="1">
    <w:name w:val="Нет списка3114"/>
    <w:next w:val="944"/>
    <w:uiPriority w:val="99"/>
    <w:semiHidden/>
    <w:unhideWhenUsed/>
  </w:style>
  <w:style w:type="numbering" w:styleId="1805" w:customStyle="1">
    <w:name w:val="Нет списка4114"/>
    <w:next w:val="944"/>
    <w:uiPriority w:val="99"/>
    <w:semiHidden/>
    <w:unhideWhenUsed/>
  </w:style>
  <w:style w:type="numbering" w:styleId="1806" w:customStyle="1">
    <w:name w:val="Нет списка5114"/>
    <w:next w:val="944"/>
    <w:uiPriority w:val="99"/>
    <w:semiHidden/>
    <w:unhideWhenUsed/>
  </w:style>
  <w:style w:type="numbering" w:styleId="1807" w:customStyle="1">
    <w:name w:val="Нет списка6114"/>
    <w:next w:val="944"/>
    <w:uiPriority w:val="99"/>
    <w:semiHidden/>
    <w:unhideWhenUsed/>
  </w:style>
  <w:style w:type="numbering" w:styleId="1808" w:customStyle="1">
    <w:name w:val="Нет списка7112"/>
    <w:next w:val="944"/>
    <w:uiPriority w:val="99"/>
    <w:semiHidden/>
    <w:unhideWhenUsed/>
  </w:style>
  <w:style w:type="numbering" w:styleId="1809" w:customStyle="1">
    <w:name w:val="Нет списка11113"/>
    <w:next w:val="944"/>
    <w:uiPriority w:val="99"/>
    <w:semiHidden/>
    <w:unhideWhenUsed/>
  </w:style>
  <w:style w:type="numbering" w:styleId="1810" w:customStyle="1">
    <w:name w:val="Нет списка21112"/>
    <w:next w:val="944"/>
    <w:uiPriority w:val="99"/>
    <w:semiHidden/>
    <w:unhideWhenUsed/>
  </w:style>
  <w:style w:type="numbering" w:styleId="1811" w:customStyle="1">
    <w:name w:val="Нет списка31112"/>
    <w:next w:val="944"/>
    <w:uiPriority w:val="99"/>
    <w:semiHidden/>
    <w:unhideWhenUsed/>
  </w:style>
  <w:style w:type="numbering" w:styleId="1812" w:customStyle="1">
    <w:name w:val="Нет списка41112"/>
    <w:next w:val="944"/>
    <w:uiPriority w:val="99"/>
    <w:semiHidden/>
    <w:unhideWhenUsed/>
  </w:style>
  <w:style w:type="numbering" w:styleId="1813" w:customStyle="1">
    <w:name w:val="Нет списка51112"/>
    <w:next w:val="944"/>
    <w:uiPriority w:val="99"/>
    <w:semiHidden/>
    <w:unhideWhenUsed/>
  </w:style>
  <w:style w:type="numbering" w:styleId="1814" w:customStyle="1">
    <w:name w:val="Нет списка61112"/>
    <w:next w:val="944"/>
    <w:uiPriority w:val="99"/>
    <w:semiHidden/>
    <w:unhideWhenUsed/>
  </w:style>
  <w:style w:type="table" w:styleId="1815" w:customStyle="1">
    <w:name w:val="Сетка таблицы1114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816" w:customStyle="1">
    <w:name w:val="Нет списка812"/>
    <w:next w:val="944"/>
    <w:uiPriority w:val="99"/>
    <w:semiHidden/>
    <w:unhideWhenUsed/>
  </w:style>
  <w:style w:type="numbering" w:styleId="1817" w:customStyle="1">
    <w:name w:val="Нет списка1213"/>
    <w:next w:val="944"/>
    <w:uiPriority w:val="99"/>
    <w:semiHidden/>
    <w:unhideWhenUsed/>
  </w:style>
  <w:style w:type="numbering" w:styleId="1818" w:customStyle="1">
    <w:name w:val="Нет списка2212"/>
    <w:next w:val="944"/>
    <w:uiPriority w:val="99"/>
    <w:semiHidden/>
    <w:unhideWhenUsed/>
  </w:style>
  <w:style w:type="numbering" w:styleId="1819" w:customStyle="1">
    <w:name w:val="Нет списка3212"/>
    <w:next w:val="944"/>
    <w:uiPriority w:val="99"/>
    <w:semiHidden/>
    <w:unhideWhenUsed/>
  </w:style>
  <w:style w:type="numbering" w:styleId="1820" w:customStyle="1">
    <w:name w:val="Нет списка4212"/>
    <w:next w:val="944"/>
    <w:uiPriority w:val="99"/>
    <w:semiHidden/>
    <w:unhideWhenUsed/>
  </w:style>
  <w:style w:type="numbering" w:styleId="1821" w:customStyle="1">
    <w:name w:val="Нет списка5212"/>
    <w:next w:val="944"/>
    <w:uiPriority w:val="99"/>
    <w:semiHidden/>
    <w:unhideWhenUsed/>
  </w:style>
  <w:style w:type="numbering" w:styleId="1822" w:customStyle="1">
    <w:name w:val="Нет списка6212"/>
    <w:next w:val="944"/>
    <w:uiPriority w:val="99"/>
    <w:semiHidden/>
    <w:unhideWhenUsed/>
  </w:style>
  <w:style w:type="table" w:styleId="1823" w:customStyle="1">
    <w:name w:val="Сетка таблицы223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824" w:customStyle="1">
    <w:name w:val="Нет списка912"/>
    <w:next w:val="944"/>
    <w:uiPriority w:val="99"/>
    <w:semiHidden/>
    <w:unhideWhenUsed/>
  </w:style>
  <w:style w:type="numbering" w:styleId="1825" w:customStyle="1">
    <w:name w:val="Нет списка1312"/>
    <w:next w:val="944"/>
    <w:uiPriority w:val="99"/>
    <w:semiHidden/>
    <w:unhideWhenUsed/>
  </w:style>
  <w:style w:type="numbering" w:styleId="1826" w:customStyle="1">
    <w:name w:val="Нет списка2312"/>
    <w:next w:val="944"/>
    <w:uiPriority w:val="99"/>
    <w:semiHidden/>
    <w:unhideWhenUsed/>
  </w:style>
  <w:style w:type="numbering" w:styleId="1827" w:customStyle="1">
    <w:name w:val="Нет списка3312"/>
    <w:next w:val="944"/>
    <w:uiPriority w:val="99"/>
    <w:semiHidden/>
    <w:unhideWhenUsed/>
  </w:style>
  <w:style w:type="numbering" w:styleId="1828" w:customStyle="1">
    <w:name w:val="Нет списка4312"/>
    <w:next w:val="944"/>
    <w:uiPriority w:val="99"/>
    <w:semiHidden/>
    <w:unhideWhenUsed/>
  </w:style>
  <w:style w:type="numbering" w:styleId="1829" w:customStyle="1">
    <w:name w:val="Нет списка5312"/>
    <w:next w:val="944"/>
    <w:uiPriority w:val="99"/>
    <w:semiHidden/>
    <w:unhideWhenUsed/>
  </w:style>
  <w:style w:type="numbering" w:styleId="1830" w:customStyle="1">
    <w:name w:val="Нет списка6312"/>
    <w:next w:val="944"/>
    <w:uiPriority w:val="99"/>
    <w:semiHidden/>
    <w:unhideWhenUsed/>
  </w:style>
  <w:style w:type="table" w:styleId="1831" w:customStyle="1">
    <w:name w:val="Сетка таблицы1111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832" w:customStyle="1">
    <w:name w:val="Нет списка1012"/>
    <w:next w:val="944"/>
    <w:uiPriority w:val="99"/>
    <w:semiHidden/>
    <w:unhideWhenUsed/>
  </w:style>
  <w:style w:type="numbering" w:styleId="1833" w:customStyle="1">
    <w:name w:val="Нет списка1412"/>
    <w:next w:val="944"/>
    <w:uiPriority w:val="99"/>
    <w:semiHidden/>
    <w:unhideWhenUsed/>
  </w:style>
  <w:style w:type="numbering" w:styleId="1834" w:customStyle="1">
    <w:name w:val="Нет списка2412"/>
    <w:next w:val="944"/>
    <w:uiPriority w:val="99"/>
    <w:semiHidden/>
    <w:unhideWhenUsed/>
  </w:style>
  <w:style w:type="numbering" w:styleId="1835" w:customStyle="1">
    <w:name w:val="Нет списка3412"/>
    <w:next w:val="944"/>
    <w:uiPriority w:val="99"/>
    <w:semiHidden/>
    <w:unhideWhenUsed/>
  </w:style>
  <w:style w:type="numbering" w:styleId="1836" w:customStyle="1">
    <w:name w:val="Нет списка4412"/>
    <w:next w:val="944"/>
    <w:uiPriority w:val="99"/>
    <w:semiHidden/>
    <w:unhideWhenUsed/>
  </w:style>
  <w:style w:type="numbering" w:styleId="1837" w:customStyle="1">
    <w:name w:val="Нет списка5412"/>
    <w:next w:val="944"/>
    <w:uiPriority w:val="99"/>
    <w:semiHidden/>
    <w:unhideWhenUsed/>
  </w:style>
  <w:style w:type="numbering" w:styleId="1838" w:customStyle="1">
    <w:name w:val="Нет списка6412"/>
    <w:next w:val="944"/>
    <w:uiPriority w:val="99"/>
    <w:semiHidden/>
    <w:unhideWhenUsed/>
  </w:style>
  <w:style w:type="numbering" w:styleId="1839" w:customStyle="1">
    <w:name w:val="Нет списка1512"/>
    <w:next w:val="944"/>
    <w:uiPriority w:val="99"/>
    <w:semiHidden/>
    <w:unhideWhenUsed/>
  </w:style>
  <w:style w:type="numbering" w:styleId="1840" w:customStyle="1">
    <w:name w:val="Нет списка1612"/>
    <w:next w:val="944"/>
    <w:uiPriority w:val="99"/>
    <w:semiHidden/>
    <w:unhideWhenUsed/>
  </w:style>
  <w:style w:type="numbering" w:styleId="1841" w:customStyle="1">
    <w:name w:val="Нет списка2512"/>
    <w:next w:val="944"/>
    <w:uiPriority w:val="99"/>
    <w:semiHidden/>
    <w:unhideWhenUsed/>
  </w:style>
  <w:style w:type="numbering" w:styleId="1842" w:customStyle="1">
    <w:name w:val="Нет списка3512"/>
    <w:next w:val="944"/>
    <w:uiPriority w:val="99"/>
    <w:semiHidden/>
    <w:unhideWhenUsed/>
  </w:style>
  <w:style w:type="numbering" w:styleId="1843" w:customStyle="1">
    <w:name w:val="Нет списка4512"/>
    <w:next w:val="944"/>
    <w:uiPriority w:val="99"/>
    <w:semiHidden/>
    <w:unhideWhenUsed/>
  </w:style>
  <w:style w:type="numbering" w:styleId="1844" w:customStyle="1">
    <w:name w:val="Нет списка5512"/>
    <w:next w:val="944"/>
    <w:uiPriority w:val="99"/>
    <w:semiHidden/>
    <w:unhideWhenUsed/>
  </w:style>
  <w:style w:type="numbering" w:styleId="1845" w:customStyle="1">
    <w:name w:val="Нет списка6512"/>
    <w:next w:val="944"/>
    <w:uiPriority w:val="99"/>
    <w:semiHidden/>
    <w:unhideWhenUsed/>
  </w:style>
  <w:style w:type="numbering" w:styleId="1846" w:customStyle="1">
    <w:name w:val="Нет списка1712"/>
    <w:next w:val="944"/>
    <w:uiPriority w:val="99"/>
    <w:semiHidden/>
    <w:unhideWhenUsed/>
  </w:style>
  <w:style w:type="numbering" w:styleId="1847" w:customStyle="1">
    <w:name w:val="Нет списка1812"/>
    <w:next w:val="944"/>
    <w:uiPriority w:val="99"/>
    <w:semiHidden/>
    <w:unhideWhenUsed/>
  </w:style>
  <w:style w:type="numbering" w:styleId="1848" w:customStyle="1">
    <w:name w:val="Нет списка2612"/>
    <w:next w:val="944"/>
    <w:uiPriority w:val="99"/>
    <w:semiHidden/>
    <w:unhideWhenUsed/>
  </w:style>
  <w:style w:type="numbering" w:styleId="1849" w:customStyle="1">
    <w:name w:val="Нет списка3612"/>
    <w:next w:val="944"/>
    <w:uiPriority w:val="99"/>
    <w:semiHidden/>
    <w:unhideWhenUsed/>
  </w:style>
  <w:style w:type="numbering" w:styleId="1850" w:customStyle="1">
    <w:name w:val="Нет списка4612"/>
    <w:next w:val="944"/>
    <w:uiPriority w:val="99"/>
    <w:semiHidden/>
    <w:unhideWhenUsed/>
  </w:style>
  <w:style w:type="numbering" w:styleId="1851" w:customStyle="1">
    <w:name w:val="Нет списка5612"/>
    <w:next w:val="944"/>
    <w:uiPriority w:val="99"/>
    <w:semiHidden/>
    <w:unhideWhenUsed/>
  </w:style>
  <w:style w:type="numbering" w:styleId="1852" w:customStyle="1">
    <w:name w:val="Нет списка6612"/>
    <w:next w:val="944"/>
    <w:uiPriority w:val="99"/>
    <w:semiHidden/>
    <w:unhideWhenUsed/>
  </w:style>
  <w:style w:type="numbering" w:styleId="1853" w:customStyle="1">
    <w:name w:val="Нет списка202"/>
    <w:next w:val="944"/>
    <w:uiPriority w:val="99"/>
    <w:semiHidden/>
    <w:unhideWhenUsed/>
  </w:style>
  <w:style w:type="numbering" w:styleId="1854" w:customStyle="1">
    <w:name w:val="Нет списка1122"/>
    <w:next w:val="944"/>
    <w:uiPriority w:val="99"/>
    <w:semiHidden/>
    <w:unhideWhenUsed/>
  </w:style>
  <w:style w:type="numbering" w:styleId="1855" w:customStyle="1">
    <w:name w:val="Нет списка282"/>
    <w:next w:val="944"/>
    <w:uiPriority w:val="99"/>
    <w:semiHidden/>
    <w:unhideWhenUsed/>
  </w:style>
  <w:style w:type="numbering" w:styleId="1856" w:customStyle="1">
    <w:name w:val="Нет списка382"/>
    <w:next w:val="944"/>
    <w:uiPriority w:val="99"/>
    <w:semiHidden/>
    <w:unhideWhenUsed/>
  </w:style>
  <w:style w:type="numbering" w:styleId="1857" w:customStyle="1">
    <w:name w:val="Нет списка482"/>
    <w:next w:val="944"/>
    <w:uiPriority w:val="99"/>
    <w:semiHidden/>
    <w:unhideWhenUsed/>
  </w:style>
  <w:style w:type="numbering" w:styleId="1858" w:customStyle="1">
    <w:name w:val="Нет списка582"/>
    <w:next w:val="944"/>
    <w:uiPriority w:val="99"/>
    <w:semiHidden/>
    <w:unhideWhenUsed/>
  </w:style>
  <w:style w:type="numbering" w:styleId="1859" w:customStyle="1">
    <w:name w:val="Нет списка682"/>
    <w:next w:val="944"/>
    <w:uiPriority w:val="99"/>
    <w:semiHidden/>
    <w:unhideWhenUsed/>
  </w:style>
  <w:style w:type="table" w:styleId="1860" w:customStyle="1">
    <w:name w:val="Сетка таблицы4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861" w:customStyle="1">
    <w:name w:val="Сетка таблицы232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862" w:customStyle="1">
    <w:name w:val="Сетка таблицы2112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863" w:customStyle="1">
    <w:name w:val="Нет списка722"/>
    <w:next w:val="944"/>
    <w:uiPriority w:val="99"/>
    <w:semiHidden/>
    <w:unhideWhenUsed/>
  </w:style>
  <w:style w:type="numbering" w:styleId="1864" w:customStyle="1">
    <w:name w:val="Нет списка1132"/>
    <w:next w:val="944"/>
    <w:uiPriority w:val="99"/>
    <w:semiHidden/>
    <w:unhideWhenUsed/>
  </w:style>
  <w:style w:type="numbering" w:styleId="1865" w:customStyle="1">
    <w:name w:val="Нет списка2122"/>
    <w:next w:val="944"/>
    <w:uiPriority w:val="99"/>
    <w:semiHidden/>
    <w:unhideWhenUsed/>
  </w:style>
  <w:style w:type="numbering" w:styleId="1866" w:customStyle="1">
    <w:name w:val="Нет списка3122"/>
    <w:next w:val="944"/>
    <w:uiPriority w:val="99"/>
    <w:semiHidden/>
    <w:unhideWhenUsed/>
  </w:style>
  <w:style w:type="numbering" w:styleId="1867" w:customStyle="1">
    <w:name w:val="Нет списка4122"/>
    <w:next w:val="944"/>
    <w:uiPriority w:val="99"/>
    <w:semiHidden/>
    <w:unhideWhenUsed/>
  </w:style>
  <w:style w:type="numbering" w:styleId="1868" w:customStyle="1">
    <w:name w:val="Нет списка5122"/>
    <w:next w:val="944"/>
    <w:uiPriority w:val="99"/>
    <w:semiHidden/>
    <w:unhideWhenUsed/>
  </w:style>
  <w:style w:type="numbering" w:styleId="1869" w:customStyle="1">
    <w:name w:val="Нет списка6122"/>
    <w:next w:val="944"/>
    <w:uiPriority w:val="99"/>
    <w:semiHidden/>
    <w:unhideWhenUsed/>
  </w:style>
  <w:style w:type="table" w:styleId="1870" w:customStyle="1">
    <w:name w:val="Сетка таблицы31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871" w:customStyle="1">
    <w:name w:val="Нет списка7122"/>
    <w:next w:val="944"/>
    <w:uiPriority w:val="99"/>
    <w:semiHidden/>
    <w:unhideWhenUsed/>
  </w:style>
  <w:style w:type="numbering" w:styleId="1872" w:customStyle="1">
    <w:name w:val="Нет списка11122"/>
    <w:next w:val="944"/>
    <w:uiPriority w:val="99"/>
    <w:semiHidden/>
    <w:unhideWhenUsed/>
  </w:style>
  <w:style w:type="numbering" w:styleId="1873" w:customStyle="1">
    <w:name w:val="Нет списка21122"/>
    <w:next w:val="944"/>
    <w:uiPriority w:val="99"/>
    <w:semiHidden/>
    <w:unhideWhenUsed/>
  </w:style>
  <w:style w:type="numbering" w:styleId="1874" w:customStyle="1">
    <w:name w:val="Нет списка31122"/>
    <w:next w:val="944"/>
    <w:uiPriority w:val="99"/>
    <w:semiHidden/>
    <w:unhideWhenUsed/>
  </w:style>
  <w:style w:type="numbering" w:styleId="1875" w:customStyle="1">
    <w:name w:val="Нет списка41122"/>
    <w:next w:val="944"/>
    <w:uiPriority w:val="99"/>
    <w:semiHidden/>
    <w:unhideWhenUsed/>
  </w:style>
  <w:style w:type="numbering" w:styleId="1876" w:customStyle="1">
    <w:name w:val="Нет списка51122"/>
    <w:next w:val="944"/>
    <w:uiPriority w:val="99"/>
    <w:semiHidden/>
    <w:unhideWhenUsed/>
  </w:style>
  <w:style w:type="numbering" w:styleId="1877" w:customStyle="1">
    <w:name w:val="Нет списка61122"/>
    <w:next w:val="944"/>
    <w:uiPriority w:val="99"/>
    <w:semiHidden/>
    <w:unhideWhenUsed/>
  </w:style>
  <w:style w:type="table" w:styleId="1878" w:customStyle="1">
    <w:name w:val="Сетка таблицы112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879" w:customStyle="1">
    <w:name w:val="Нет списка822"/>
    <w:next w:val="944"/>
    <w:uiPriority w:val="99"/>
    <w:semiHidden/>
    <w:unhideWhenUsed/>
  </w:style>
  <w:style w:type="numbering" w:styleId="1880" w:customStyle="1">
    <w:name w:val="Нет списка1222"/>
    <w:next w:val="944"/>
    <w:uiPriority w:val="99"/>
    <w:semiHidden/>
    <w:unhideWhenUsed/>
  </w:style>
  <w:style w:type="numbering" w:styleId="1881" w:customStyle="1">
    <w:name w:val="Нет списка2222"/>
    <w:next w:val="944"/>
    <w:uiPriority w:val="99"/>
    <w:semiHidden/>
    <w:unhideWhenUsed/>
  </w:style>
  <w:style w:type="numbering" w:styleId="1882" w:customStyle="1">
    <w:name w:val="Нет списка3222"/>
    <w:next w:val="944"/>
    <w:uiPriority w:val="99"/>
    <w:semiHidden/>
    <w:unhideWhenUsed/>
  </w:style>
  <w:style w:type="numbering" w:styleId="1883" w:customStyle="1">
    <w:name w:val="Нет списка4222"/>
    <w:next w:val="944"/>
    <w:uiPriority w:val="99"/>
    <w:semiHidden/>
    <w:unhideWhenUsed/>
  </w:style>
  <w:style w:type="numbering" w:styleId="1884" w:customStyle="1">
    <w:name w:val="Нет списка5222"/>
    <w:next w:val="944"/>
    <w:uiPriority w:val="99"/>
    <w:semiHidden/>
    <w:unhideWhenUsed/>
  </w:style>
  <w:style w:type="numbering" w:styleId="1885" w:customStyle="1">
    <w:name w:val="Нет списка6222"/>
    <w:next w:val="944"/>
    <w:uiPriority w:val="99"/>
    <w:semiHidden/>
    <w:unhideWhenUsed/>
  </w:style>
  <w:style w:type="table" w:styleId="1886" w:customStyle="1">
    <w:name w:val="Сетка таблицы2212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887" w:customStyle="1">
    <w:name w:val="Нет списка922"/>
    <w:next w:val="944"/>
    <w:uiPriority w:val="99"/>
    <w:semiHidden/>
    <w:unhideWhenUsed/>
  </w:style>
  <w:style w:type="numbering" w:styleId="1888" w:customStyle="1">
    <w:name w:val="Нет списка1322"/>
    <w:next w:val="944"/>
    <w:uiPriority w:val="99"/>
    <w:semiHidden/>
    <w:unhideWhenUsed/>
  </w:style>
  <w:style w:type="numbering" w:styleId="1889" w:customStyle="1">
    <w:name w:val="Нет списка2322"/>
    <w:next w:val="944"/>
    <w:uiPriority w:val="99"/>
    <w:semiHidden/>
    <w:unhideWhenUsed/>
  </w:style>
  <w:style w:type="numbering" w:styleId="1890" w:customStyle="1">
    <w:name w:val="Нет списка3322"/>
    <w:next w:val="944"/>
    <w:uiPriority w:val="99"/>
    <w:semiHidden/>
    <w:unhideWhenUsed/>
  </w:style>
  <w:style w:type="numbering" w:styleId="1891" w:customStyle="1">
    <w:name w:val="Нет списка4322"/>
    <w:next w:val="944"/>
    <w:uiPriority w:val="99"/>
    <w:semiHidden/>
    <w:unhideWhenUsed/>
  </w:style>
  <w:style w:type="numbering" w:styleId="1892" w:customStyle="1">
    <w:name w:val="Нет списка5322"/>
    <w:next w:val="944"/>
    <w:uiPriority w:val="99"/>
    <w:semiHidden/>
    <w:unhideWhenUsed/>
  </w:style>
  <w:style w:type="numbering" w:styleId="1893" w:customStyle="1">
    <w:name w:val="Нет списка6322"/>
    <w:next w:val="944"/>
    <w:uiPriority w:val="99"/>
    <w:semiHidden/>
    <w:unhideWhenUsed/>
  </w:style>
  <w:style w:type="numbering" w:styleId="1894" w:customStyle="1">
    <w:name w:val="Нет списка1022"/>
    <w:next w:val="944"/>
    <w:uiPriority w:val="99"/>
    <w:semiHidden/>
    <w:unhideWhenUsed/>
  </w:style>
  <w:style w:type="numbering" w:styleId="1895" w:customStyle="1">
    <w:name w:val="Нет списка1422"/>
    <w:next w:val="944"/>
    <w:uiPriority w:val="99"/>
    <w:semiHidden/>
    <w:unhideWhenUsed/>
  </w:style>
  <w:style w:type="numbering" w:styleId="1896" w:customStyle="1">
    <w:name w:val="Нет списка2422"/>
    <w:next w:val="944"/>
    <w:uiPriority w:val="99"/>
    <w:semiHidden/>
    <w:unhideWhenUsed/>
  </w:style>
  <w:style w:type="numbering" w:styleId="1897" w:customStyle="1">
    <w:name w:val="Нет списка3422"/>
    <w:next w:val="944"/>
    <w:uiPriority w:val="99"/>
    <w:semiHidden/>
    <w:unhideWhenUsed/>
  </w:style>
  <w:style w:type="numbering" w:styleId="1898" w:customStyle="1">
    <w:name w:val="Нет списка4422"/>
    <w:next w:val="944"/>
    <w:uiPriority w:val="99"/>
    <w:semiHidden/>
    <w:unhideWhenUsed/>
  </w:style>
  <w:style w:type="numbering" w:styleId="1899" w:customStyle="1">
    <w:name w:val="Нет списка5422"/>
    <w:next w:val="944"/>
    <w:uiPriority w:val="99"/>
    <w:semiHidden/>
    <w:unhideWhenUsed/>
  </w:style>
  <w:style w:type="numbering" w:styleId="1900" w:customStyle="1">
    <w:name w:val="Нет списка6422"/>
    <w:next w:val="944"/>
    <w:uiPriority w:val="99"/>
    <w:semiHidden/>
    <w:unhideWhenUsed/>
  </w:style>
  <w:style w:type="numbering" w:styleId="1901" w:customStyle="1">
    <w:name w:val="Нет списка1522"/>
    <w:next w:val="944"/>
    <w:uiPriority w:val="99"/>
    <w:semiHidden/>
    <w:unhideWhenUsed/>
  </w:style>
  <w:style w:type="numbering" w:styleId="1902" w:customStyle="1">
    <w:name w:val="Нет списка1622"/>
    <w:next w:val="944"/>
    <w:uiPriority w:val="99"/>
    <w:semiHidden/>
    <w:unhideWhenUsed/>
  </w:style>
  <w:style w:type="numbering" w:styleId="1903" w:customStyle="1">
    <w:name w:val="Нет списка2522"/>
    <w:next w:val="944"/>
    <w:uiPriority w:val="99"/>
    <w:semiHidden/>
    <w:unhideWhenUsed/>
  </w:style>
  <w:style w:type="numbering" w:styleId="1904" w:customStyle="1">
    <w:name w:val="Нет списка3522"/>
    <w:next w:val="944"/>
    <w:uiPriority w:val="99"/>
    <w:semiHidden/>
    <w:unhideWhenUsed/>
  </w:style>
  <w:style w:type="numbering" w:styleId="1905" w:customStyle="1">
    <w:name w:val="Нет списка4522"/>
    <w:next w:val="944"/>
    <w:uiPriority w:val="99"/>
    <w:semiHidden/>
    <w:unhideWhenUsed/>
  </w:style>
  <w:style w:type="numbering" w:styleId="1906" w:customStyle="1">
    <w:name w:val="Нет списка5522"/>
    <w:next w:val="944"/>
    <w:uiPriority w:val="99"/>
    <w:semiHidden/>
    <w:unhideWhenUsed/>
  </w:style>
  <w:style w:type="numbering" w:styleId="1907" w:customStyle="1">
    <w:name w:val="Нет списка6522"/>
    <w:next w:val="944"/>
    <w:uiPriority w:val="99"/>
    <w:semiHidden/>
    <w:unhideWhenUsed/>
  </w:style>
  <w:style w:type="numbering" w:styleId="1908" w:customStyle="1">
    <w:name w:val="Нет списка1722"/>
    <w:next w:val="944"/>
    <w:uiPriority w:val="99"/>
    <w:semiHidden/>
    <w:unhideWhenUsed/>
  </w:style>
  <w:style w:type="numbering" w:styleId="1909" w:customStyle="1">
    <w:name w:val="Нет списка1822"/>
    <w:next w:val="944"/>
    <w:uiPriority w:val="99"/>
    <w:semiHidden/>
    <w:unhideWhenUsed/>
  </w:style>
  <w:style w:type="numbering" w:styleId="1910" w:customStyle="1">
    <w:name w:val="Нет списка2622"/>
    <w:next w:val="944"/>
    <w:uiPriority w:val="99"/>
    <w:semiHidden/>
    <w:unhideWhenUsed/>
  </w:style>
  <w:style w:type="numbering" w:styleId="1911" w:customStyle="1">
    <w:name w:val="Нет списка3622"/>
    <w:next w:val="944"/>
    <w:uiPriority w:val="99"/>
    <w:semiHidden/>
    <w:unhideWhenUsed/>
  </w:style>
  <w:style w:type="numbering" w:styleId="1912" w:customStyle="1">
    <w:name w:val="Нет списка4622"/>
    <w:next w:val="944"/>
    <w:uiPriority w:val="99"/>
    <w:semiHidden/>
    <w:unhideWhenUsed/>
  </w:style>
  <w:style w:type="numbering" w:styleId="1913" w:customStyle="1">
    <w:name w:val="Нет списка5622"/>
    <w:next w:val="944"/>
    <w:uiPriority w:val="99"/>
    <w:semiHidden/>
    <w:unhideWhenUsed/>
  </w:style>
  <w:style w:type="numbering" w:styleId="1914" w:customStyle="1">
    <w:name w:val="Нет списка6622"/>
    <w:next w:val="944"/>
    <w:uiPriority w:val="99"/>
    <w:semiHidden/>
    <w:unhideWhenUsed/>
  </w:style>
  <w:style w:type="numbering" w:styleId="1915" w:customStyle="1">
    <w:name w:val="Нет списка292"/>
    <w:next w:val="944"/>
    <w:uiPriority w:val="99"/>
    <w:semiHidden/>
    <w:unhideWhenUsed/>
  </w:style>
  <w:style w:type="character" w:styleId="1916" w:customStyle="1">
    <w:name w:val="Неразрешенное упоминание1"/>
    <w:basedOn w:val="942"/>
    <w:uiPriority w:val="99"/>
    <w:semiHidden/>
    <w:unhideWhenUsed/>
    <w:rPr>
      <w:color w:val="605e5c"/>
      <w:shd w:val="clear" w:color="auto" w:fill="e1dfdd"/>
    </w:rPr>
  </w:style>
  <w:style w:type="table" w:styleId="1917" w:customStyle="1">
    <w:name w:val="Сетка таблицы181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918" w:customStyle="1">
    <w:name w:val="TableGrid11"/>
    <w:pPr>
      <w:spacing w:after="0" w:line="240" w:lineRule="auto"/>
    </w:pPr>
    <w:rPr>
      <w:rFonts w:eastAsia="Times New Roman"/>
      <w:lang w:eastAsia="ru-RU"/>
    </w:rPr>
    <w:tblPr>
      <w:tblCellMar>
        <w:left w:w="0" w:type="dxa"/>
        <w:top w:w="0" w:type="dxa"/>
        <w:right w:w="0" w:type="dxa"/>
        <w:bottom w:w="0" w:type="dxa"/>
      </w:tblCellMar>
    </w:tblPr>
  </w:style>
  <w:style w:type="paragraph" w:styleId="1919" w:customStyle="1">
    <w:name w:val="19571"/>
    <w:basedOn w:val="932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table" w:styleId="1920" w:customStyle="1">
    <w:name w:val="Table Grid Report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21" w:customStyle="1">
    <w:name w:val="Table Grid Report11"/>
    <w:basedOn w:val="943"/>
    <w:next w:val="961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22" w:customStyle="1">
    <w:name w:val="Table Grid Report21"/>
    <w:basedOn w:val="943"/>
    <w:next w:val="961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23" w:customStyle="1">
    <w:name w:val="Table Normal12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24" w:customStyle="1">
    <w:name w:val="Table Normal13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25" w:customStyle="1">
    <w:name w:val="Table Normal22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26" w:customStyle="1">
    <w:name w:val="Table Normal32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27" w:customStyle="1">
    <w:name w:val="Table Normal42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28" w:customStyle="1">
    <w:name w:val="Table Normal52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29" w:customStyle="1">
    <w:name w:val="Table Normal62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30" w:customStyle="1">
    <w:name w:val="Table Normal72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31" w:customStyle="1">
    <w:name w:val="Table Normal82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32" w:customStyle="1">
    <w:name w:val="Table Normal9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33" w:customStyle="1">
    <w:name w:val="Table Normal11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34" w:customStyle="1">
    <w:name w:val="Table Normal21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35" w:customStyle="1">
    <w:name w:val="Table Normal31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36" w:customStyle="1">
    <w:name w:val="Table Normal41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37" w:customStyle="1">
    <w:name w:val="Table Normal51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38" w:customStyle="1">
    <w:name w:val="Table Normal61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39" w:customStyle="1">
    <w:name w:val="Table Normal71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40" w:customStyle="1">
    <w:name w:val="Table Normal81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41" w:customStyle="1">
    <w:name w:val="Сетка таблицы1131"/>
    <w:basedOn w:val="943"/>
    <w:next w:val="961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42" w:customStyle="1">
    <w:name w:val="Сетка таблицы5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943" w:customStyle="1">
    <w:name w:val="No List11"/>
    <w:next w:val="944"/>
    <w:uiPriority w:val="99"/>
    <w:semiHidden/>
    <w:unhideWhenUsed/>
  </w:style>
  <w:style w:type="table" w:styleId="1944" w:customStyle="1">
    <w:name w:val="Table Grid1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45" w:customStyle="1">
    <w:name w:val="Сетка таблицы114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46" w:customStyle="1">
    <w:name w:val="Сетка таблицы121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47" w:customStyle="1">
    <w:name w:val="Сетка таблицы131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48" w:customStyle="1">
    <w:name w:val="Сетка таблицы14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49" w:customStyle="1">
    <w:name w:val="Сетка таблицы15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950" w:customStyle="1">
    <w:name w:val="Нет списка111111"/>
    <w:next w:val="944"/>
    <w:uiPriority w:val="99"/>
    <w:semiHidden/>
    <w:unhideWhenUsed/>
  </w:style>
  <w:style w:type="numbering" w:styleId="1951" w:customStyle="1">
    <w:name w:val="Нет списка12111"/>
    <w:next w:val="944"/>
    <w:uiPriority w:val="99"/>
    <w:semiHidden/>
    <w:unhideWhenUsed/>
  </w:style>
  <w:style w:type="table" w:styleId="1952" w:customStyle="1">
    <w:name w:val="Сетка таблицы11111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53" w:customStyle="1">
    <w:name w:val="Сетка таблицы141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54" w:customStyle="1">
    <w:name w:val="Сетка таблицы41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55" w:customStyle="1">
    <w:name w:val="Сетка таблицы16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56" w:customStyle="1">
    <w:name w:val="Сетка таблицы1121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57" w:customStyle="1">
    <w:name w:val="Сетка таблицы1112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58" w:customStyle="1">
    <w:name w:val="Сетка таблицы122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59" w:customStyle="1">
    <w:name w:val="Сетка таблицы132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60" w:customStyle="1">
    <w:name w:val="Сетка таблицы142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61" w:customStyle="1">
    <w:name w:val="Table Normal141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table" w:styleId="1962" w:customStyle="1">
    <w:name w:val="TableGrid2"/>
    <w:pPr>
      <w:spacing w:after="0" w:line="240" w:lineRule="auto"/>
    </w:pPr>
    <w:rPr>
      <w:rFonts w:eastAsia="Times New Roman"/>
      <w:lang w:eastAsia="ru-RU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1963" w:customStyle="1">
    <w:name w:val="Сетка таблицы61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64" w:customStyle="1">
    <w:name w:val="Таблица простая 211"/>
    <w:basedOn w:val="943"/>
    <w:uiPriority w:val="42"/>
    <w:pPr>
      <w:spacing w:after="0" w:line="240" w:lineRule="auto"/>
    </w:pPr>
    <w:tblPr>
      <w:tblStyleRowBandSize w:val="1"/>
      <w:tblStyleColBandSize w:val="1"/>
      <w:tblBorders>
        <w:top w:val="single" w:color="7F7F7F" w:sz="4" w:space="0"/>
        <w:bottom w:val="single" w:color="7F7F7F" w:sz="4" w:space="0"/>
      </w:tblBorders>
    </w:tblPr>
    <w:tblStylePr w:type="band1Horz">
      <w:tcPr>
        <w:tcBorders>
          <w:top w:val="single" w:color="7F7F7F" w:sz="4" w:space="0"/>
          <w:bottom w:val="single" w:color="7F7F7F" w:sz="4" w:space="0"/>
        </w:tcBorders>
      </w:tcPr>
    </w:tblStylePr>
    <w:tblStylePr w:type="band1Vert">
      <w:tcPr>
        <w:tcBorders>
          <w:left w:val="single" w:color="7F7F7F" w:sz="4" w:space="0"/>
          <w:right w:val="single" w:color="7F7F7F" w:sz="4" w:space="0"/>
        </w:tcBorders>
      </w:tcPr>
    </w:tblStylePr>
    <w:tblStylePr w:type="band2Vert">
      <w:tcPr>
        <w:tcBorders>
          <w:left w:val="single" w:color="7F7F7F" w:sz="4" w:space="0"/>
          <w:right w:val="single" w:color="7F7F7F" w:sz="4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</w:rPr>
      <w:tcPr>
        <w:tcBorders>
          <w:bottom w:val="single" w:color="7F7F7F" w:sz="4" w:space="0"/>
        </w:tcBorders>
      </w:tcPr>
    </w:tblStylePr>
    <w:tblStylePr w:type="lastCol">
      <w:rPr>
        <w:b/>
        <w:bCs/>
      </w:rPr>
    </w:tblStylePr>
    <w:tblStylePr w:type="lastRow">
      <w:rPr>
        <w:b/>
        <w:bCs/>
      </w:rPr>
      <w:tcPr>
        <w:tcBorders>
          <w:top w:val="single" w:color="7F7F7F" w:sz="4" w:space="0"/>
        </w:tcBorders>
      </w:tcPr>
    </w:tblStylePr>
  </w:style>
  <w:style w:type="table" w:styleId="1965" w:customStyle="1">
    <w:name w:val="Сетка таблицы171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966" w:customStyle="1">
    <w:name w:val="Сетка таблицы182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967" w:customStyle="1">
    <w:name w:val="TableGrid12"/>
    <w:pPr>
      <w:spacing w:after="0" w:line="240" w:lineRule="auto"/>
    </w:pPr>
    <w:rPr>
      <w:rFonts w:eastAsia="Times New Roman"/>
      <w:lang w:eastAsia="ru-RU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1968" w:customStyle="1">
    <w:name w:val="Сетка таблицы191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1969" w:customStyle="1">
    <w:name w:val="Table Grid2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970" w:customStyle="1">
    <w:name w:val="No List21"/>
    <w:next w:val="944"/>
    <w:uiPriority w:val="99"/>
    <w:semiHidden/>
    <w:unhideWhenUsed/>
  </w:style>
  <w:style w:type="table" w:styleId="1971" w:customStyle="1">
    <w:name w:val="Table Grid31"/>
    <w:basedOn w:val="943"/>
    <w:next w:val="961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972" w:customStyle="1">
    <w:name w:val="Сетка таблицы15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973" w:customStyle="1">
    <w:name w:val="Нет списка193"/>
    <w:next w:val="944"/>
    <w:uiPriority w:val="99"/>
    <w:semiHidden/>
    <w:unhideWhenUsed/>
  </w:style>
  <w:style w:type="numbering" w:styleId="1974" w:customStyle="1">
    <w:name w:val="Нет списка1103"/>
    <w:next w:val="944"/>
    <w:uiPriority w:val="99"/>
    <w:semiHidden/>
    <w:unhideWhenUsed/>
  </w:style>
  <w:style w:type="numbering" w:styleId="1975" w:customStyle="1">
    <w:name w:val="Нет списка273"/>
    <w:next w:val="944"/>
    <w:uiPriority w:val="99"/>
    <w:semiHidden/>
    <w:unhideWhenUsed/>
  </w:style>
  <w:style w:type="numbering" w:styleId="1976" w:customStyle="1">
    <w:name w:val="Нет списка373"/>
    <w:next w:val="944"/>
    <w:uiPriority w:val="99"/>
    <w:semiHidden/>
    <w:unhideWhenUsed/>
  </w:style>
  <w:style w:type="numbering" w:styleId="1977" w:customStyle="1">
    <w:name w:val="Нет списка473"/>
    <w:next w:val="944"/>
    <w:uiPriority w:val="99"/>
    <w:semiHidden/>
    <w:unhideWhenUsed/>
  </w:style>
  <w:style w:type="numbering" w:styleId="1978" w:customStyle="1">
    <w:name w:val="Нет списка573"/>
    <w:next w:val="944"/>
    <w:uiPriority w:val="99"/>
    <w:semiHidden/>
    <w:unhideWhenUsed/>
  </w:style>
  <w:style w:type="numbering" w:styleId="1979" w:customStyle="1">
    <w:name w:val="Нет списка673"/>
    <w:next w:val="944"/>
    <w:uiPriority w:val="99"/>
    <w:semiHidden/>
    <w:unhideWhenUsed/>
  </w:style>
  <w:style w:type="table" w:styleId="1980" w:customStyle="1">
    <w:name w:val="Сетка таблицы15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1981" w:customStyle="1">
    <w:name w:val="Нет списка7113"/>
    <w:next w:val="944"/>
    <w:uiPriority w:val="99"/>
    <w:semiHidden/>
    <w:unhideWhenUsed/>
  </w:style>
  <w:style w:type="numbering" w:styleId="1982" w:customStyle="1">
    <w:name w:val="Нет списка21113"/>
    <w:next w:val="944"/>
    <w:uiPriority w:val="99"/>
    <w:semiHidden/>
    <w:unhideWhenUsed/>
  </w:style>
  <w:style w:type="numbering" w:styleId="1983" w:customStyle="1">
    <w:name w:val="Нет списка31113"/>
    <w:next w:val="944"/>
    <w:uiPriority w:val="99"/>
    <w:semiHidden/>
    <w:unhideWhenUsed/>
  </w:style>
  <w:style w:type="numbering" w:styleId="1984" w:customStyle="1">
    <w:name w:val="Нет списка41113"/>
    <w:next w:val="944"/>
    <w:uiPriority w:val="99"/>
    <w:semiHidden/>
    <w:unhideWhenUsed/>
  </w:style>
  <w:style w:type="numbering" w:styleId="1985" w:customStyle="1">
    <w:name w:val="Нет списка51113"/>
    <w:next w:val="944"/>
    <w:uiPriority w:val="99"/>
    <w:semiHidden/>
    <w:unhideWhenUsed/>
  </w:style>
  <w:style w:type="numbering" w:styleId="1986" w:customStyle="1">
    <w:name w:val="Нет списка61113"/>
    <w:next w:val="944"/>
    <w:uiPriority w:val="99"/>
    <w:semiHidden/>
    <w:unhideWhenUsed/>
  </w:style>
  <w:style w:type="numbering" w:styleId="1987" w:customStyle="1">
    <w:name w:val="Нет списка813"/>
    <w:next w:val="944"/>
    <w:uiPriority w:val="99"/>
    <w:semiHidden/>
    <w:unhideWhenUsed/>
  </w:style>
  <w:style w:type="numbering" w:styleId="1988" w:customStyle="1">
    <w:name w:val="Нет списка2213"/>
    <w:next w:val="944"/>
    <w:uiPriority w:val="99"/>
    <w:semiHidden/>
    <w:unhideWhenUsed/>
  </w:style>
  <w:style w:type="numbering" w:styleId="1989" w:customStyle="1">
    <w:name w:val="Нет списка3213"/>
    <w:next w:val="944"/>
    <w:uiPriority w:val="99"/>
    <w:semiHidden/>
    <w:unhideWhenUsed/>
  </w:style>
  <w:style w:type="numbering" w:styleId="1990" w:customStyle="1">
    <w:name w:val="Нет списка4213"/>
    <w:next w:val="944"/>
    <w:uiPriority w:val="99"/>
    <w:semiHidden/>
    <w:unhideWhenUsed/>
  </w:style>
  <w:style w:type="numbering" w:styleId="1991" w:customStyle="1">
    <w:name w:val="Нет списка5213"/>
    <w:next w:val="944"/>
    <w:uiPriority w:val="99"/>
    <w:semiHidden/>
    <w:unhideWhenUsed/>
  </w:style>
  <w:style w:type="numbering" w:styleId="1992" w:customStyle="1">
    <w:name w:val="Нет списка6213"/>
    <w:next w:val="944"/>
    <w:uiPriority w:val="99"/>
    <w:semiHidden/>
    <w:unhideWhenUsed/>
  </w:style>
  <w:style w:type="numbering" w:styleId="1993" w:customStyle="1">
    <w:name w:val="Нет списка913"/>
    <w:next w:val="944"/>
    <w:uiPriority w:val="99"/>
    <w:semiHidden/>
    <w:unhideWhenUsed/>
  </w:style>
  <w:style w:type="numbering" w:styleId="1994" w:customStyle="1">
    <w:name w:val="Нет списка1313"/>
    <w:next w:val="944"/>
    <w:uiPriority w:val="99"/>
    <w:semiHidden/>
    <w:unhideWhenUsed/>
  </w:style>
  <w:style w:type="numbering" w:styleId="1995" w:customStyle="1">
    <w:name w:val="Нет списка2313"/>
    <w:next w:val="944"/>
    <w:uiPriority w:val="99"/>
    <w:semiHidden/>
    <w:unhideWhenUsed/>
  </w:style>
  <w:style w:type="numbering" w:styleId="1996" w:customStyle="1">
    <w:name w:val="Нет списка3313"/>
    <w:next w:val="944"/>
    <w:uiPriority w:val="99"/>
    <w:semiHidden/>
    <w:unhideWhenUsed/>
  </w:style>
  <w:style w:type="numbering" w:styleId="1997" w:customStyle="1">
    <w:name w:val="Нет списка4313"/>
    <w:next w:val="944"/>
    <w:uiPriority w:val="99"/>
    <w:semiHidden/>
    <w:unhideWhenUsed/>
  </w:style>
  <w:style w:type="numbering" w:styleId="1998" w:customStyle="1">
    <w:name w:val="Нет списка5313"/>
    <w:next w:val="944"/>
    <w:uiPriority w:val="99"/>
    <w:semiHidden/>
    <w:unhideWhenUsed/>
  </w:style>
  <w:style w:type="numbering" w:styleId="1999" w:customStyle="1">
    <w:name w:val="Нет списка6313"/>
    <w:next w:val="944"/>
    <w:uiPriority w:val="99"/>
    <w:semiHidden/>
    <w:unhideWhenUsed/>
  </w:style>
  <w:style w:type="numbering" w:styleId="2000" w:customStyle="1">
    <w:name w:val="Нет списка1013"/>
    <w:next w:val="944"/>
    <w:uiPriority w:val="99"/>
    <w:semiHidden/>
    <w:unhideWhenUsed/>
  </w:style>
  <w:style w:type="numbering" w:styleId="2001" w:customStyle="1">
    <w:name w:val="Нет списка1413"/>
    <w:next w:val="944"/>
    <w:uiPriority w:val="99"/>
    <w:semiHidden/>
    <w:unhideWhenUsed/>
  </w:style>
  <w:style w:type="numbering" w:styleId="2002" w:customStyle="1">
    <w:name w:val="Нет списка2413"/>
    <w:next w:val="944"/>
    <w:uiPriority w:val="99"/>
    <w:semiHidden/>
    <w:unhideWhenUsed/>
  </w:style>
  <w:style w:type="numbering" w:styleId="2003" w:customStyle="1">
    <w:name w:val="Нет списка3413"/>
    <w:next w:val="944"/>
    <w:uiPriority w:val="99"/>
    <w:semiHidden/>
    <w:unhideWhenUsed/>
  </w:style>
  <w:style w:type="numbering" w:styleId="2004" w:customStyle="1">
    <w:name w:val="Нет списка4413"/>
    <w:next w:val="944"/>
    <w:uiPriority w:val="99"/>
    <w:semiHidden/>
    <w:unhideWhenUsed/>
  </w:style>
  <w:style w:type="numbering" w:styleId="2005" w:customStyle="1">
    <w:name w:val="Нет списка5413"/>
    <w:next w:val="944"/>
    <w:uiPriority w:val="99"/>
    <w:semiHidden/>
    <w:unhideWhenUsed/>
  </w:style>
  <w:style w:type="numbering" w:styleId="2006" w:customStyle="1">
    <w:name w:val="Нет списка6413"/>
    <w:next w:val="944"/>
    <w:uiPriority w:val="99"/>
    <w:semiHidden/>
    <w:unhideWhenUsed/>
  </w:style>
  <w:style w:type="numbering" w:styleId="2007" w:customStyle="1">
    <w:name w:val="Нет списка1513"/>
    <w:next w:val="944"/>
    <w:uiPriority w:val="99"/>
    <w:semiHidden/>
    <w:unhideWhenUsed/>
  </w:style>
  <w:style w:type="numbering" w:styleId="2008" w:customStyle="1">
    <w:name w:val="Нет списка1613"/>
    <w:next w:val="944"/>
    <w:uiPriority w:val="99"/>
    <w:semiHidden/>
    <w:unhideWhenUsed/>
  </w:style>
  <w:style w:type="numbering" w:styleId="2009" w:customStyle="1">
    <w:name w:val="Нет списка2513"/>
    <w:next w:val="944"/>
    <w:uiPriority w:val="99"/>
    <w:semiHidden/>
    <w:unhideWhenUsed/>
  </w:style>
  <w:style w:type="numbering" w:styleId="2010" w:customStyle="1">
    <w:name w:val="Нет списка3513"/>
    <w:next w:val="944"/>
    <w:uiPriority w:val="99"/>
    <w:semiHidden/>
    <w:unhideWhenUsed/>
  </w:style>
  <w:style w:type="numbering" w:styleId="2011" w:customStyle="1">
    <w:name w:val="Нет списка4513"/>
    <w:next w:val="944"/>
    <w:uiPriority w:val="99"/>
    <w:semiHidden/>
    <w:unhideWhenUsed/>
  </w:style>
  <w:style w:type="numbering" w:styleId="2012" w:customStyle="1">
    <w:name w:val="Нет списка5513"/>
    <w:next w:val="944"/>
    <w:uiPriority w:val="99"/>
    <w:semiHidden/>
    <w:unhideWhenUsed/>
  </w:style>
  <w:style w:type="numbering" w:styleId="2013" w:customStyle="1">
    <w:name w:val="Нет списка6513"/>
    <w:next w:val="944"/>
    <w:uiPriority w:val="99"/>
    <w:semiHidden/>
    <w:unhideWhenUsed/>
  </w:style>
  <w:style w:type="numbering" w:styleId="2014" w:customStyle="1">
    <w:name w:val="Нет списка1713"/>
    <w:next w:val="944"/>
    <w:uiPriority w:val="99"/>
    <w:semiHidden/>
    <w:unhideWhenUsed/>
  </w:style>
  <w:style w:type="numbering" w:styleId="2015" w:customStyle="1">
    <w:name w:val="Нет списка1813"/>
    <w:next w:val="944"/>
    <w:uiPriority w:val="99"/>
    <w:semiHidden/>
    <w:unhideWhenUsed/>
  </w:style>
  <w:style w:type="numbering" w:styleId="2016" w:customStyle="1">
    <w:name w:val="Нет списка2613"/>
    <w:next w:val="944"/>
    <w:uiPriority w:val="99"/>
    <w:semiHidden/>
    <w:unhideWhenUsed/>
  </w:style>
  <w:style w:type="numbering" w:styleId="2017" w:customStyle="1">
    <w:name w:val="Нет списка3613"/>
    <w:next w:val="944"/>
    <w:uiPriority w:val="99"/>
    <w:semiHidden/>
    <w:unhideWhenUsed/>
  </w:style>
  <w:style w:type="numbering" w:styleId="2018" w:customStyle="1">
    <w:name w:val="Нет списка4613"/>
    <w:next w:val="944"/>
    <w:uiPriority w:val="99"/>
    <w:semiHidden/>
    <w:unhideWhenUsed/>
  </w:style>
  <w:style w:type="numbering" w:styleId="2019" w:customStyle="1">
    <w:name w:val="Нет списка5613"/>
    <w:next w:val="944"/>
    <w:uiPriority w:val="99"/>
    <w:semiHidden/>
    <w:unhideWhenUsed/>
  </w:style>
  <w:style w:type="numbering" w:styleId="2020" w:customStyle="1">
    <w:name w:val="Нет списка6613"/>
    <w:next w:val="944"/>
    <w:uiPriority w:val="99"/>
    <w:semiHidden/>
    <w:unhideWhenUsed/>
  </w:style>
  <w:style w:type="numbering" w:styleId="2021" w:customStyle="1">
    <w:name w:val="Нет списка1123"/>
    <w:next w:val="944"/>
    <w:uiPriority w:val="99"/>
    <w:semiHidden/>
    <w:unhideWhenUsed/>
  </w:style>
  <w:style w:type="numbering" w:styleId="2022" w:customStyle="1">
    <w:name w:val="Нет списка723"/>
    <w:next w:val="944"/>
    <w:uiPriority w:val="99"/>
    <w:semiHidden/>
    <w:unhideWhenUsed/>
  </w:style>
  <w:style w:type="numbering" w:styleId="2023" w:customStyle="1">
    <w:name w:val="Нет списка2123"/>
    <w:next w:val="944"/>
    <w:uiPriority w:val="99"/>
    <w:semiHidden/>
    <w:unhideWhenUsed/>
  </w:style>
  <w:style w:type="numbering" w:styleId="2024" w:customStyle="1">
    <w:name w:val="Нет списка3123"/>
    <w:next w:val="944"/>
    <w:uiPriority w:val="99"/>
    <w:semiHidden/>
    <w:unhideWhenUsed/>
  </w:style>
  <w:style w:type="numbering" w:styleId="2025" w:customStyle="1">
    <w:name w:val="Нет списка4123"/>
    <w:next w:val="944"/>
    <w:uiPriority w:val="99"/>
    <w:semiHidden/>
    <w:unhideWhenUsed/>
  </w:style>
  <w:style w:type="numbering" w:styleId="2026" w:customStyle="1">
    <w:name w:val="Нет списка5123"/>
    <w:next w:val="944"/>
    <w:uiPriority w:val="99"/>
    <w:semiHidden/>
    <w:unhideWhenUsed/>
  </w:style>
  <w:style w:type="numbering" w:styleId="2027" w:customStyle="1">
    <w:name w:val="Нет списка6123"/>
    <w:next w:val="944"/>
    <w:uiPriority w:val="99"/>
    <w:semiHidden/>
    <w:unhideWhenUsed/>
  </w:style>
  <w:style w:type="numbering" w:styleId="2028" w:customStyle="1">
    <w:name w:val="Нет списка118"/>
    <w:next w:val="944"/>
    <w:uiPriority w:val="99"/>
    <w:semiHidden/>
    <w:unhideWhenUsed/>
  </w:style>
  <w:style w:type="numbering" w:styleId="2029" w:customStyle="1">
    <w:name w:val="Нет списка216"/>
    <w:next w:val="944"/>
    <w:uiPriority w:val="99"/>
    <w:semiHidden/>
    <w:unhideWhenUsed/>
  </w:style>
  <w:style w:type="numbering" w:styleId="2030" w:customStyle="1">
    <w:name w:val="Нет списка315"/>
    <w:next w:val="944"/>
    <w:uiPriority w:val="99"/>
    <w:semiHidden/>
    <w:unhideWhenUsed/>
  </w:style>
  <w:style w:type="numbering" w:styleId="2031" w:customStyle="1">
    <w:name w:val="Нет списка415"/>
    <w:next w:val="944"/>
    <w:uiPriority w:val="99"/>
    <w:semiHidden/>
    <w:unhideWhenUsed/>
  </w:style>
  <w:style w:type="numbering" w:styleId="2032" w:customStyle="1">
    <w:name w:val="Нет списка515"/>
    <w:next w:val="944"/>
    <w:uiPriority w:val="99"/>
    <w:semiHidden/>
    <w:unhideWhenUsed/>
  </w:style>
  <w:style w:type="numbering" w:styleId="2033" w:customStyle="1">
    <w:name w:val="Нет списка615"/>
    <w:next w:val="944"/>
    <w:uiPriority w:val="99"/>
    <w:semiHidden/>
    <w:unhideWhenUsed/>
  </w:style>
  <w:style w:type="numbering" w:styleId="2034" w:customStyle="1">
    <w:name w:val="Нет списка75"/>
    <w:next w:val="944"/>
    <w:uiPriority w:val="99"/>
    <w:semiHidden/>
    <w:unhideWhenUsed/>
  </w:style>
  <w:style w:type="numbering" w:styleId="2035" w:customStyle="1">
    <w:name w:val="Нет списка119"/>
    <w:next w:val="944"/>
    <w:uiPriority w:val="99"/>
    <w:semiHidden/>
    <w:unhideWhenUsed/>
  </w:style>
  <w:style w:type="numbering" w:styleId="2036" w:customStyle="1">
    <w:name w:val="Нет списка217"/>
    <w:next w:val="944"/>
    <w:uiPriority w:val="99"/>
    <w:semiHidden/>
    <w:unhideWhenUsed/>
  </w:style>
  <w:style w:type="numbering" w:styleId="2037" w:customStyle="1">
    <w:name w:val="Нет списка316"/>
    <w:next w:val="944"/>
    <w:uiPriority w:val="99"/>
    <w:semiHidden/>
    <w:unhideWhenUsed/>
  </w:style>
  <w:style w:type="numbering" w:styleId="2038" w:customStyle="1">
    <w:name w:val="Нет списка416"/>
    <w:next w:val="944"/>
    <w:uiPriority w:val="99"/>
    <w:semiHidden/>
    <w:unhideWhenUsed/>
  </w:style>
  <w:style w:type="numbering" w:styleId="2039" w:customStyle="1">
    <w:name w:val="Нет списка516"/>
    <w:next w:val="944"/>
    <w:uiPriority w:val="99"/>
    <w:semiHidden/>
    <w:unhideWhenUsed/>
  </w:style>
  <w:style w:type="numbering" w:styleId="2040" w:customStyle="1">
    <w:name w:val="Нет списка616"/>
    <w:next w:val="944"/>
    <w:uiPriority w:val="99"/>
    <w:semiHidden/>
    <w:unhideWhenUsed/>
  </w:style>
  <w:style w:type="numbering" w:styleId="2041" w:customStyle="1">
    <w:name w:val="Нет списка85"/>
    <w:next w:val="944"/>
    <w:uiPriority w:val="99"/>
    <w:semiHidden/>
    <w:unhideWhenUsed/>
  </w:style>
  <w:style w:type="numbering" w:styleId="2042" w:customStyle="1">
    <w:name w:val="Нет списка125"/>
    <w:next w:val="944"/>
    <w:uiPriority w:val="99"/>
    <w:semiHidden/>
    <w:unhideWhenUsed/>
  </w:style>
  <w:style w:type="numbering" w:styleId="2043" w:customStyle="1">
    <w:name w:val="Нет списка225"/>
    <w:next w:val="944"/>
    <w:uiPriority w:val="99"/>
    <w:semiHidden/>
    <w:unhideWhenUsed/>
  </w:style>
  <w:style w:type="numbering" w:styleId="2044" w:customStyle="1">
    <w:name w:val="Нет списка325"/>
    <w:next w:val="944"/>
    <w:uiPriority w:val="99"/>
    <w:semiHidden/>
    <w:unhideWhenUsed/>
  </w:style>
  <w:style w:type="numbering" w:styleId="2045" w:customStyle="1">
    <w:name w:val="Нет списка425"/>
    <w:next w:val="944"/>
    <w:uiPriority w:val="99"/>
    <w:semiHidden/>
    <w:unhideWhenUsed/>
  </w:style>
  <w:style w:type="numbering" w:styleId="2046" w:customStyle="1">
    <w:name w:val="Нет списка525"/>
    <w:next w:val="944"/>
    <w:uiPriority w:val="99"/>
    <w:semiHidden/>
    <w:unhideWhenUsed/>
  </w:style>
  <w:style w:type="numbering" w:styleId="2047" w:customStyle="1">
    <w:name w:val="Нет списка625"/>
    <w:next w:val="944"/>
    <w:uiPriority w:val="99"/>
    <w:semiHidden/>
    <w:unhideWhenUsed/>
  </w:style>
  <w:style w:type="numbering" w:styleId="2048" w:customStyle="1">
    <w:name w:val="Нет списка95"/>
    <w:next w:val="944"/>
    <w:uiPriority w:val="99"/>
    <w:semiHidden/>
    <w:unhideWhenUsed/>
  </w:style>
  <w:style w:type="numbering" w:styleId="2049" w:customStyle="1">
    <w:name w:val="Нет списка135"/>
    <w:next w:val="944"/>
    <w:uiPriority w:val="99"/>
    <w:semiHidden/>
    <w:unhideWhenUsed/>
  </w:style>
  <w:style w:type="numbering" w:styleId="2050" w:customStyle="1">
    <w:name w:val="Нет списка235"/>
    <w:next w:val="944"/>
    <w:uiPriority w:val="99"/>
    <w:semiHidden/>
    <w:unhideWhenUsed/>
  </w:style>
  <w:style w:type="numbering" w:styleId="2051" w:customStyle="1">
    <w:name w:val="Нет списка335"/>
    <w:next w:val="944"/>
    <w:uiPriority w:val="99"/>
    <w:semiHidden/>
    <w:unhideWhenUsed/>
  </w:style>
  <w:style w:type="numbering" w:styleId="2052" w:customStyle="1">
    <w:name w:val="Нет списка435"/>
    <w:next w:val="944"/>
    <w:uiPriority w:val="99"/>
    <w:semiHidden/>
    <w:unhideWhenUsed/>
  </w:style>
  <w:style w:type="numbering" w:styleId="2053" w:customStyle="1">
    <w:name w:val="Нет списка535"/>
    <w:next w:val="944"/>
    <w:uiPriority w:val="99"/>
    <w:semiHidden/>
    <w:unhideWhenUsed/>
  </w:style>
  <w:style w:type="numbering" w:styleId="2054" w:customStyle="1">
    <w:name w:val="Нет списка635"/>
    <w:next w:val="944"/>
    <w:uiPriority w:val="99"/>
    <w:semiHidden/>
    <w:unhideWhenUsed/>
  </w:style>
  <w:style w:type="numbering" w:styleId="2055" w:customStyle="1">
    <w:name w:val="Нет списка105"/>
    <w:next w:val="944"/>
    <w:uiPriority w:val="99"/>
    <w:semiHidden/>
    <w:unhideWhenUsed/>
  </w:style>
  <w:style w:type="numbering" w:styleId="2056" w:customStyle="1">
    <w:name w:val="Нет списка145"/>
    <w:next w:val="944"/>
    <w:uiPriority w:val="99"/>
    <w:semiHidden/>
    <w:unhideWhenUsed/>
  </w:style>
  <w:style w:type="numbering" w:styleId="2057" w:customStyle="1">
    <w:name w:val="Нет списка245"/>
    <w:next w:val="944"/>
    <w:uiPriority w:val="99"/>
    <w:semiHidden/>
    <w:unhideWhenUsed/>
  </w:style>
  <w:style w:type="numbering" w:styleId="2058" w:customStyle="1">
    <w:name w:val="Нет списка345"/>
    <w:next w:val="944"/>
    <w:uiPriority w:val="99"/>
    <w:semiHidden/>
    <w:unhideWhenUsed/>
  </w:style>
  <w:style w:type="numbering" w:styleId="2059" w:customStyle="1">
    <w:name w:val="Нет списка445"/>
    <w:next w:val="944"/>
    <w:uiPriority w:val="99"/>
    <w:semiHidden/>
    <w:unhideWhenUsed/>
  </w:style>
  <w:style w:type="numbering" w:styleId="2060" w:customStyle="1">
    <w:name w:val="Нет списка545"/>
    <w:next w:val="944"/>
    <w:uiPriority w:val="99"/>
    <w:semiHidden/>
    <w:unhideWhenUsed/>
  </w:style>
  <w:style w:type="numbering" w:styleId="2061" w:customStyle="1">
    <w:name w:val="Нет списка645"/>
    <w:next w:val="944"/>
    <w:uiPriority w:val="99"/>
    <w:semiHidden/>
    <w:unhideWhenUsed/>
  </w:style>
  <w:style w:type="numbering" w:styleId="2062" w:customStyle="1">
    <w:name w:val="Нет списка155"/>
    <w:next w:val="944"/>
    <w:uiPriority w:val="99"/>
    <w:semiHidden/>
    <w:unhideWhenUsed/>
  </w:style>
  <w:style w:type="numbering" w:styleId="2063" w:customStyle="1">
    <w:name w:val="Нет списка165"/>
    <w:next w:val="944"/>
    <w:uiPriority w:val="99"/>
    <w:semiHidden/>
    <w:unhideWhenUsed/>
  </w:style>
  <w:style w:type="numbering" w:styleId="2064" w:customStyle="1">
    <w:name w:val="Нет списка255"/>
    <w:next w:val="944"/>
    <w:uiPriority w:val="99"/>
    <w:semiHidden/>
    <w:unhideWhenUsed/>
  </w:style>
  <w:style w:type="numbering" w:styleId="2065" w:customStyle="1">
    <w:name w:val="Нет списка355"/>
    <w:next w:val="944"/>
    <w:uiPriority w:val="99"/>
    <w:semiHidden/>
    <w:unhideWhenUsed/>
  </w:style>
  <w:style w:type="numbering" w:styleId="2066" w:customStyle="1">
    <w:name w:val="Нет списка455"/>
    <w:next w:val="944"/>
    <w:uiPriority w:val="99"/>
    <w:semiHidden/>
    <w:unhideWhenUsed/>
  </w:style>
  <w:style w:type="numbering" w:styleId="2067" w:customStyle="1">
    <w:name w:val="Нет списка555"/>
    <w:next w:val="944"/>
    <w:uiPriority w:val="99"/>
    <w:semiHidden/>
    <w:unhideWhenUsed/>
  </w:style>
  <w:style w:type="numbering" w:styleId="2068" w:customStyle="1">
    <w:name w:val="Нет списка655"/>
    <w:next w:val="944"/>
    <w:uiPriority w:val="99"/>
    <w:semiHidden/>
    <w:unhideWhenUsed/>
  </w:style>
  <w:style w:type="numbering" w:styleId="2069" w:customStyle="1">
    <w:name w:val="Нет списка175"/>
    <w:next w:val="944"/>
    <w:uiPriority w:val="99"/>
    <w:semiHidden/>
    <w:unhideWhenUsed/>
  </w:style>
  <w:style w:type="numbering" w:styleId="2070" w:customStyle="1">
    <w:name w:val="Нет списка185"/>
    <w:next w:val="944"/>
    <w:uiPriority w:val="99"/>
    <w:semiHidden/>
    <w:unhideWhenUsed/>
  </w:style>
  <w:style w:type="numbering" w:styleId="2071" w:customStyle="1">
    <w:name w:val="Нет списка265"/>
    <w:next w:val="944"/>
    <w:uiPriority w:val="99"/>
    <w:semiHidden/>
    <w:unhideWhenUsed/>
  </w:style>
  <w:style w:type="numbering" w:styleId="2072" w:customStyle="1">
    <w:name w:val="Нет списка365"/>
    <w:next w:val="944"/>
    <w:uiPriority w:val="99"/>
    <w:semiHidden/>
    <w:unhideWhenUsed/>
  </w:style>
  <w:style w:type="numbering" w:styleId="2073" w:customStyle="1">
    <w:name w:val="Нет списка465"/>
    <w:next w:val="944"/>
    <w:uiPriority w:val="99"/>
    <w:semiHidden/>
    <w:unhideWhenUsed/>
  </w:style>
  <w:style w:type="numbering" w:styleId="2074" w:customStyle="1">
    <w:name w:val="Нет списка565"/>
    <w:next w:val="944"/>
    <w:uiPriority w:val="99"/>
    <w:semiHidden/>
    <w:unhideWhenUsed/>
  </w:style>
  <w:style w:type="numbering" w:styleId="2075" w:customStyle="1">
    <w:name w:val="Нет списка665"/>
    <w:next w:val="944"/>
    <w:uiPriority w:val="99"/>
    <w:semiHidden/>
    <w:unhideWhenUsed/>
  </w:style>
  <w:style w:type="numbering" w:styleId="2076" w:customStyle="1">
    <w:name w:val="Нет списка194"/>
    <w:next w:val="944"/>
    <w:uiPriority w:val="99"/>
    <w:semiHidden/>
    <w:unhideWhenUsed/>
  </w:style>
  <w:style w:type="numbering" w:styleId="2077" w:customStyle="1">
    <w:name w:val="Нет списка1104"/>
    <w:next w:val="944"/>
    <w:uiPriority w:val="99"/>
    <w:semiHidden/>
    <w:unhideWhenUsed/>
  </w:style>
  <w:style w:type="numbering" w:styleId="2078" w:customStyle="1">
    <w:name w:val="Нет списка274"/>
    <w:next w:val="944"/>
    <w:uiPriority w:val="99"/>
    <w:semiHidden/>
    <w:unhideWhenUsed/>
  </w:style>
  <w:style w:type="numbering" w:styleId="2079" w:customStyle="1">
    <w:name w:val="Нет списка374"/>
    <w:next w:val="944"/>
    <w:uiPriority w:val="99"/>
    <w:semiHidden/>
    <w:unhideWhenUsed/>
  </w:style>
  <w:style w:type="numbering" w:styleId="2080" w:customStyle="1">
    <w:name w:val="Нет списка474"/>
    <w:next w:val="944"/>
    <w:uiPriority w:val="99"/>
    <w:semiHidden/>
    <w:unhideWhenUsed/>
  </w:style>
  <w:style w:type="numbering" w:styleId="2081" w:customStyle="1">
    <w:name w:val="Нет списка574"/>
    <w:next w:val="944"/>
    <w:uiPriority w:val="99"/>
    <w:semiHidden/>
    <w:unhideWhenUsed/>
  </w:style>
  <w:style w:type="numbering" w:styleId="2082" w:customStyle="1">
    <w:name w:val="Нет списка674"/>
    <w:next w:val="944"/>
    <w:uiPriority w:val="99"/>
    <w:semiHidden/>
    <w:unhideWhenUsed/>
  </w:style>
  <w:style w:type="table" w:styleId="2083" w:customStyle="1">
    <w:name w:val="Сетка таблицы154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084" w:customStyle="1">
    <w:name w:val="Нет списка715"/>
    <w:next w:val="944"/>
    <w:uiPriority w:val="99"/>
    <w:semiHidden/>
    <w:unhideWhenUsed/>
  </w:style>
  <w:style w:type="numbering" w:styleId="2085" w:customStyle="1">
    <w:name w:val="Нет списка1115"/>
    <w:next w:val="944"/>
    <w:uiPriority w:val="99"/>
    <w:semiHidden/>
    <w:unhideWhenUsed/>
  </w:style>
  <w:style w:type="numbering" w:styleId="2086" w:customStyle="1">
    <w:name w:val="Нет списка2115"/>
    <w:next w:val="944"/>
    <w:uiPriority w:val="99"/>
    <w:semiHidden/>
    <w:unhideWhenUsed/>
  </w:style>
  <w:style w:type="numbering" w:styleId="2087" w:customStyle="1">
    <w:name w:val="Нет списка3115"/>
    <w:next w:val="944"/>
    <w:uiPriority w:val="99"/>
    <w:semiHidden/>
    <w:unhideWhenUsed/>
  </w:style>
  <w:style w:type="numbering" w:styleId="2088" w:customStyle="1">
    <w:name w:val="Нет списка4115"/>
    <w:next w:val="944"/>
    <w:uiPriority w:val="99"/>
    <w:semiHidden/>
    <w:unhideWhenUsed/>
  </w:style>
  <w:style w:type="numbering" w:styleId="2089" w:customStyle="1">
    <w:name w:val="Нет списка5115"/>
    <w:next w:val="944"/>
    <w:uiPriority w:val="99"/>
    <w:semiHidden/>
    <w:unhideWhenUsed/>
  </w:style>
  <w:style w:type="numbering" w:styleId="2090" w:customStyle="1">
    <w:name w:val="Нет списка6115"/>
    <w:next w:val="944"/>
    <w:uiPriority w:val="99"/>
    <w:semiHidden/>
    <w:unhideWhenUsed/>
  </w:style>
  <w:style w:type="numbering" w:styleId="2091" w:customStyle="1">
    <w:name w:val="Нет списка7114"/>
    <w:next w:val="944"/>
    <w:uiPriority w:val="99"/>
    <w:semiHidden/>
    <w:unhideWhenUsed/>
  </w:style>
  <w:style w:type="numbering" w:styleId="2092" w:customStyle="1">
    <w:name w:val="Нет списка11114"/>
    <w:next w:val="944"/>
    <w:uiPriority w:val="99"/>
    <w:semiHidden/>
    <w:unhideWhenUsed/>
  </w:style>
  <w:style w:type="numbering" w:styleId="2093" w:customStyle="1">
    <w:name w:val="Нет списка21114"/>
    <w:next w:val="944"/>
    <w:uiPriority w:val="99"/>
    <w:semiHidden/>
    <w:unhideWhenUsed/>
  </w:style>
  <w:style w:type="numbering" w:styleId="2094" w:customStyle="1">
    <w:name w:val="Нет списка31114"/>
    <w:next w:val="944"/>
    <w:uiPriority w:val="99"/>
    <w:semiHidden/>
    <w:unhideWhenUsed/>
  </w:style>
  <w:style w:type="numbering" w:styleId="2095" w:customStyle="1">
    <w:name w:val="Нет списка41114"/>
    <w:next w:val="944"/>
    <w:uiPriority w:val="99"/>
    <w:semiHidden/>
    <w:unhideWhenUsed/>
  </w:style>
  <w:style w:type="numbering" w:styleId="2096" w:customStyle="1">
    <w:name w:val="Нет списка51114"/>
    <w:next w:val="944"/>
    <w:uiPriority w:val="99"/>
    <w:semiHidden/>
    <w:unhideWhenUsed/>
  </w:style>
  <w:style w:type="numbering" w:styleId="2097" w:customStyle="1">
    <w:name w:val="Нет списка61114"/>
    <w:next w:val="944"/>
    <w:uiPriority w:val="99"/>
    <w:semiHidden/>
    <w:unhideWhenUsed/>
  </w:style>
  <w:style w:type="table" w:styleId="2098" w:customStyle="1">
    <w:name w:val="Сетка таблицы1115"/>
    <w:basedOn w:val="943"/>
    <w:next w:val="961"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numbering" w:styleId="2099" w:customStyle="1">
    <w:name w:val="Нет списка814"/>
    <w:next w:val="944"/>
    <w:uiPriority w:val="99"/>
    <w:semiHidden/>
    <w:unhideWhenUsed/>
  </w:style>
  <w:style w:type="numbering" w:styleId="2100" w:customStyle="1">
    <w:name w:val="Нет списка1214"/>
    <w:next w:val="944"/>
    <w:uiPriority w:val="99"/>
    <w:semiHidden/>
    <w:unhideWhenUsed/>
  </w:style>
  <w:style w:type="numbering" w:styleId="2101" w:customStyle="1">
    <w:name w:val="Нет списка2214"/>
    <w:next w:val="944"/>
    <w:uiPriority w:val="99"/>
    <w:semiHidden/>
    <w:unhideWhenUsed/>
  </w:style>
  <w:style w:type="numbering" w:styleId="2102" w:customStyle="1">
    <w:name w:val="Нет списка3214"/>
    <w:next w:val="944"/>
    <w:uiPriority w:val="99"/>
    <w:semiHidden/>
    <w:unhideWhenUsed/>
  </w:style>
  <w:style w:type="numbering" w:styleId="2103" w:customStyle="1">
    <w:name w:val="Нет списка4214"/>
    <w:next w:val="944"/>
    <w:uiPriority w:val="99"/>
    <w:semiHidden/>
    <w:unhideWhenUsed/>
  </w:style>
  <w:style w:type="numbering" w:styleId="2104" w:customStyle="1">
    <w:name w:val="Нет списка5214"/>
    <w:next w:val="944"/>
    <w:uiPriority w:val="99"/>
    <w:semiHidden/>
    <w:unhideWhenUsed/>
  </w:style>
  <w:style w:type="numbering" w:styleId="2105" w:customStyle="1">
    <w:name w:val="Нет списка6214"/>
    <w:next w:val="944"/>
    <w:uiPriority w:val="99"/>
    <w:semiHidden/>
    <w:unhideWhenUsed/>
  </w:style>
  <w:style w:type="numbering" w:styleId="2106" w:customStyle="1">
    <w:name w:val="Нет списка914"/>
    <w:next w:val="944"/>
    <w:uiPriority w:val="99"/>
    <w:semiHidden/>
    <w:unhideWhenUsed/>
  </w:style>
  <w:style w:type="numbering" w:styleId="2107" w:customStyle="1">
    <w:name w:val="Нет списка1314"/>
    <w:next w:val="944"/>
    <w:uiPriority w:val="99"/>
    <w:semiHidden/>
    <w:unhideWhenUsed/>
  </w:style>
  <w:style w:type="numbering" w:styleId="2108" w:customStyle="1">
    <w:name w:val="Нет списка2314"/>
    <w:next w:val="944"/>
    <w:uiPriority w:val="99"/>
    <w:semiHidden/>
    <w:unhideWhenUsed/>
  </w:style>
  <w:style w:type="numbering" w:styleId="2109" w:customStyle="1">
    <w:name w:val="Нет списка3314"/>
    <w:next w:val="944"/>
    <w:uiPriority w:val="99"/>
    <w:semiHidden/>
    <w:unhideWhenUsed/>
  </w:style>
  <w:style w:type="numbering" w:styleId="2110" w:customStyle="1">
    <w:name w:val="Нет списка4314"/>
    <w:next w:val="944"/>
    <w:uiPriority w:val="99"/>
    <w:semiHidden/>
    <w:unhideWhenUsed/>
  </w:style>
  <w:style w:type="numbering" w:styleId="2111" w:customStyle="1">
    <w:name w:val="Нет списка5314"/>
    <w:next w:val="944"/>
    <w:uiPriority w:val="99"/>
    <w:semiHidden/>
    <w:unhideWhenUsed/>
  </w:style>
  <w:style w:type="numbering" w:styleId="2112" w:customStyle="1">
    <w:name w:val="Нет списка6314"/>
    <w:next w:val="944"/>
    <w:uiPriority w:val="99"/>
    <w:semiHidden/>
    <w:unhideWhenUsed/>
  </w:style>
  <w:style w:type="table" w:styleId="2113" w:customStyle="1">
    <w:name w:val="Сетка таблицы11114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114" w:customStyle="1">
    <w:name w:val="Нет списка1014"/>
    <w:next w:val="944"/>
    <w:uiPriority w:val="99"/>
    <w:semiHidden/>
    <w:unhideWhenUsed/>
  </w:style>
  <w:style w:type="numbering" w:styleId="2115" w:customStyle="1">
    <w:name w:val="Нет списка1414"/>
    <w:next w:val="944"/>
    <w:uiPriority w:val="99"/>
    <w:semiHidden/>
    <w:unhideWhenUsed/>
  </w:style>
  <w:style w:type="numbering" w:styleId="2116" w:customStyle="1">
    <w:name w:val="Нет списка2414"/>
    <w:next w:val="944"/>
    <w:uiPriority w:val="99"/>
    <w:semiHidden/>
    <w:unhideWhenUsed/>
  </w:style>
  <w:style w:type="numbering" w:styleId="2117" w:customStyle="1">
    <w:name w:val="Нет списка3414"/>
    <w:next w:val="944"/>
    <w:uiPriority w:val="99"/>
    <w:semiHidden/>
    <w:unhideWhenUsed/>
  </w:style>
  <w:style w:type="numbering" w:styleId="2118" w:customStyle="1">
    <w:name w:val="Нет списка4414"/>
    <w:next w:val="944"/>
    <w:uiPriority w:val="99"/>
    <w:semiHidden/>
    <w:unhideWhenUsed/>
  </w:style>
  <w:style w:type="numbering" w:styleId="2119" w:customStyle="1">
    <w:name w:val="Нет списка5414"/>
    <w:next w:val="944"/>
    <w:uiPriority w:val="99"/>
    <w:semiHidden/>
    <w:unhideWhenUsed/>
  </w:style>
  <w:style w:type="numbering" w:styleId="2120" w:customStyle="1">
    <w:name w:val="Нет списка6414"/>
    <w:next w:val="944"/>
    <w:uiPriority w:val="99"/>
    <w:semiHidden/>
    <w:unhideWhenUsed/>
  </w:style>
  <w:style w:type="numbering" w:styleId="2121" w:customStyle="1">
    <w:name w:val="Нет списка1514"/>
    <w:next w:val="944"/>
    <w:uiPriority w:val="99"/>
    <w:semiHidden/>
    <w:unhideWhenUsed/>
  </w:style>
  <w:style w:type="numbering" w:styleId="2122" w:customStyle="1">
    <w:name w:val="Нет списка1614"/>
    <w:next w:val="944"/>
    <w:uiPriority w:val="99"/>
    <w:semiHidden/>
    <w:unhideWhenUsed/>
  </w:style>
  <w:style w:type="numbering" w:styleId="2123" w:customStyle="1">
    <w:name w:val="Нет списка2514"/>
    <w:next w:val="944"/>
    <w:uiPriority w:val="99"/>
    <w:semiHidden/>
    <w:unhideWhenUsed/>
  </w:style>
  <w:style w:type="numbering" w:styleId="2124" w:customStyle="1">
    <w:name w:val="Нет списка3514"/>
    <w:next w:val="944"/>
    <w:uiPriority w:val="99"/>
    <w:semiHidden/>
    <w:unhideWhenUsed/>
  </w:style>
  <w:style w:type="numbering" w:styleId="2125" w:customStyle="1">
    <w:name w:val="Нет списка4514"/>
    <w:next w:val="944"/>
    <w:uiPriority w:val="99"/>
    <w:semiHidden/>
    <w:unhideWhenUsed/>
  </w:style>
  <w:style w:type="numbering" w:styleId="2126" w:customStyle="1">
    <w:name w:val="Нет списка5514"/>
    <w:next w:val="944"/>
    <w:uiPriority w:val="99"/>
    <w:semiHidden/>
    <w:unhideWhenUsed/>
  </w:style>
  <w:style w:type="numbering" w:styleId="2127" w:customStyle="1">
    <w:name w:val="Нет списка6514"/>
    <w:next w:val="944"/>
    <w:uiPriority w:val="99"/>
    <w:semiHidden/>
    <w:unhideWhenUsed/>
  </w:style>
  <w:style w:type="numbering" w:styleId="2128" w:customStyle="1">
    <w:name w:val="Нет списка1714"/>
    <w:next w:val="944"/>
    <w:uiPriority w:val="99"/>
    <w:semiHidden/>
    <w:unhideWhenUsed/>
  </w:style>
  <w:style w:type="numbering" w:styleId="2129" w:customStyle="1">
    <w:name w:val="Нет списка1814"/>
    <w:next w:val="944"/>
    <w:uiPriority w:val="99"/>
    <w:semiHidden/>
    <w:unhideWhenUsed/>
  </w:style>
  <w:style w:type="numbering" w:styleId="2130" w:customStyle="1">
    <w:name w:val="Нет списка2614"/>
    <w:next w:val="944"/>
    <w:uiPriority w:val="99"/>
    <w:semiHidden/>
    <w:unhideWhenUsed/>
  </w:style>
  <w:style w:type="numbering" w:styleId="2131" w:customStyle="1">
    <w:name w:val="Нет списка3614"/>
    <w:next w:val="944"/>
    <w:uiPriority w:val="99"/>
    <w:semiHidden/>
    <w:unhideWhenUsed/>
  </w:style>
  <w:style w:type="numbering" w:styleId="2132" w:customStyle="1">
    <w:name w:val="Нет списка4614"/>
    <w:next w:val="944"/>
    <w:uiPriority w:val="99"/>
    <w:semiHidden/>
    <w:unhideWhenUsed/>
  </w:style>
  <w:style w:type="numbering" w:styleId="2133" w:customStyle="1">
    <w:name w:val="Нет списка5614"/>
    <w:next w:val="944"/>
    <w:uiPriority w:val="99"/>
    <w:semiHidden/>
    <w:unhideWhenUsed/>
  </w:style>
  <w:style w:type="numbering" w:styleId="2134" w:customStyle="1">
    <w:name w:val="Нет списка6614"/>
    <w:next w:val="944"/>
    <w:uiPriority w:val="99"/>
    <w:semiHidden/>
    <w:unhideWhenUsed/>
  </w:style>
  <w:style w:type="numbering" w:styleId="2135" w:customStyle="1">
    <w:name w:val="Нет списка203"/>
    <w:next w:val="944"/>
    <w:uiPriority w:val="99"/>
    <w:semiHidden/>
    <w:unhideWhenUsed/>
  </w:style>
  <w:style w:type="numbering" w:styleId="2136" w:customStyle="1">
    <w:name w:val="Нет списка1124"/>
    <w:next w:val="944"/>
    <w:uiPriority w:val="99"/>
    <w:semiHidden/>
    <w:unhideWhenUsed/>
  </w:style>
  <w:style w:type="numbering" w:styleId="2137" w:customStyle="1">
    <w:name w:val="Нет списка283"/>
    <w:next w:val="944"/>
    <w:uiPriority w:val="99"/>
    <w:semiHidden/>
    <w:unhideWhenUsed/>
  </w:style>
  <w:style w:type="numbering" w:styleId="2138" w:customStyle="1">
    <w:name w:val="Нет списка383"/>
    <w:next w:val="944"/>
    <w:uiPriority w:val="99"/>
    <w:semiHidden/>
    <w:unhideWhenUsed/>
  </w:style>
  <w:style w:type="numbering" w:styleId="2139" w:customStyle="1">
    <w:name w:val="Нет списка483"/>
    <w:next w:val="944"/>
    <w:uiPriority w:val="99"/>
    <w:semiHidden/>
    <w:unhideWhenUsed/>
  </w:style>
  <w:style w:type="numbering" w:styleId="2140" w:customStyle="1">
    <w:name w:val="Нет списка583"/>
    <w:next w:val="944"/>
    <w:uiPriority w:val="99"/>
    <w:semiHidden/>
    <w:unhideWhenUsed/>
  </w:style>
  <w:style w:type="numbering" w:styleId="2141" w:customStyle="1">
    <w:name w:val="Нет списка683"/>
    <w:next w:val="944"/>
    <w:uiPriority w:val="99"/>
    <w:semiHidden/>
    <w:unhideWhenUsed/>
  </w:style>
  <w:style w:type="numbering" w:styleId="2142" w:customStyle="1">
    <w:name w:val="Нет списка724"/>
    <w:next w:val="944"/>
    <w:uiPriority w:val="99"/>
    <w:semiHidden/>
    <w:unhideWhenUsed/>
  </w:style>
  <w:style w:type="numbering" w:styleId="2143" w:customStyle="1">
    <w:name w:val="Нет списка1133"/>
    <w:next w:val="944"/>
    <w:uiPriority w:val="99"/>
    <w:semiHidden/>
    <w:unhideWhenUsed/>
  </w:style>
  <w:style w:type="numbering" w:styleId="2144" w:customStyle="1">
    <w:name w:val="Нет списка2124"/>
    <w:next w:val="944"/>
    <w:uiPriority w:val="99"/>
    <w:semiHidden/>
    <w:unhideWhenUsed/>
  </w:style>
  <w:style w:type="numbering" w:styleId="2145" w:customStyle="1">
    <w:name w:val="Нет списка3124"/>
    <w:next w:val="944"/>
    <w:uiPriority w:val="99"/>
    <w:semiHidden/>
    <w:unhideWhenUsed/>
  </w:style>
  <w:style w:type="numbering" w:styleId="2146" w:customStyle="1">
    <w:name w:val="Нет списка4124"/>
    <w:next w:val="944"/>
    <w:uiPriority w:val="99"/>
    <w:semiHidden/>
    <w:unhideWhenUsed/>
  </w:style>
  <w:style w:type="numbering" w:styleId="2147" w:customStyle="1">
    <w:name w:val="Нет списка5124"/>
    <w:next w:val="944"/>
    <w:uiPriority w:val="99"/>
    <w:semiHidden/>
    <w:unhideWhenUsed/>
  </w:style>
  <w:style w:type="numbering" w:styleId="2148" w:customStyle="1">
    <w:name w:val="Нет списка6124"/>
    <w:next w:val="944"/>
    <w:uiPriority w:val="99"/>
    <w:semiHidden/>
    <w:unhideWhenUsed/>
  </w:style>
  <w:style w:type="numbering" w:styleId="2149" w:customStyle="1">
    <w:name w:val="Нет списка7123"/>
    <w:next w:val="944"/>
    <w:uiPriority w:val="99"/>
    <w:semiHidden/>
    <w:unhideWhenUsed/>
  </w:style>
  <w:style w:type="numbering" w:styleId="2150" w:customStyle="1">
    <w:name w:val="Нет списка11123"/>
    <w:next w:val="944"/>
    <w:uiPriority w:val="99"/>
    <w:semiHidden/>
    <w:unhideWhenUsed/>
  </w:style>
  <w:style w:type="numbering" w:styleId="2151" w:customStyle="1">
    <w:name w:val="Нет списка21123"/>
    <w:next w:val="944"/>
    <w:uiPriority w:val="99"/>
    <w:semiHidden/>
    <w:unhideWhenUsed/>
  </w:style>
  <w:style w:type="numbering" w:styleId="2152" w:customStyle="1">
    <w:name w:val="Нет списка31123"/>
    <w:next w:val="944"/>
    <w:uiPriority w:val="99"/>
    <w:semiHidden/>
    <w:unhideWhenUsed/>
  </w:style>
  <w:style w:type="numbering" w:styleId="2153" w:customStyle="1">
    <w:name w:val="Нет списка41123"/>
    <w:next w:val="944"/>
    <w:uiPriority w:val="99"/>
    <w:semiHidden/>
    <w:unhideWhenUsed/>
  </w:style>
  <w:style w:type="numbering" w:styleId="2154" w:customStyle="1">
    <w:name w:val="Нет списка51123"/>
    <w:next w:val="944"/>
    <w:uiPriority w:val="99"/>
    <w:semiHidden/>
    <w:unhideWhenUsed/>
  </w:style>
  <w:style w:type="numbering" w:styleId="2155" w:customStyle="1">
    <w:name w:val="Нет списка61123"/>
    <w:next w:val="944"/>
    <w:uiPriority w:val="99"/>
    <w:semiHidden/>
    <w:unhideWhenUsed/>
  </w:style>
  <w:style w:type="table" w:styleId="2156" w:customStyle="1">
    <w:name w:val="Сетка таблицы1124"/>
    <w:basedOn w:val="943"/>
    <w:next w:val="961"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numbering" w:styleId="2157" w:customStyle="1">
    <w:name w:val="Нет списка823"/>
    <w:next w:val="944"/>
    <w:uiPriority w:val="99"/>
    <w:semiHidden/>
    <w:unhideWhenUsed/>
  </w:style>
  <w:style w:type="numbering" w:styleId="2158" w:customStyle="1">
    <w:name w:val="Нет списка1223"/>
    <w:next w:val="944"/>
    <w:uiPriority w:val="99"/>
    <w:semiHidden/>
    <w:unhideWhenUsed/>
  </w:style>
  <w:style w:type="numbering" w:styleId="2159" w:customStyle="1">
    <w:name w:val="Нет списка2223"/>
    <w:next w:val="944"/>
    <w:uiPriority w:val="99"/>
    <w:semiHidden/>
    <w:unhideWhenUsed/>
  </w:style>
  <w:style w:type="numbering" w:styleId="2160" w:customStyle="1">
    <w:name w:val="Нет списка3223"/>
    <w:next w:val="944"/>
    <w:uiPriority w:val="99"/>
    <w:semiHidden/>
    <w:unhideWhenUsed/>
  </w:style>
  <w:style w:type="numbering" w:styleId="2161" w:customStyle="1">
    <w:name w:val="Нет списка4223"/>
    <w:next w:val="944"/>
    <w:uiPriority w:val="99"/>
    <w:semiHidden/>
    <w:unhideWhenUsed/>
  </w:style>
  <w:style w:type="numbering" w:styleId="2162" w:customStyle="1">
    <w:name w:val="Нет списка5223"/>
    <w:next w:val="944"/>
    <w:uiPriority w:val="99"/>
    <w:semiHidden/>
    <w:unhideWhenUsed/>
  </w:style>
  <w:style w:type="numbering" w:styleId="2163" w:customStyle="1">
    <w:name w:val="Нет списка6223"/>
    <w:next w:val="944"/>
    <w:uiPriority w:val="99"/>
    <w:semiHidden/>
    <w:unhideWhenUsed/>
  </w:style>
  <w:style w:type="numbering" w:styleId="2164" w:customStyle="1">
    <w:name w:val="Нет списка923"/>
    <w:next w:val="944"/>
    <w:uiPriority w:val="99"/>
    <w:semiHidden/>
    <w:unhideWhenUsed/>
  </w:style>
  <w:style w:type="numbering" w:styleId="2165" w:customStyle="1">
    <w:name w:val="Нет списка1323"/>
    <w:next w:val="944"/>
    <w:uiPriority w:val="99"/>
    <w:semiHidden/>
    <w:unhideWhenUsed/>
  </w:style>
  <w:style w:type="numbering" w:styleId="2166" w:customStyle="1">
    <w:name w:val="Нет списка2323"/>
    <w:next w:val="944"/>
    <w:uiPriority w:val="99"/>
    <w:semiHidden/>
    <w:unhideWhenUsed/>
  </w:style>
  <w:style w:type="numbering" w:styleId="2167" w:customStyle="1">
    <w:name w:val="Нет списка3323"/>
    <w:next w:val="944"/>
    <w:uiPriority w:val="99"/>
    <w:semiHidden/>
    <w:unhideWhenUsed/>
  </w:style>
  <w:style w:type="numbering" w:styleId="2168" w:customStyle="1">
    <w:name w:val="Нет списка4323"/>
    <w:next w:val="944"/>
    <w:uiPriority w:val="99"/>
    <w:semiHidden/>
    <w:unhideWhenUsed/>
  </w:style>
  <w:style w:type="numbering" w:styleId="2169" w:customStyle="1">
    <w:name w:val="Нет списка5323"/>
    <w:next w:val="944"/>
    <w:uiPriority w:val="99"/>
    <w:semiHidden/>
    <w:unhideWhenUsed/>
  </w:style>
  <w:style w:type="numbering" w:styleId="2170" w:customStyle="1">
    <w:name w:val="Нет списка6323"/>
    <w:next w:val="944"/>
    <w:uiPriority w:val="99"/>
    <w:semiHidden/>
    <w:unhideWhenUsed/>
  </w:style>
  <w:style w:type="numbering" w:styleId="2171" w:customStyle="1">
    <w:name w:val="Нет списка1023"/>
    <w:next w:val="944"/>
    <w:uiPriority w:val="99"/>
    <w:semiHidden/>
    <w:unhideWhenUsed/>
  </w:style>
  <w:style w:type="numbering" w:styleId="2172" w:customStyle="1">
    <w:name w:val="Нет списка1423"/>
    <w:next w:val="944"/>
    <w:uiPriority w:val="99"/>
    <w:semiHidden/>
    <w:unhideWhenUsed/>
  </w:style>
  <w:style w:type="numbering" w:styleId="2173" w:customStyle="1">
    <w:name w:val="Нет списка2423"/>
    <w:next w:val="944"/>
    <w:uiPriority w:val="99"/>
    <w:semiHidden/>
    <w:unhideWhenUsed/>
  </w:style>
  <w:style w:type="numbering" w:styleId="2174" w:customStyle="1">
    <w:name w:val="Нет списка3423"/>
    <w:next w:val="944"/>
    <w:uiPriority w:val="99"/>
    <w:semiHidden/>
    <w:unhideWhenUsed/>
  </w:style>
  <w:style w:type="numbering" w:styleId="2175" w:customStyle="1">
    <w:name w:val="Нет списка4423"/>
    <w:next w:val="944"/>
    <w:uiPriority w:val="99"/>
    <w:semiHidden/>
    <w:unhideWhenUsed/>
  </w:style>
  <w:style w:type="numbering" w:styleId="2176" w:customStyle="1">
    <w:name w:val="Нет списка5423"/>
    <w:next w:val="944"/>
    <w:uiPriority w:val="99"/>
    <w:semiHidden/>
    <w:unhideWhenUsed/>
  </w:style>
  <w:style w:type="numbering" w:styleId="2177" w:customStyle="1">
    <w:name w:val="Нет списка6423"/>
    <w:next w:val="944"/>
    <w:uiPriority w:val="99"/>
    <w:semiHidden/>
    <w:unhideWhenUsed/>
  </w:style>
  <w:style w:type="numbering" w:styleId="2178" w:customStyle="1">
    <w:name w:val="Нет списка1523"/>
    <w:next w:val="944"/>
    <w:uiPriority w:val="99"/>
    <w:semiHidden/>
    <w:unhideWhenUsed/>
  </w:style>
  <w:style w:type="numbering" w:styleId="2179" w:customStyle="1">
    <w:name w:val="Нет списка1623"/>
    <w:next w:val="944"/>
    <w:uiPriority w:val="99"/>
    <w:semiHidden/>
    <w:unhideWhenUsed/>
  </w:style>
  <w:style w:type="numbering" w:styleId="2180" w:customStyle="1">
    <w:name w:val="Нет списка2523"/>
    <w:next w:val="944"/>
    <w:uiPriority w:val="99"/>
    <w:semiHidden/>
    <w:unhideWhenUsed/>
  </w:style>
  <w:style w:type="numbering" w:styleId="2181" w:customStyle="1">
    <w:name w:val="Нет списка3523"/>
    <w:next w:val="944"/>
    <w:uiPriority w:val="99"/>
    <w:semiHidden/>
    <w:unhideWhenUsed/>
  </w:style>
  <w:style w:type="numbering" w:styleId="2182" w:customStyle="1">
    <w:name w:val="Нет списка4523"/>
    <w:next w:val="944"/>
    <w:uiPriority w:val="99"/>
    <w:semiHidden/>
    <w:unhideWhenUsed/>
  </w:style>
  <w:style w:type="numbering" w:styleId="2183" w:customStyle="1">
    <w:name w:val="Нет списка5523"/>
    <w:next w:val="944"/>
    <w:uiPriority w:val="99"/>
    <w:semiHidden/>
    <w:unhideWhenUsed/>
  </w:style>
  <w:style w:type="numbering" w:styleId="2184" w:customStyle="1">
    <w:name w:val="Нет списка6523"/>
    <w:next w:val="944"/>
    <w:uiPriority w:val="99"/>
    <w:semiHidden/>
    <w:unhideWhenUsed/>
  </w:style>
  <w:style w:type="numbering" w:styleId="2185" w:customStyle="1">
    <w:name w:val="Нет списка1723"/>
    <w:next w:val="944"/>
    <w:uiPriority w:val="99"/>
    <w:semiHidden/>
    <w:unhideWhenUsed/>
  </w:style>
  <w:style w:type="numbering" w:styleId="2186" w:customStyle="1">
    <w:name w:val="Нет списка1823"/>
    <w:next w:val="944"/>
    <w:uiPriority w:val="99"/>
    <w:semiHidden/>
    <w:unhideWhenUsed/>
  </w:style>
  <w:style w:type="numbering" w:styleId="2187" w:customStyle="1">
    <w:name w:val="Нет списка2623"/>
    <w:next w:val="944"/>
    <w:uiPriority w:val="99"/>
    <w:semiHidden/>
    <w:unhideWhenUsed/>
  </w:style>
  <w:style w:type="numbering" w:styleId="2188" w:customStyle="1">
    <w:name w:val="Нет списка3623"/>
    <w:next w:val="944"/>
    <w:uiPriority w:val="99"/>
    <w:semiHidden/>
    <w:unhideWhenUsed/>
  </w:style>
  <w:style w:type="numbering" w:styleId="2189" w:customStyle="1">
    <w:name w:val="Нет списка4623"/>
    <w:next w:val="944"/>
    <w:uiPriority w:val="99"/>
    <w:semiHidden/>
    <w:unhideWhenUsed/>
  </w:style>
  <w:style w:type="numbering" w:styleId="2190" w:customStyle="1">
    <w:name w:val="Нет списка5623"/>
    <w:next w:val="944"/>
    <w:uiPriority w:val="99"/>
    <w:semiHidden/>
    <w:unhideWhenUsed/>
  </w:style>
  <w:style w:type="numbering" w:styleId="2191" w:customStyle="1">
    <w:name w:val="Нет списка6623"/>
    <w:next w:val="944"/>
    <w:uiPriority w:val="99"/>
    <w:semiHidden/>
    <w:unhideWhenUsed/>
  </w:style>
  <w:style w:type="numbering" w:styleId="2192" w:customStyle="1">
    <w:name w:val="Нет списка50"/>
    <w:next w:val="944"/>
    <w:uiPriority w:val="99"/>
    <w:semiHidden/>
    <w:unhideWhenUsed/>
  </w:style>
  <w:style w:type="numbering" w:styleId="2193" w:customStyle="1">
    <w:name w:val="Нет списка120"/>
    <w:next w:val="944"/>
    <w:uiPriority w:val="99"/>
    <w:semiHidden/>
    <w:unhideWhenUsed/>
  </w:style>
  <w:style w:type="numbering" w:styleId="2194" w:customStyle="1">
    <w:name w:val="Нет списка218"/>
    <w:next w:val="944"/>
    <w:uiPriority w:val="99"/>
    <w:semiHidden/>
    <w:unhideWhenUsed/>
  </w:style>
  <w:style w:type="numbering" w:styleId="2195" w:customStyle="1">
    <w:name w:val="Нет списка317"/>
    <w:next w:val="944"/>
    <w:uiPriority w:val="99"/>
    <w:semiHidden/>
    <w:unhideWhenUsed/>
  </w:style>
  <w:style w:type="numbering" w:styleId="2196" w:customStyle="1">
    <w:name w:val="Нет списка417"/>
    <w:next w:val="944"/>
    <w:uiPriority w:val="99"/>
    <w:semiHidden/>
    <w:unhideWhenUsed/>
  </w:style>
  <w:style w:type="numbering" w:styleId="2197" w:customStyle="1">
    <w:name w:val="Нет списка517"/>
    <w:next w:val="944"/>
    <w:uiPriority w:val="99"/>
    <w:semiHidden/>
    <w:unhideWhenUsed/>
  </w:style>
  <w:style w:type="numbering" w:styleId="2198" w:customStyle="1">
    <w:name w:val="Нет списка617"/>
    <w:next w:val="944"/>
    <w:uiPriority w:val="99"/>
    <w:semiHidden/>
    <w:unhideWhenUsed/>
  </w:style>
  <w:style w:type="numbering" w:styleId="2199" w:customStyle="1">
    <w:name w:val="Нет списка76"/>
    <w:next w:val="944"/>
    <w:uiPriority w:val="99"/>
    <w:semiHidden/>
    <w:unhideWhenUsed/>
  </w:style>
  <w:style w:type="numbering" w:styleId="2200" w:customStyle="1">
    <w:name w:val="Нет списка1110"/>
    <w:next w:val="944"/>
    <w:uiPriority w:val="99"/>
    <w:semiHidden/>
    <w:unhideWhenUsed/>
  </w:style>
  <w:style w:type="numbering" w:styleId="2201" w:customStyle="1">
    <w:name w:val="Нет списка219"/>
    <w:next w:val="944"/>
    <w:uiPriority w:val="99"/>
    <w:semiHidden/>
    <w:unhideWhenUsed/>
  </w:style>
  <w:style w:type="numbering" w:styleId="2202" w:customStyle="1">
    <w:name w:val="Нет списка318"/>
    <w:next w:val="944"/>
    <w:uiPriority w:val="99"/>
    <w:semiHidden/>
    <w:unhideWhenUsed/>
  </w:style>
  <w:style w:type="numbering" w:styleId="2203" w:customStyle="1">
    <w:name w:val="Нет списка418"/>
    <w:next w:val="944"/>
    <w:uiPriority w:val="99"/>
    <w:semiHidden/>
    <w:unhideWhenUsed/>
  </w:style>
  <w:style w:type="numbering" w:styleId="2204" w:customStyle="1">
    <w:name w:val="Нет списка518"/>
    <w:next w:val="944"/>
    <w:uiPriority w:val="99"/>
    <w:semiHidden/>
    <w:unhideWhenUsed/>
  </w:style>
  <w:style w:type="numbering" w:styleId="2205" w:customStyle="1">
    <w:name w:val="Нет списка618"/>
    <w:next w:val="944"/>
    <w:uiPriority w:val="99"/>
    <w:semiHidden/>
    <w:unhideWhenUsed/>
  </w:style>
  <w:style w:type="numbering" w:styleId="2206" w:customStyle="1">
    <w:name w:val="Нет списка86"/>
    <w:next w:val="944"/>
    <w:uiPriority w:val="99"/>
    <w:semiHidden/>
    <w:unhideWhenUsed/>
  </w:style>
  <w:style w:type="numbering" w:styleId="2207" w:customStyle="1">
    <w:name w:val="Нет списка126"/>
    <w:next w:val="944"/>
    <w:uiPriority w:val="99"/>
    <w:semiHidden/>
    <w:unhideWhenUsed/>
  </w:style>
  <w:style w:type="numbering" w:styleId="2208" w:customStyle="1">
    <w:name w:val="Нет списка226"/>
    <w:next w:val="944"/>
    <w:uiPriority w:val="99"/>
    <w:semiHidden/>
    <w:unhideWhenUsed/>
  </w:style>
  <w:style w:type="numbering" w:styleId="2209" w:customStyle="1">
    <w:name w:val="Нет списка326"/>
    <w:next w:val="944"/>
    <w:uiPriority w:val="99"/>
    <w:semiHidden/>
    <w:unhideWhenUsed/>
  </w:style>
  <w:style w:type="numbering" w:styleId="2210" w:customStyle="1">
    <w:name w:val="Нет списка426"/>
    <w:next w:val="944"/>
    <w:uiPriority w:val="99"/>
    <w:semiHidden/>
    <w:unhideWhenUsed/>
  </w:style>
  <w:style w:type="numbering" w:styleId="2211" w:customStyle="1">
    <w:name w:val="Нет списка526"/>
    <w:next w:val="944"/>
    <w:uiPriority w:val="99"/>
    <w:semiHidden/>
    <w:unhideWhenUsed/>
  </w:style>
  <w:style w:type="numbering" w:styleId="2212" w:customStyle="1">
    <w:name w:val="Нет списка626"/>
    <w:next w:val="944"/>
    <w:uiPriority w:val="99"/>
    <w:semiHidden/>
    <w:unhideWhenUsed/>
  </w:style>
  <w:style w:type="numbering" w:styleId="2213" w:customStyle="1">
    <w:name w:val="Нет списка96"/>
    <w:next w:val="944"/>
    <w:uiPriority w:val="99"/>
    <w:semiHidden/>
    <w:unhideWhenUsed/>
  </w:style>
  <w:style w:type="numbering" w:styleId="2214" w:customStyle="1">
    <w:name w:val="Нет списка136"/>
    <w:next w:val="944"/>
    <w:uiPriority w:val="99"/>
    <w:semiHidden/>
    <w:unhideWhenUsed/>
  </w:style>
  <w:style w:type="numbering" w:styleId="2215" w:customStyle="1">
    <w:name w:val="Нет списка236"/>
    <w:next w:val="944"/>
    <w:uiPriority w:val="99"/>
    <w:semiHidden/>
    <w:unhideWhenUsed/>
  </w:style>
  <w:style w:type="numbering" w:styleId="2216" w:customStyle="1">
    <w:name w:val="Нет списка336"/>
    <w:next w:val="944"/>
    <w:uiPriority w:val="99"/>
    <w:semiHidden/>
    <w:unhideWhenUsed/>
  </w:style>
  <w:style w:type="numbering" w:styleId="2217" w:customStyle="1">
    <w:name w:val="Нет списка436"/>
    <w:next w:val="944"/>
    <w:uiPriority w:val="99"/>
    <w:semiHidden/>
    <w:unhideWhenUsed/>
  </w:style>
  <w:style w:type="numbering" w:styleId="2218" w:customStyle="1">
    <w:name w:val="Нет списка536"/>
    <w:next w:val="944"/>
    <w:uiPriority w:val="99"/>
    <w:semiHidden/>
    <w:unhideWhenUsed/>
  </w:style>
  <w:style w:type="numbering" w:styleId="2219" w:customStyle="1">
    <w:name w:val="Нет списка636"/>
    <w:next w:val="944"/>
    <w:uiPriority w:val="99"/>
    <w:semiHidden/>
    <w:unhideWhenUsed/>
  </w:style>
  <w:style w:type="numbering" w:styleId="2220" w:customStyle="1">
    <w:name w:val="Нет списка106"/>
    <w:next w:val="944"/>
    <w:uiPriority w:val="99"/>
    <w:semiHidden/>
    <w:unhideWhenUsed/>
  </w:style>
  <w:style w:type="numbering" w:styleId="2221" w:customStyle="1">
    <w:name w:val="Нет списка146"/>
    <w:next w:val="944"/>
    <w:uiPriority w:val="99"/>
    <w:semiHidden/>
    <w:unhideWhenUsed/>
  </w:style>
  <w:style w:type="numbering" w:styleId="2222" w:customStyle="1">
    <w:name w:val="Нет списка246"/>
    <w:next w:val="944"/>
    <w:uiPriority w:val="99"/>
    <w:semiHidden/>
    <w:unhideWhenUsed/>
  </w:style>
  <w:style w:type="numbering" w:styleId="2223" w:customStyle="1">
    <w:name w:val="Нет списка346"/>
    <w:next w:val="944"/>
    <w:uiPriority w:val="99"/>
    <w:semiHidden/>
    <w:unhideWhenUsed/>
  </w:style>
  <w:style w:type="numbering" w:styleId="2224" w:customStyle="1">
    <w:name w:val="Нет списка446"/>
    <w:next w:val="944"/>
    <w:uiPriority w:val="99"/>
    <w:semiHidden/>
    <w:unhideWhenUsed/>
  </w:style>
  <w:style w:type="numbering" w:styleId="2225" w:customStyle="1">
    <w:name w:val="Нет списка546"/>
    <w:next w:val="944"/>
    <w:uiPriority w:val="99"/>
    <w:semiHidden/>
    <w:unhideWhenUsed/>
  </w:style>
  <w:style w:type="numbering" w:styleId="2226" w:customStyle="1">
    <w:name w:val="Нет списка646"/>
    <w:next w:val="944"/>
    <w:uiPriority w:val="99"/>
    <w:semiHidden/>
    <w:unhideWhenUsed/>
  </w:style>
  <w:style w:type="numbering" w:styleId="2227" w:customStyle="1">
    <w:name w:val="Нет списка156"/>
    <w:next w:val="944"/>
    <w:uiPriority w:val="99"/>
    <w:semiHidden/>
    <w:unhideWhenUsed/>
  </w:style>
  <w:style w:type="numbering" w:styleId="2228" w:customStyle="1">
    <w:name w:val="Нет списка166"/>
    <w:next w:val="944"/>
    <w:uiPriority w:val="99"/>
    <w:semiHidden/>
    <w:unhideWhenUsed/>
  </w:style>
  <w:style w:type="numbering" w:styleId="2229" w:customStyle="1">
    <w:name w:val="Нет списка256"/>
    <w:next w:val="944"/>
    <w:uiPriority w:val="99"/>
    <w:semiHidden/>
    <w:unhideWhenUsed/>
  </w:style>
  <w:style w:type="numbering" w:styleId="2230" w:customStyle="1">
    <w:name w:val="Нет списка356"/>
    <w:next w:val="944"/>
    <w:uiPriority w:val="99"/>
    <w:semiHidden/>
    <w:unhideWhenUsed/>
  </w:style>
  <w:style w:type="numbering" w:styleId="2231" w:customStyle="1">
    <w:name w:val="Нет списка456"/>
    <w:next w:val="944"/>
    <w:uiPriority w:val="99"/>
    <w:semiHidden/>
    <w:unhideWhenUsed/>
  </w:style>
  <w:style w:type="numbering" w:styleId="2232" w:customStyle="1">
    <w:name w:val="Нет списка556"/>
    <w:next w:val="944"/>
    <w:uiPriority w:val="99"/>
    <w:semiHidden/>
    <w:unhideWhenUsed/>
  </w:style>
  <w:style w:type="numbering" w:styleId="2233" w:customStyle="1">
    <w:name w:val="Нет списка656"/>
    <w:next w:val="944"/>
    <w:uiPriority w:val="99"/>
    <w:semiHidden/>
    <w:unhideWhenUsed/>
  </w:style>
  <w:style w:type="numbering" w:styleId="2234" w:customStyle="1">
    <w:name w:val="Нет списка176"/>
    <w:next w:val="944"/>
    <w:uiPriority w:val="99"/>
    <w:semiHidden/>
    <w:unhideWhenUsed/>
  </w:style>
  <w:style w:type="numbering" w:styleId="2235" w:customStyle="1">
    <w:name w:val="Нет списка186"/>
    <w:next w:val="944"/>
    <w:uiPriority w:val="99"/>
    <w:semiHidden/>
    <w:unhideWhenUsed/>
  </w:style>
  <w:style w:type="numbering" w:styleId="2236" w:customStyle="1">
    <w:name w:val="Нет списка266"/>
    <w:next w:val="944"/>
    <w:uiPriority w:val="99"/>
    <w:semiHidden/>
    <w:unhideWhenUsed/>
  </w:style>
  <w:style w:type="numbering" w:styleId="2237" w:customStyle="1">
    <w:name w:val="Нет списка366"/>
    <w:next w:val="944"/>
    <w:uiPriority w:val="99"/>
    <w:semiHidden/>
    <w:unhideWhenUsed/>
  </w:style>
  <w:style w:type="numbering" w:styleId="2238" w:customStyle="1">
    <w:name w:val="Нет списка466"/>
    <w:next w:val="944"/>
    <w:uiPriority w:val="99"/>
    <w:semiHidden/>
    <w:unhideWhenUsed/>
  </w:style>
  <w:style w:type="numbering" w:styleId="2239" w:customStyle="1">
    <w:name w:val="Нет списка566"/>
    <w:next w:val="944"/>
    <w:uiPriority w:val="99"/>
    <w:semiHidden/>
    <w:unhideWhenUsed/>
  </w:style>
  <w:style w:type="numbering" w:styleId="2240" w:customStyle="1">
    <w:name w:val="Нет списка666"/>
    <w:next w:val="944"/>
    <w:uiPriority w:val="99"/>
    <w:semiHidden/>
    <w:unhideWhenUsed/>
  </w:style>
  <w:style w:type="numbering" w:styleId="2241" w:customStyle="1">
    <w:name w:val="Нет списка195"/>
    <w:next w:val="944"/>
    <w:uiPriority w:val="99"/>
    <w:semiHidden/>
    <w:unhideWhenUsed/>
  </w:style>
  <w:style w:type="numbering" w:styleId="2242" w:customStyle="1">
    <w:name w:val="Нет списка1105"/>
    <w:next w:val="944"/>
    <w:uiPriority w:val="99"/>
    <w:semiHidden/>
    <w:unhideWhenUsed/>
  </w:style>
  <w:style w:type="numbering" w:styleId="2243" w:customStyle="1">
    <w:name w:val="Нет списка275"/>
    <w:next w:val="944"/>
    <w:uiPriority w:val="99"/>
    <w:semiHidden/>
    <w:unhideWhenUsed/>
  </w:style>
  <w:style w:type="numbering" w:styleId="2244" w:customStyle="1">
    <w:name w:val="Нет списка375"/>
    <w:next w:val="944"/>
    <w:uiPriority w:val="99"/>
    <w:semiHidden/>
    <w:unhideWhenUsed/>
  </w:style>
  <w:style w:type="numbering" w:styleId="2245" w:customStyle="1">
    <w:name w:val="Нет списка475"/>
    <w:next w:val="944"/>
    <w:uiPriority w:val="99"/>
    <w:semiHidden/>
    <w:unhideWhenUsed/>
  </w:style>
  <w:style w:type="numbering" w:styleId="2246" w:customStyle="1">
    <w:name w:val="Нет списка575"/>
    <w:next w:val="944"/>
    <w:uiPriority w:val="99"/>
    <w:semiHidden/>
    <w:unhideWhenUsed/>
  </w:style>
  <w:style w:type="numbering" w:styleId="2247" w:customStyle="1">
    <w:name w:val="Нет списка675"/>
    <w:next w:val="944"/>
    <w:uiPriority w:val="99"/>
    <w:semiHidden/>
    <w:unhideWhenUsed/>
  </w:style>
  <w:style w:type="table" w:styleId="2248" w:customStyle="1">
    <w:name w:val="Сетка таблицы155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249" w:customStyle="1">
    <w:name w:val="Нет списка716"/>
    <w:next w:val="944"/>
    <w:uiPriority w:val="99"/>
    <w:semiHidden/>
    <w:unhideWhenUsed/>
  </w:style>
  <w:style w:type="numbering" w:styleId="2250" w:customStyle="1">
    <w:name w:val="Нет списка1116"/>
    <w:next w:val="944"/>
    <w:uiPriority w:val="99"/>
    <w:semiHidden/>
    <w:unhideWhenUsed/>
  </w:style>
  <w:style w:type="numbering" w:styleId="2251" w:customStyle="1">
    <w:name w:val="Нет списка2116"/>
    <w:next w:val="944"/>
    <w:uiPriority w:val="99"/>
    <w:semiHidden/>
    <w:unhideWhenUsed/>
  </w:style>
  <w:style w:type="numbering" w:styleId="2252" w:customStyle="1">
    <w:name w:val="Нет списка3116"/>
    <w:next w:val="944"/>
    <w:uiPriority w:val="99"/>
    <w:semiHidden/>
    <w:unhideWhenUsed/>
  </w:style>
  <w:style w:type="numbering" w:styleId="2253" w:customStyle="1">
    <w:name w:val="Нет списка4116"/>
    <w:next w:val="944"/>
    <w:uiPriority w:val="99"/>
    <w:semiHidden/>
    <w:unhideWhenUsed/>
  </w:style>
  <w:style w:type="numbering" w:styleId="2254" w:customStyle="1">
    <w:name w:val="Нет списка5116"/>
    <w:next w:val="944"/>
    <w:uiPriority w:val="99"/>
    <w:semiHidden/>
    <w:unhideWhenUsed/>
  </w:style>
  <w:style w:type="numbering" w:styleId="2255" w:customStyle="1">
    <w:name w:val="Нет списка6116"/>
    <w:next w:val="944"/>
    <w:uiPriority w:val="99"/>
    <w:semiHidden/>
    <w:unhideWhenUsed/>
  </w:style>
  <w:style w:type="numbering" w:styleId="2256" w:customStyle="1">
    <w:name w:val="Нет списка7115"/>
    <w:next w:val="944"/>
    <w:uiPriority w:val="99"/>
    <w:semiHidden/>
    <w:unhideWhenUsed/>
  </w:style>
  <w:style w:type="numbering" w:styleId="2257" w:customStyle="1">
    <w:name w:val="Нет списка11115"/>
    <w:next w:val="944"/>
    <w:uiPriority w:val="99"/>
    <w:semiHidden/>
    <w:unhideWhenUsed/>
  </w:style>
  <w:style w:type="numbering" w:styleId="2258" w:customStyle="1">
    <w:name w:val="Нет списка21115"/>
    <w:next w:val="944"/>
    <w:uiPriority w:val="99"/>
    <w:semiHidden/>
    <w:unhideWhenUsed/>
  </w:style>
  <w:style w:type="numbering" w:styleId="2259" w:customStyle="1">
    <w:name w:val="Нет списка31115"/>
    <w:next w:val="944"/>
    <w:uiPriority w:val="99"/>
    <w:semiHidden/>
    <w:unhideWhenUsed/>
  </w:style>
  <w:style w:type="numbering" w:styleId="2260" w:customStyle="1">
    <w:name w:val="Нет списка41115"/>
    <w:next w:val="944"/>
    <w:uiPriority w:val="99"/>
    <w:semiHidden/>
    <w:unhideWhenUsed/>
  </w:style>
  <w:style w:type="numbering" w:styleId="2261" w:customStyle="1">
    <w:name w:val="Нет списка51115"/>
    <w:next w:val="944"/>
    <w:uiPriority w:val="99"/>
    <w:semiHidden/>
    <w:unhideWhenUsed/>
  </w:style>
  <w:style w:type="numbering" w:styleId="2262" w:customStyle="1">
    <w:name w:val="Нет списка61115"/>
    <w:next w:val="944"/>
    <w:uiPriority w:val="99"/>
    <w:semiHidden/>
    <w:unhideWhenUsed/>
  </w:style>
  <w:style w:type="table" w:styleId="2263" w:customStyle="1">
    <w:name w:val="Сетка таблицы111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264" w:customStyle="1">
    <w:name w:val="Нет списка815"/>
    <w:next w:val="944"/>
    <w:uiPriority w:val="99"/>
    <w:semiHidden/>
    <w:unhideWhenUsed/>
  </w:style>
  <w:style w:type="numbering" w:styleId="2265" w:customStyle="1">
    <w:name w:val="Нет списка1215"/>
    <w:next w:val="944"/>
    <w:uiPriority w:val="99"/>
    <w:semiHidden/>
    <w:unhideWhenUsed/>
  </w:style>
  <w:style w:type="numbering" w:styleId="2266" w:customStyle="1">
    <w:name w:val="Нет списка2215"/>
    <w:next w:val="944"/>
    <w:uiPriority w:val="99"/>
    <w:semiHidden/>
    <w:unhideWhenUsed/>
  </w:style>
  <w:style w:type="numbering" w:styleId="2267" w:customStyle="1">
    <w:name w:val="Нет списка3215"/>
    <w:next w:val="944"/>
    <w:uiPriority w:val="99"/>
    <w:semiHidden/>
    <w:unhideWhenUsed/>
  </w:style>
  <w:style w:type="numbering" w:styleId="2268" w:customStyle="1">
    <w:name w:val="Нет списка4215"/>
    <w:next w:val="944"/>
    <w:uiPriority w:val="99"/>
    <w:semiHidden/>
    <w:unhideWhenUsed/>
  </w:style>
  <w:style w:type="numbering" w:styleId="2269" w:customStyle="1">
    <w:name w:val="Нет списка5215"/>
    <w:next w:val="944"/>
    <w:uiPriority w:val="99"/>
    <w:semiHidden/>
    <w:unhideWhenUsed/>
  </w:style>
  <w:style w:type="numbering" w:styleId="2270" w:customStyle="1">
    <w:name w:val="Нет списка6215"/>
    <w:next w:val="944"/>
    <w:uiPriority w:val="99"/>
    <w:semiHidden/>
    <w:unhideWhenUsed/>
  </w:style>
  <w:style w:type="numbering" w:styleId="2271" w:customStyle="1">
    <w:name w:val="Нет списка915"/>
    <w:next w:val="944"/>
    <w:uiPriority w:val="99"/>
    <w:semiHidden/>
    <w:unhideWhenUsed/>
  </w:style>
  <w:style w:type="numbering" w:styleId="2272" w:customStyle="1">
    <w:name w:val="Нет списка1315"/>
    <w:next w:val="944"/>
    <w:uiPriority w:val="99"/>
    <w:semiHidden/>
    <w:unhideWhenUsed/>
  </w:style>
  <w:style w:type="numbering" w:styleId="2273" w:customStyle="1">
    <w:name w:val="Нет списка2315"/>
    <w:next w:val="944"/>
    <w:uiPriority w:val="99"/>
    <w:semiHidden/>
    <w:unhideWhenUsed/>
  </w:style>
  <w:style w:type="numbering" w:styleId="2274" w:customStyle="1">
    <w:name w:val="Нет списка3315"/>
    <w:next w:val="944"/>
    <w:uiPriority w:val="99"/>
    <w:semiHidden/>
    <w:unhideWhenUsed/>
  </w:style>
  <w:style w:type="numbering" w:styleId="2275" w:customStyle="1">
    <w:name w:val="Нет списка4315"/>
    <w:next w:val="944"/>
    <w:uiPriority w:val="99"/>
    <w:semiHidden/>
    <w:unhideWhenUsed/>
  </w:style>
  <w:style w:type="numbering" w:styleId="2276" w:customStyle="1">
    <w:name w:val="Нет списка5315"/>
    <w:next w:val="944"/>
    <w:uiPriority w:val="99"/>
    <w:semiHidden/>
    <w:unhideWhenUsed/>
  </w:style>
  <w:style w:type="numbering" w:styleId="2277" w:customStyle="1">
    <w:name w:val="Нет списка6315"/>
    <w:next w:val="944"/>
    <w:uiPriority w:val="99"/>
    <w:semiHidden/>
    <w:unhideWhenUsed/>
  </w:style>
  <w:style w:type="table" w:styleId="2278" w:customStyle="1">
    <w:name w:val="Сетка таблицы11115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279" w:customStyle="1">
    <w:name w:val="Нет списка1015"/>
    <w:next w:val="944"/>
    <w:uiPriority w:val="99"/>
    <w:semiHidden/>
    <w:unhideWhenUsed/>
  </w:style>
  <w:style w:type="numbering" w:styleId="2280" w:customStyle="1">
    <w:name w:val="Нет списка1415"/>
    <w:next w:val="944"/>
    <w:uiPriority w:val="99"/>
    <w:semiHidden/>
    <w:unhideWhenUsed/>
  </w:style>
  <w:style w:type="numbering" w:styleId="2281" w:customStyle="1">
    <w:name w:val="Нет списка2415"/>
    <w:next w:val="944"/>
    <w:uiPriority w:val="99"/>
    <w:semiHidden/>
    <w:unhideWhenUsed/>
  </w:style>
  <w:style w:type="numbering" w:styleId="2282" w:customStyle="1">
    <w:name w:val="Нет списка3415"/>
    <w:next w:val="944"/>
    <w:uiPriority w:val="99"/>
    <w:semiHidden/>
    <w:unhideWhenUsed/>
  </w:style>
  <w:style w:type="numbering" w:styleId="2283" w:customStyle="1">
    <w:name w:val="Нет списка4415"/>
    <w:next w:val="944"/>
    <w:uiPriority w:val="99"/>
    <w:semiHidden/>
    <w:unhideWhenUsed/>
  </w:style>
  <w:style w:type="numbering" w:styleId="2284" w:customStyle="1">
    <w:name w:val="Нет списка5415"/>
    <w:next w:val="944"/>
    <w:uiPriority w:val="99"/>
    <w:semiHidden/>
    <w:unhideWhenUsed/>
  </w:style>
  <w:style w:type="numbering" w:styleId="2285" w:customStyle="1">
    <w:name w:val="Нет списка6415"/>
    <w:next w:val="944"/>
    <w:uiPriority w:val="99"/>
    <w:semiHidden/>
    <w:unhideWhenUsed/>
  </w:style>
  <w:style w:type="numbering" w:styleId="2286" w:customStyle="1">
    <w:name w:val="Нет списка1515"/>
    <w:next w:val="944"/>
    <w:uiPriority w:val="99"/>
    <w:semiHidden/>
    <w:unhideWhenUsed/>
  </w:style>
  <w:style w:type="numbering" w:styleId="2287" w:customStyle="1">
    <w:name w:val="Нет списка1615"/>
    <w:next w:val="944"/>
    <w:uiPriority w:val="99"/>
    <w:semiHidden/>
    <w:unhideWhenUsed/>
  </w:style>
  <w:style w:type="numbering" w:styleId="2288" w:customStyle="1">
    <w:name w:val="Нет списка2515"/>
    <w:next w:val="944"/>
    <w:uiPriority w:val="99"/>
    <w:semiHidden/>
    <w:unhideWhenUsed/>
  </w:style>
  <w:style w:type="numbering" w:styleId="2289" w:customStyle="1">
    <w:name w:val="Нет списка3515"/>
    <w:next w:val="944"/>
    <w:uiPriority w:val="99"/>
    <w:semiHidden/>
    <w:unhideWhenUsed/>
  </w:style>
  <w:style w:type="numbering" w:styleId="2290" w:customStyle="1">
    <w:name w:val="Нет списка4515"/>
    <w:next w:val="944"/>
    <w:uiPriority w:val="99"/>
    <w:semiHidden/>
    <w:unhideWhenUsed/>
  </w:style>
  <w:style w:type="numbering" w:styleId="2291" w:customStyle="1">
    <w:name w:val="Нет списка5515"/>
    <w:next w:val="944"/>
    <w:uiPriority w:val="99"/>
    <w:semiHidden/>
    <w:unhideWhenUsed/>
  </w:style>
  <w:style w:type="numbering" w:styleId="2292" w:customStyle="1">
    <w:name w:val="Нет списка6515"/>
    <w:next w:val="944"/>
    <w:uiPriority w:val="99"/>
    <w:semiHidden/>
    <w:unhideWhenUsed/>
  </w:style>
  <w:style w:type="numbering" w:styleId="2293" w:customStyle="1">
    <w:name w:val="Нет списка1715"/>
    <w:next w:val="944"/>
    <w:uiPriority w:val="99"/>
    <w:semiHidden/>
    <w:unhideWhenUsed/>
  </w:style>
  <w:style w:type="numbering" w:styleId="2294" w:customStyle="1">
    <w:name w:val="Нет списка1815"/>
    <w:next w:val="944"/>
    <w:uiPriority w:val="99"/>
    <w:semiHidden/>
    <w:unhideWhenUsed/>
  </w:style>
  <w:style w:type="numbering" w:styleId="2295" w:customStyle="1">
    <w:name w:val="Нет списка2615"/>
    <w:next w:val="944"/>
    <w:uiPriority w:val="99"/>
    <w:semiHidden/>
    <w:unhideWhenUsed/>
  </w:style>
  <w:style w:type="numbering" w:styleId="2296" w:customStyle="1">
    <w:name w:val="Нет списка3615"/>
    <w:next w:val="944"/>
    <w:uiPriority w:val="99"/>
    <w:semiHidden/>
    <w:unhideWhenUsed/>
  </w:style>
  <w:style w:type="numbering" w:styleId="2297" w:customStyle="1">
    <w:name w:val="Нет списка4615"/>
    <w:next w:val="944"/>
    <w:uiPriority w:val="99"/>
    <w:semiHidden/>
    <w:unhideWhenUsed/>
  </w:style>
  <w:style w:type="numbering" w:styleId="2298" w:customStyle="1">
    <w:name w:val="Нет списка5615"/>
    <w:next w:val="944"/>
    <w:uiPriority w:val="99"/>
    <w:semiHidden/>
    <w:unhideWhenUsed/>
  </w:style>
  <w:style w:type="numbering" w:styleId="2299" w:customStyle="1">
    <w:name w:val="Нет списка6615"/>
    <w:next w:val="944"/>
    <w:uiPriority w:val="99"/>
    <w:semiHidden/>
    <w:unhideWhenUsed/>
  </w:style>
  <w:style w:type="numbering" w:styleId="2300" w:customStyle="1">
    <w:name w:val="Нет списка204"/>
    <w:next w:val="944"/>
    <w:uiPriority w:val="99"/>
    <w:semiHidden/>
    <w:unhideWhenUsed/>
  </w:style>
  <w:style w:type="numbering" w:styleId="2301" w:customStyle="1">
    <w:name w:val="Нет списка1125"/>
    <w:next w:val="944"/>
    <w:uiPriority w:val="99"/>
    <w:semiHidden/>
    <w:unhideWhenUsed/>
  </w:style>
  <w:style w:type="numbering" w:styleId="2302" w:customStyle="1">
    <w:name w:val="Нет списка284"/>
    <w:next w:val="944"/>
    <w:uiPriority w:val="99"/>
    <w:semiHidden/>
    <w:unhideWhenUsed/>
  </w:style>
  <w:style w:type="numbering" w:styleId="2303" w:customStyle="1">
    <w:name w:val="Нет списка384"/>
    <w:next w:val="944"/>
    <w:uiPriority w:val="99"/>
    <w:semiHidden/>
    <w:unhideWhenUsed/>
  </w:style>
  <w:style w:type="numbering" w:styleId="2304" w:customStyle="1">
    <w:name w:val="Нет списка484"/>
    <w:next w:val="944"/>
    <w:uiPriority w:val="99"/>
    <w:semiHidden/>
    <w:unhideWhenUsed/>
  </w:style>
  <w:style w:type="numbering" w:styleId="2305" w:customStyle="1">
    <w:name w:val="Нет списка584"/>
    <w:next w:val="944"/>
    <w:uiPriority w:val="99"/>
    <w:semiHidden/>
    <w:unhideWhenUsed/>
  </w:style>
  <w:style w:type="numbering" w:styleId="2306" w:customStyle="1">
    <w:name w:val="Нет списка684"/>
    <w:next w:val="944"/>
    <w:uiPriority w:val="99"/>
    <w:semiHidden/>
    <w:unhideWhenUsed/>
  </w:style>
  <w:style w:type="numbering" w:styleId="2307" w:customStyle="1">
    <w:name w:val="Нет списка725"/>
    <w:next w:val="944"/>
    <w:uiPriority w:val="99"/>
    <w:semiHidden/>
    <w:unhideWhenUsed/>
  </w:style>
  <w:style w:type="numbering" w:styleId="2308" w:customStyle="1">
    <w:name w:val="Нет списка1134"/>
    <w:next w:val="944"/>
    <w:uiPriority w:val="99"/>
    <w:semiHidden/>
    <w:unhideWhenUsed/>
  </w:style>
  <w:style w:type="numbering" w:styleId="2309" w:customStyle="1">
    <w:name w:val="Нет списка2125"/>
    <w:next w:val="944"/>
    <w:uiPriority w:val="99"/>
    <w:semiHidden/>
    <w:unhideWhenUsed/>
  </w:style>
  <w:style w:type="numbering" w:styleId="2310" w:customStyle="1">
    <w:name w:val="Нет списка3125"/>
    <w:next w:val="944"/>
    <w:uiPriority w:val="99"/>
    <w:semiHidden/>
    <w:unhideWhenUsed/>
  </w:style>
  <w:style w:type="numbering" w:styleId="2311" w:customStyle="1">
    <w:name w:val="Нет списка4125"/>
    <w:next w:val="944"/>
    <w:uiPriority w:val="99"/>
    <w:semiHidden/>
    <w:unhideWhenUsed/>
  </w:style>
  <w:style w:type="numbering" w:styleId="2312" w:customStyle="1">
    <w:name w:val="Нет списка5125"/>
    <w:next w:val="944"/>
    <w:uiPriority w:val="99"/>
    <w:semiHidden/>
    <w:unhideWhenUsed/>
  </w:style>
  <w:style w:type="numbering" w:styleId="2313" w:customStyle="1">
    <w:name w:val="Нет списка6125"/>
    <w:next w:val="944"/>
    <w:uiPriority w:val="99"/>
    <w:semiHidden/>
    <w:unhideWhenUsed/>
  </w:style>
  <w:style w:type="numbering" w:styleId="2314" w:customStyle="1">
    <w:name w:val="Нет списка7124"/>
    <w:next w:val="944"/>
    <w:uiPriority w:val="99"/>
    <w:semiHidden/>
    <w:unhideWhenUsed/>
  </w:style>
  <w:style w:type="numbering" w:styleId="2315" w:customStyle="1">
    <w:name w:val="Нет списка11124"/>
    <w:next w:val="944"/>
    <w:uiPriority w:val="99"/>
    <w:semiHidden/>
    <w:unhideWhenUsed/>
  </w:style>
  <w:style w:type="numbering" w:styleId="2316" w:customStyle="1">
    <w:name w:val="Нет списка21124"/>
    <w:next w:val="944"/>
    <w:uiPriority w:val="99"/>
    <w:semiHidden/>
    <w:unhideWhenUsed/>
  </w:style>
  <w:style w:type="numbering" w:styleId="2317" w:customStyle="1">
    <w:name w:val="Нет списка31124"/>
    <w:next w:val="944"/>
    <w:uiPriority w:val="99"/>
    <w:semiHidden/>
    <w:unhideWhenUsed/>
  </w:style>
  <w:style w:type="numbering" w:styleId="2318" w:customStyle="1">
    <w:name w:val="Нет списка41124"/>
    <w:next w:val="944"/>
    <w:uiPriority w:val="99"/>
    <w:semiHidden/>
    <w:unhideWhenUsed/>
  </w:style>
  <w:style w:type="numbering" w:styleId="2319" w:customStyle="1">
    <w:name w:val="Нет списка51124"/>
    <w:next w:val="944"/>
    <w:uiPriority w:val="99"/>
    <w:semiHidden/>
    <w:unhideWhenUsed/>
  </w:style>
  <w:style w:type="numbering" w:styleId="2320" w:customStyle="1">
    <w:name w:val="Нет списка61124"/>
    <w:next w:val="944"/>
    <w:uiPriority w:val="99"/>
    <w:semiHidden/>
    <w:unhideWhenUsed/>
  </w:style>
  <w:style w:type="table" w:styleId="2321" w:customStyle="1">
    <w:name w:val="Сетка таблицы1125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322" w:customStyle="1">
    <w:name w:val="Нет списка824"/>
    <w:next w:val="944"/>
    <w:uiPriority w:val="99"/>
    <w:semiHidden/>
    <w:unhideWhenUsed/>
  </w:style>
  <w:style w:type="numbering" w:styleId="2323" w:customStyle="1">
    <w:name w:val="Нет списка1224"/>
    <w:next w:val="944"/>
    <w:uiPriority w:val="99"/>
    <w:semiHidden/>
    <w:unhideWhenUsed/>
  </w:style>
  <w:style w:type="numbering" w:styleId="2324" w:customStyle="1">
    <w:name w:val="Нет списка2224"/>
    <w:next w:val="944"/>
    <w:uiPriority w:val="99"/>
    <w:semiHidden/>
    <w:unhideWhenUsed/>
  </w:style>
  <w:style w:type="numbering" w:styleId="2325" w:customStyle="1">
    <w:name w:val="Нет списка3224"/>
    <w:next w:val="944"/>
    <w:uiPriority w:val="99"/>
    <w:semiHidden/>
    <w:unhideWhenUsed/>
  </w:style>
  <w:style w:type="numbering" w:styleId="2326" w:customStyle="1">
    <w:name w:val="Нет списка4224"/>
    <w:next w:val="944"/>
    <w:uiPriority w:val="99"/>
    <w:semiHidden/>
    <w:unhideWhenUsed/>
  </w:style>
  <w:style w:type="numbering" w:styleId="2327" w:customStyle="1">
    <w:name w:val="Нет списка5224"/>
    <w:next w:val="944"/>
    <w:uiPriority w:val="99"/>
    <w:semiHidden/>
    <w:unhideWhenUsed/>
  </w:style>
  <w:style w:type="numbering" w:styleId="2328" w:customStyle="1">
    <w:name w:val="Нет списка6224"/>
    <w:next w:val="944"/>
    <w:uiPriority w:val="99"/>
    <w:semiHidden/>
    <w:unhideWhenUsed/>
  </w:style>
  <w:style w:type="numbering" w:styleId="2329" w:customStyle="1">
    <w:name w:val="Нет списка924"/>
    <w:next w:val="944"/>
    <w:uiPriority w:val="99"/>
    <w:semiHidden/>
    <w:unhideWhenUsed/>
  </w:style>
  <w:style w:type="numbering" w:styleId="2330" w:customStyle="1">
    <w:name w:val="Нет списка1324"/>
    <w:next w:val="944"/>
    <w:uiPriority w:val="99"/>
    <w:semiHidden/>
    <w:unhideWhenUsed/>
  </w:style>
  <w:style w:type="numbering" w:styleId="2331" w:customStyle="1">
    <w:name w:val="Нет списка2324"/>
    <w:next w:val="944"/>
    <w:uiPriority w:val="99"/>
    <w:semiHidden/>
    <w:unhideWhenUsed/>
  </w:style>
  <w:style w:type="numbering" w:styleId="2332" w:customStyle="1">
    <w:name w:val="Нет списка3324"/>
    <w:next w:val="944"/>
    <w:uiPriority w:val="99"/>
    <w:semiHidden/>
    <w:unhideWhenUsed/>
  </w:style>
  <w:style w:type="numbering" w:styleId="2333" w:customStyle="1">
    <w:name w:val="Нет списка4324"/>
    <w:next w:val="944"/>
    <w:uiPriority w:val="99"/>
    <w:semiHidden/>
    <w:unhideWhenUsed/>
  </w:style>
  <w:style w:type="numbering" w:styleId="2334" w:customStyle="1">
    <w:name w:val="Нет списка5324"/>
    <w:next w:val="944"/>
    <w:uiPriority w:val="99"/>
    <w:semiHidden/>
    <w:unhideWhenUsed/>
  </w:style>
  <w:style w:type="numbering" w:styleId="2335" w:customStyle="1">
    <w:name w:val="Нет списка6324"/>
    <w:next w:val="944"/>
    <w:uiPriority w:val="99"/>
    <w:semiHidden/>
    <w:unhideWhenUsed/>
  </w:style>
  <w:style w:type="numbering" w:styleId="2336" w:customStyle="1">
    <w:name w:val="Нет списка1024"/>
    <w:next w:val="944"/>
    <w:uiPriority w:val="99"/>
    <w:semiHidden/>
    <w:unhideWhenUsed/>
  </w:style>
  <w:style w:type="numbering" w:styleId="2337" w:customStyle="1">
    <w:name w:val="Нет списка1424"/>
    <w:next w:val="944"/>
    <w:uiPriority w:val="99"/>
    <w:semiHidden/>
    <w:unhideWhenUsed/>
  </w:style>
  <w:style w:type="numbering" w:styleId="2338" w:customStyle="1">
    <w:name w:val="Нет списка2424"/>
    <w:next w:val="944"/>
    <w:uiPriority w:val="99"/>
    <w:semiHidden/>
    <w:unhideWhenUsed/>
  </w:style>
  <w:style w:type="numbering" w:styleId="2339" w:customStyle="1">
    <w:name w:val="Нет списка3424"/>
    <w:next w:val="944"/>
    <w:uiPriority w:val="99"/>
    <w:semiHidden/>
    <w:unhideWhenUsed/>
  </w:style>
  <w:style w:type="numbering" w:styleId="2340" w:customStyle="1">
    <w:name w:val="Нет списка4424"/>
    <w:next w:val="944"/>
    <w:uiPriority w:val="99"/>
    <w:semiHidden/>
    <w:unhideWhenUsed/>
  </w:style>
  <w:style w:type="numbering" w:styleId="2341" w:customStyle="1">
    <w:name w:val="Нет списка5424"/>
    <w:next w:val="944"/>
    <w:uiPriority w:val="99"/>
    <w:semiHidden/>
    <w:unhideWhenUsed/>
  </w:style>
  <w:style w:type="numbering" w:styleId="2342" w:customStyle="1">
    <w:name w:val="Нет списка6424"/>
    <w:next w:val="944"/>
    <w:uiPriority w:val="99"/>
    <w:semiHidden/>
    <w:unhideWhenUsed/>
  </w:style>
  <w:style w:type="numbering" w:styleId="2343" w:customStyle="1">
    <w:name w:val="Нет списка1524"/>
    <w:next w:val="944"/>
    <w:uiPriority w:val="99"/>
    <w:semiHidden/>
    <w:unhideWhenUsed/>
  </w:style>
  <w:style w:type="numbering" w:styleId="2344" w:customStyle="1">
    <w:name w:val="Нет списка1624"/>
    <w:next w:val="944"/>
    <w:uiPriority w:val="99"/>
    <w:semiHidden/>
    <w:unhideWhenUsed/>
  </w:style>
  <w:style w:type="numbering" w:styleId="2345" w:customStyle="1">
    <w:name w:val="Нет списка2524"/>
    <w:next w:val="944"/>
    <w:uiPriority w:val="99"/>
    <w:semiHidden/>
    <w:unhideWhenUsed/>
  </w:style>
  <w:style w:type="numbering" w:styleId="2346" w:customStyle="1">
    <w:name w:val="Нет списка3524"/>
    <w:next w:val="944"/>
    <w:uiPriority w:val="99"/>
    <w:semiHidden/>
    <w:unhideWhenUsed/>
  </w:style>
  <w:style w:type="numbering" w:styleId="2347" w:customStyle="1">
    <w:name w:val="Нет списка4524"/>
    <w:next w:val="944"/>
    <w:uiPriority w:val="99"/>
    <w:semiHidden/>
    <w:unhideWhenUsed/>
  </w:style>
  <w:style w:type="numbering" w:styleId="2348" w:customStyle="1">
    <w:name w:val="Нет списка5524"/>
    <w:next w:val="944"/>
    <w:uiPriority w:val="99"/>
    <w:semiHidden/>
    <w:unhideWhenUsed/>
  </w:style>
  <w:style w:type="numbering" w:styleId="2349" w:customStyle="1">
    <w:name w:val="Нет списка6524"/>
    <w:next w:val="944"/>
    <w:uiPriority w:val="99"/>
    <w:semiHidden/>
    <w:unhideWhenUsed/>
  </w:style>
  <w:style w:type="numbering" w:styleId="2350" w:customStyle="1">
    <w:name w:val="Нет списка1724"/>
    <w:next w:val="944"/>
    <w:uiPriority w:val="99"/>
    <w:semiHidden/>
    <w:unhideWhenUsed/>
  </w:style>
  <w:style w:type="numbering" w:styleId="2351" w:customStyle="1">
    <w:name w:val="Нет списка1824"/>
    <w:next w:val="944"/>
    <w:uiPriority w:val="99"/>
    <w:semiHidden/>
    <w:unhideWhenUsed/>
  </w:style>
  <w:style w:type="numbering" w:styleId="2352" w:customStyle="1">
    <w:name w:val="Нет списка2624"/>
    <w:next w:val="944"/>
    <w:uiPriority w:val="99"/>
    <w:semiHidden/>
    <w:unhideWhenUsed/>
  </w:style>
  <w:style w:type="numbering" w:styleId="2353" w:customStyle="1">
    <w:name w:val="Нет списка3624"/>
    <w:next w:val="944"/>
    <w:uiPriority w:val="99"/>
    <w:semiHidden/>
    <w:unhideWhenUsed/>
  </w:style>
  <w:style w:type="numbering" w:styleId="2354" w:customStyle="1">
    <w:name w:val="Нет списка4624"/>
    <w:next w:val="944"/>
    <w:uiPriority w:val="99"/>
    <w:semiHidden/>
    <w:unhideWhenUsed/>
  </w:style>
  <w:style w:type="numbering" w:styleId="2355" w:customStyle="1">
    <w:name w:val="Нет списка5624"/>
    <w:next w:val="944"/>
    <w:uiPriority w:val="99"/>
    <w:semiHidden/>
    <w:unhideWhenUsed/>
  </w:style>
  <w:style w:type="numbering" w:styleId="2356" w:customStyle="1">
    <w:name w:val="Нет списка6624"/>
    <w:next w:val="944"/>
    <w:uiPriority w:val="99"/>
    <w:semiHidden/>
    <w:unhideWhenUsed/>
  </w:style>
  <w:style w:type="character" w:styleId="2357" w:customStyle="1">
    <w:name w:val="Заголовок 1 Знак1"/>
    <w:basedOn w:val="942"/>
    <w:rPr>
      <w:rFonts w:asciiTheme="majorHAnsi" w:hAnsiTheme="majorHAnsi" w:eastAsiaTheme="majorEastAsia" w:cstheme="majorBidi"/>
      <w:b/>
      <w:bCs/>
      <w:color w:val="2e74b5" w:themeColor="accent1" w:themeShade="BF"/>
      <w:sz w:val="28"/>
      <w:szCs w:val="28"/>
      <w:lang w:val="en-US"/>
    </w:rPr>
  </w:style>
  <w:style w:type="numbering" w:styleId="2358" w:customStyle="1">
    <w:name w:val="Нет списка60"/>
    <w:next w:val="944"/>
    <w:uiPriority w:val="99"/>
    <w:semiHidden/>
    <w:unhideWhenUsed/>
  </w:style>
  <w:style w:type="table" w:styleId="2359" w:customStyle="1">
    <w:name w:val="Сетка таблицы118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60" w:customStyle="1">
    <w:name w:val="Сетка таблицы14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61" w:customStyle="1">
    <w:name w:val="Сетка таблицы156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62" w:customStyle="1">
    <w:name w:val="Сетка таблицы1117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63" w:customStyle="1">
    <w:name w:val="Сетка таблицы11116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64" w:customStyle="1">
    <w:name w:val="Сетка таблицы1212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65" w:customStyle="1">
    <w:name w:val="Сетка таблицы1312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66" w:customStyle="1">
    <w:name w:val="Сетка таблицы1412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67" w:customStyle="1">
    <w:name w:val="Сетка таблицы162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68" w:customStyle="1">
    <w:name w:val="Сетка таблицы1126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69" w:customStyle="1">
    <w:name w:val="Сетка таблицы11122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70" w:customStyle="1">
    <w:name w:val="Сетка таблицы1222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71" w:customStyle="1">
    <w:name w:val="Сетка таблицы1322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72" w:customStyle="1">
    <w:name w:val="Сетка таблицы1422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73" w:customStyle="1">
    <w:name w:val="Сетка таблицы52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74" w:customStyle="1">
    <w:name w:val="Plain Table 21"/>
    <w:basedOn w:val="943"/>
    <w:uiPriority w:val="42"/>
    <w:pPr>
      <w:spacing w:after="0" w:line="240" w:lineRule="auto"/>
    </w:pPr>
    <w:rPr>
      <w:rFonts w:ascii="Calibri" w:hAnsi="Calibri" w:eastAsia="Calibri" w:cs="Times New Roman"/>
    </w:rPr>
    <w:tblPr>
      <w:tblStyleRowBandSize w:val="1"/>
      <w:tblStyleColBandSize w:val="1"/>
      <w:tblBorders>
        <w:top w:val="single" w:color="7F7F7F" w:sz="4" w:space="0"/>
        <w:bottom w:val="single" w:color="7F7F7F" w:sz="4" w:space="0"/>
      </w:tblBorders>
    </w:tblPr>
    <w:tblStylePr w:type="band1Horz">
      <w:tcPr>
        <w:tcBorders>
          <w:top w:val="single" w:color="7F7F7F" w:sz="4" w:space="0"/>
          <w:bottom w:val="single" w:color="7F7F7F" w:sz="4" w:space="0"/>
        </w:tcBorders>
      </w:tcPr>
    </w:tblStylePr>
    <w:tblStylePr w:type="band1Vert">
      <w:tcPr>
        <w:tcBorders>
          <w:left w:val="single" w:color="7F7F7F" w:sz="4" w:space="0"/>
          <w:right w:val="single" w:color="7F7F7F" w:sz="4" w:space="0"/>
        </w:tcBorders>
      </w:tcPr>
    </w:tblStylePr>
    <w:tblStylePr w:type="band2Vert">
      <w:tcPr>
        <w:tcBorders>
          <w:left w:val="single" w:color="7F7F7F" w:sz="4" w:space="0"/>
          <w:right w:val="single" w:color="7F7F7F" w:sz="4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</w:rPr>
      <w:tcPr>
        <w:tcBorders>
          <w:bottom w:val="single" w:color="7F7F7F" w:sz="4" w:space="0"/>
        </w:tcBorders>
      </w:tcPr>
    </w:tblStylePr>
    <w:tblStylePr w:type="lastCol">
      <w:rPr>
        <w:b/>
        <w:bCs/>
      </w:rPr>
    </w:tblStylePr>
    <w:tblStylePr w:type="lastRow">
      <w:rPr>
        <w:b/>
        <w:bCs/>
      </w:rPr>
      <w:tcPr>
        <w:tcBorders>
          <w:top w:val="single" w:color="7F7F7F" w:sz="4" w:space="0"/>
        </w:tcBorders>
      </w:tcPr>
    </w:tblStylePr>
  </w:style>
  <w:style w:type="numbering" w:styleId="2375" w:customStyle="1">
    <w:name w:val="Нет списка70"/>
    <w:next w:val="944"/>
    <w:uiPriority w:val="99"/>
    <w:semiHidden/>
    <w:unhideWhenUsed/>
  </w:style>
  <w:style w:type="table" w:styleId="2376" w:customStyle="1">
    <w:name w:val="Сетка таблицы119"/>
    <w:basedOn w:val="943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77" w:customStyle="1">
    <w:name w:val="Сетка таблицы26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78" w:customStyle="1">
    <w:name w:val="Сетка таблицы1110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79" w:customStyle="1">
    <w:name w:val="Сетка таблицы12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80" w:customStyle="1">
    <w:name w:val="Сетка таблицы13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81" w:customStyle="1">
    <w:name w:val="Сетка таблицы14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82" w:customStyle="1">
    <w:name w:val="Сетка таблицы3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83" w:customStyle="1">
    <w:name w:val="Сетка таблицы157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84" w:customStyle="1">
    <w:name w:val="Сетка таблицы214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85" w:customStyle="1">
    <w:name w:val="Сетка таблицы1118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86" w:customStyle="1">
    <w:name w:val="Сетка таблицы224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87" w:customStyle="1">
    <w:name w:val="Сетка таблицы11117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88" w:customStyle="1">
    <w:name w:val="Сетка таблицы1213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89" w:customStyle="1">
    <w:name w:val="Сетка таблицы1313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90" w:customStyle="1">
    <w:name w:val="Сетка таблицы1413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91" w:customStyle="1">
    <w:name w:val="Сетка таблицы163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92" w:customStyle="1">
    <w:name w:val="Сетка таблицы233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93" w:customStyle="1">
    <w:name w:val="Сетка таблицы2113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94" w:customStyle="1">
    <w:name w:val="Сетка таблицы313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95" w:customStyle="1">
    <w:name w:val="Сетка таблицы1127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96" w:customStyle="1">
    <w:name w:val="Сетка таблицы2213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97" w:customStyle="1">
    <w:name w:val="Сетка таблицы11123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98" w:customStyle="1">
    <w:name w:val="Сетка таблицы1223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399" w:customStyle="1">
    <w:name w:val="Сетка таблицы1323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00" w:customStyle="1">
    <w:name w:val="Сетка таблицы1423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01" w:customStyle="1">
    <w:name w:val="Сетка таблицы53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02" w:customStyle="1">
    <w:name w:val="TableGrid3"/>
    <w:pPr>
      <w:spacing w:after="0" w:line="240" w:lineRule="auto"/>
    </w:pPr>
    <w:rPr>
      <w:rFonts w:ascii="Calibri" w:hAnsi="Calibri" w:eastAsia="Times New Roman" w:cs="Times New Roman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2403" w:customStyle="1">
    <w:name w:val="Сетка таблицы62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04" w:customStyle="1">
    <w:name w:val="Plain Table 22"/>
    <w:basedOn w:val="943"/>
    <w:uiPriority w:val="42"/>
    <w:pPr>
      <w:spacing w:after="0" w:line="240" w:lineRule="auto"/>
    </w:pPr>
    <w:rPr>
      <w:rFonts w:ascii="Calibri" w:hAnsi="Calibri" w:eastAsia="Calibri" w:cs="Times New Roman"/>
    </w:rPr>
    <w:tblPr>
      <w:tblStyleRowBandSize w:val="1"/>
      <w:tblStyleColBandSize w:val="1"/>
      <w:tblBorders>
        <w:top w:val="single" w:color="7F7F7F" w:sz="4" w:space="0"/>
        <w:bottom w:val="single" w:color="7F7F7F" w:sz="4" w:space="0"/>
      </w:tblBorders>
    </w:tblPr>
    <w:tblStylePr w:type="band1Horz">
      <w:tcPr>
        <w:tcBorders>
          <w:top w:val="single" w:color="7F7F7F" w:sz="4" w:space="0"/>
          <w:bottom w:val="single" w:color="7F7F7F" w:sz="4" w:space="0"/>
        </w:tcBorders>
      </w:tcPr>
    </w:tblStylePr>
    <w:tblStylePr w:type="band1Vert">
      <w:tcPr>
        <w:tcBorders>
          <w:left w:val="single" w:color="7F7F7F" w:sz="4" w:space="0"/>
          <w:right w:val="single" w:color="7F7F7F" w:sz="4" w:space="0"/>
        </w:tcBorders>
      </w:tcPr>
    </w:tblStylePr>
    <w:tblStylePr w:type="band2Vert">
      <w:tcPr>
        <w:tcBorders>
          <w:left w:val="single" w:color="7F7F7F" w:sz="4" w:space="0"/>
          <w:right w:val="single" w:color="7F7F7F" w:sz="4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</w:rPr>
      <w:tcPr>
        <w:tcBorders>
          <w:bottom w:val="single" w:color="7F7F7F" w:sz="4" w:space="0"/>
        </w:tcBorders>
      </w:tcPr>
    </w:tblStylePr>
    <w:tblStylePr w:type="lastCol">
      <w:rPr>
        <w:b/>
        <w:bCs/>
      </w:rPr>
    </w:tblStylePr>
    <w:tblStylePr w:type="lastRow">
      <w:rPr>
        <w:b/>
        <w:bCs/>
      </w:rPr>
      <w:tcPr>
        <w:tcBorders>
          <w:top w:val="single" w:color="7F7F7F" w:sz="4" w:space="0"/>
        </w:tcBorders>
      </w:tcPr>
    </w:tblStylePr>
  </w:style>
  <w:style w:type="table" w:styleId="2405" w:customStyle="1">
    <w:name w:val="Сетка таблицы172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406" w:customStyle="1">
    <w:name w:val="Сетка таблицы192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numbering" w:styleId="2407" w:customStyle="1">
    <w:name w:val="Нет списка77"/>
    <w:next w:val="944"/>
    <w:uiPriority w:val="99"/>
    <w:semiHidden/>
    <w:unhideWhenUsed/>
  </w:style>
  <w:style w:type="table" w:styleId="2408" w:customStyle="1">
    <w:name w:val="Сетка таблицы9"/>
    <w:basedOn w:val="943"/>
    <w:next w:val="961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09" w:customStyle="1">
    <w:name w:val="Сетка таблицы120"/>
    <w:basedOn w:val="943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10" w:customStyle="1">
    <w:name w:val="Сетка таблицы27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11" w:customStyle="1">
    <w:name w:val="Сетка таблицы1119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12" w:customStyle="1">
    <w:name w:val="Сетка таблицы126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13" w:customStyle="1">
    <w:name w:val="Сетка таблицы136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14" w:customStyle="1">
    <w:name w:val="Сетка таблицы146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15" w:customStyle="1">
    <w:name w:val="Сетка таблицы3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16" w:customStyle="1">
    <w:name w:val="Сетка таблицы158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17" w:customStyle="1">
    <w:name w:val="Сетка таблицы215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18" w:customStyle="1">
    <w:name w:val="Сетка таблицы11110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19" w:customStyle="1">
    <w:name w:val="Сетка таблицы225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20" w:customStyle="1">
    <w:name w:val="Сетка таблицы11118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21" w:customStyle="1">
    <w:name w:val="Сетка таблицы121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22" w:customStyle="1">
    <w:name w:val="Сетка таблицы131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23" w:customStyle="1">
    <w:name w:val="Сетка таблицы141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24" w:customStyle="1">
    <w:name w:val="Сетка таблицы4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25" w:customStyle="1">
    <w:name w:val="Сетка таблицы16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26" w:customStyle="1">
    <w:name w:val="Сетка таблицы234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27" w:customStyle="1">
    <w:name w:val="Сетка таблицы2114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28" w:customStyle="1">
    <w:name w:val="Сетка таблицы31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29" w:customStyle="1">
    <w:name w:val="Сетка таблицы1128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30" w:customStyle="1">
    <w:name w:val="Сетка таблицы2214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31" w:customStyle="1">
    <w:name w:val="Сетка таблицы1112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32" w:customStyle="1">
    <w:name w:val="Сетка таблицы122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33" w:customStyle="1">
    <w:name w:val="Сетка таблицы132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34" w:customStyle="1">
    <w:name w:val="Сетка таблицы142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35" w:customStyle="1">
    <w:name w:val="Сетка таблицы54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36" w:customStyle="1">
    <w:name w:val="TableGrid4"/>
    <w:pPr>
      <w:spacing w:after="0" w:line="240" w:lineRule="auto"/>
    </w:pPr>
    <w:rPr>
      <w:rFonts w:ascii="Calibri" w:hAnsi="Calibri" w:eastAsia="Times New Roman" w:cs="Times New Roman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2437" w:customStyle="1">
    <w:name w:val="Сетка таблицы63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38" w:customStyle="1">
    <w:name w:val="Plain Table 23"/>
    <w:basedOn w:val="943"/>
    <w:uiPriority w:val="42"/>
    <w:pPr>
      <w:spacing w:after="0" w:line="240" w:lineRule="auto"/>
    </w:pPr>
    <w:rPr>
      <w:rFonts w:ascii="Calibri" w:hAnsi="Calibri" w:eastAsia="Calibri" w:cs="Times New Roman"/>
    </w:rPr>
    <w:tblPr>
      <w:tblStyleRowBandSize w:val="1"/>
      <w:tblStyleColBandSize w:val="1"/>
      <w:tblBorders>
        <w:top w:val="single" w:color="7F7F7F" w:sz="4" w:space="0"/>
        <w:bottom w:val="single" w:color="7F7F7F" w:sz="4" w:space="0"/>
      </w:tblBorders>
    </w:tblPr>
    <w:tblStylePr w:type="band1Horz">
      <w:tcPr>
        <w:tcBorders>
          <w:top w:val="single" w:color="7F7F7F" w:sz="4" w:space="0"/>
          <w:bottom w:val="single" w:color="7F7F7F" w:sz="4" w:space="0"/>
        </w:tcBorders>
      </w:tcPr>
    </w:tblStylePr>
    <w:tblStylePr w:type="band1Vert">
      <w:tcPr>
        <w:tcBorders>
          <w:left w:val="single" w:color="7F7F7F" w:sz="4" w:space="0"/>
          <w:right w:val="single" w:color="7F7F7F" w:sz="4" w:space="0"/>
        </w:tcBorders>
      </w:tcPr>
    </w:tblStylePr>
    <w:tblStylePr w:type="band2Vert">
      <w:tcPr>
        <w:tcBorders>
          <w:left w:val="single" w:color="7F7F7F" w:sz="4" w:space="0"/>
          <w:right w:val="single" w:color="7F7F7F" w:sz="4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</w:rPr>
      <w:tcPr>
        <w:tcBorders>
          <w:bottom w:val="single" w:color="7F7F7F" w:sz="4" w:space="0"/>
        </w:tcBorders>
      </w:tcPr>
    </w:tblStylePr>
    <w:tblStylePr w:type="lastCol">
      <w:rPr>
        <w:b/>
        <w:bCs/>
      </w:rPr>
    </w:tblStylePr>
    <w:tblStylePr w:type="lastRow">
      <w:rPr>
        <w:b/>
        <w:bCs/>
      </w:rPr>
      <w:tcPr>
        <w:tcBorders>
          <w:top w:val="single" w:color="7F7F7F" w:sz="4" w:space="0"/>
        </w:tcBorders>
      </w:tcPr>
    </w:tblStylePr>
  </w:style>
  <w:style w:type="table" w:styleId="2439" w:customStyle="1">
    <w:name w:val="Сетка таблицы173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440" w:customStyle="1">
    <w:name w:val="Сетка таблицы183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441" w:customStyle="1">
    <w:name w:val="TableGrid13"/>
    <w:pPr>
      <w:spacing w:after="0" w:line="240" w:lineRule="auto"/>
    </w:pPr>
    <w:rPr>
      <w:rFonts w:ascii="Calibri" w:hAnsi="Calibri" w:eastAsia="Times New Roman" w:cs="Times New Roman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2442" w:customStyle="1">
    <w:name w:val="Сетка таблицы193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numbering" w:styleId="2443" w:customStyle="1">
    <w:name w:val="Нет списка78"/>
    <w:next w:val="944"/>
    <w:uiPriority w:val="99"/>
    <w:semiHidden/>
    <w:unhideWhenUsed/>
  </w:style>
  <w:style w:type="numbering" w:styleId="2444" w:customStyle="1">
    <w:name w:val="Нет списка79"/>
    <w:next w:val="944"/>
    <w:uiPriority w:val="99"/>
    <w:semiHidden/>
    <w:unhideWhenUsed/>
  </w:style>
  <w:style w:type="table" w:styleId="2445" w:customStyle="1">
    <w:name w:val="Сетка таблицы10"/>
    <w:basedOn w:val="943"/>
    <w:next w:val="961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46" w:customStyle="1">
    <w:name w:val="Сетка таблицы127"/>
    <w:basedOn w:val="943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47" w:customStyle="1">
    <w:name w:val="Сетка таблицы28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48" w:customStyle="1">
    <w:name w:val="Сетка таблицы1120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49" w:customStyle="1">
    <w:name w:val="Сетка таблицы128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50" w:customStyle="1">
    <w:name w:val="Сетка таблицы137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51" w:customStyle="1">
    <w:name w:val="Сетка таблицы147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52" w:customStyle="1">
    <w:name w:val="Сетка таблицы36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53" w:customStyle="1">
    <w:name w:val="Сетка таблицы159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54" w:customStyle="1">
    <w:name w:val="Сетка таблицы216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55" w:customStyle="1">
    <w:name w:val="Сетка таблицы11119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56" w:customStyle="1">
    <w:name w:val="Сетка таблицы226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57" w:customStyle="1">
    <w:name w:val="Сетка таблицы111110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58" w:customStyle="1">
    <w:name w:val="Сетка таблицы121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59" w:customStyle="1">
    <w:name w:val="Сетка таблицы131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60" w:customStyle="1">
    <w:name w:val="Сетка таблицы141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61" w:customStyle="1">
    <w:name w:val="Сетка таблицы4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62" w:customStyle="1">
    <w:name w:val="Сетка таблицы16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63" w:customStyle="1">
    <w:name w:val="Сетка таблицы235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64" w:customStyle="1">
    <w:name w:val="Сетка таблицы2115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65" w:customStyle="1">
    <w:name w:val="Сетка таблицы31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66" w:customStyle="1">
    <w:name w:val="Сетка таблицы1129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67" w:customStyle="1">
    <w:name w:val="Сетка таблицы2215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68" w:customStyle="1">
    <w:name w:val="Сетка таблицы1112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69" w:customStyle="1">
    <w:name w:val="Сетка таблицы122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70" w:customStyle="1">
    <w:name w:val="Сетка таблицы132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71" w:customStyle="1">
    <w:name w:val="Сетка таблицы142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72" w:customStyle="1">
    <w:name w:val="Сетка таблицы55"/>
    <w:basedOn w:val="943"/>
    <w:uiPriority w:val="5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73" w:customStyle="1">
    <w:name w:val="TableGrid5"/>
    <w:pPr>
      <w:spacing w:after="0" w:line="240" w:lineRule="auto"/>
    </w:pPr>
    <w:rPr>
      <w:rFonts w:ascii="Calibri" w:hAnsi="Calibri" w:eastAsia="Times New Roman" w:cs="Times New Roman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2474" w:customStyle="1">
    <w:name w:val="Сетка таблицы64"/>
    <w:basedOn w:val="943"/>
    <w:uiPriority w:val="39"/>
    <w:pPr>
      <w:spacing w:after="0" w:line="240" w:lineRule="auto"/>
    </w:pPr>
    <w:rPr>
      <w:rFonts w:ascii="Calibri" w:hAnsi="Calibri" w:eastAsia="Calibri" w:cs="Times New Roman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475" w:customStyle="1">
    <w:name w:val="Plain Table 24"/>
    <w:basedOn w:val="943"/>
    <w:uiPriority w:val="42"/>
    <w:pPr>
      <w:spacing w:after="0" w:line="240" w:lineRule="auto"/>
    </w:pPr>
    <w:rPr>
      <w:rFonts w:ascii="Calibri" w:hAnsi="Calibri" w:eastAsia="Calibri" w:cs="Times New Roman"/>
    </w:rPr>
    <w:tblPr>
      <w:tblStyleRowBandSize w:val="1"/>
      <w:tblStyleColBandSize w:val="1"/>
      <w:tblBorders>
        <w:top w:val="single" w:color="7F7F7F" w:sz="4" w:space="0"/>
        <w:bottom w:val="single" w:color="7F7F7F" w:sz="4" w:space="0"/>
      </w:tblBorders>
    </w:tblPr>
    <w:tblStylePr w:type="band1Horz">
      <w:tcPr>
        <w:tcBorders>
          <w:top w:val="single" w:color="7F7F7F" w:sz="4" w:space="0"/>
          <w:bottom w:val="single" w:color="7F7F7F" w:sz="4" w:space="0"/>
        </w:tcBorders>
      </w:tcPr>
    </w:tblStylePr>
    <w:tblStylePr w:type="band1Vert">
      <w:tcPr>
        <w:tcBorders>
          <w:left w:val="single" w:color="7F7F7F" w:sz="4" w:space="0"/>
          <w:right w:val="single" w:color="7F7F7F" w:sz="4" w:space="0"/>
        </w:tcBorders>
      </w:tcPr>
    </w:tblStylePr>
    <w:tblStylePr w:type="band2Vert">
      <w:tcPr>
        <w:tcBorders>
          <w:left w:val="single" w:color="7F7F7F" w:sz="4" w:space="0"/>
          <w:right w:val="single" w:color="7F7F7F" w:sz="4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</w:rPr>
      <w:tcPr>
        <w:tcBorders>
          <w:bottom w:val="single" w:color="7F7F7F" w:sz="4" w:space="0"/>
        </w:tcBorders>
      </w:tcPr>
    </w:tblStylePr>
    <w:tblStylePr w:type="lastCol">
      <w:rPr>
        <w:b/>
        <w:bCs/>
      </w:rPr>
    </w:tblStylePr>
    <w:tblStylePr w:type="lastRow">
      <w:rPr>
        <w:b/>
        <w:bCs/>
      </w:rPr>
      <w:tcPr>
        <w:tcBorders>
          <w:top w:val="single" w:color="7F7F7F" w:sz="4" w:space="0"/>
        </w:tcBorders>
      </w:tcPr>
    </w:tblStylePr>
  </w:style>
  <w:style w:type="table" w:styleId="2476" w:customStyle="1">
    <w:name w:val="Сетка таблицы174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477" w:customStyle="1">
    <w:name w:val="Сетка таблицы184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478" w:customStyle="1">
    <w:name w:val="TableGrid14"/>
    <w:pPr>
      <w:spacing w:after="0" w:line="240" w:lineRule="auto"/>
    </w:pPr>
    <w:rPr>
      <w:rFonts w:ascii="Calibri" w:hAnsi="Calibri" w:eastAsia="Times New Roman" w:cs="Times New Roman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2479" w:customStyle="1">
    <w:name w:val="Сетка таблицы194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numbering" w:styleId="2480" w:customStyle="1">
    <w:name w:val="Нет списка80"/>
    <w:next w:val="944"/>
    <w:uiPriority w:val="99"/>
    <w:semiHidden/>
    <w:unhideWhenUsed/>
  </w:style>
  <w:style w:type="numbering" w:styleId="2481" w:customStyle="1">
    <w:name w:val="Нет списка127"/>
    <w:next w:val="944"/>
    <w:uiPriority w:val="99"/>
    <w:semiHidden/>
    <w:unhideWhenUsed/>
  </w:style>
  <w:style w:type="numbering" w:styleId="2482" w:customStyle="1">
    <w:name w:val="Нет списка220"/>
    <w:next w:val="944"/>
    <w:uiPriority w:val="99"/>
    <w:semiHidden/>
    <w:unhideWhenUsed/>
  </w:style>
  <w:style w:type="numbering" w:styleId="2483" w:customStyle="1">
    <w:name w:val="Нет списка319"/>
    <w:next w:val="944"/>
    <w:uiPriority w:val="99"/>
    <w:semiHidden/>
    <w:unhideWhenUsed/>
  </w:style>
  <w:style w:type="numbering" w:styleId="2484" w:customStyle="1">
    <w:name w:val="Нет списка419"/>
    <w:next w:val="944"/>
    <w:uiPriority w:val="99"/>
    <w:semiHidden/>
    <w:unhideWhenUsed/>
  </w:style>
  <w:style w:type="numbering" w:styleId="2485" w:customStyle="1">
    <w:name w:val="Нет списка519"/>
    <w:next w:val="944"/>
    <w:uiPriority w:val="99"/>
    <w:semiHidden/>
    <w:unhideWhenUsed/>
  </w:style>
  <w:style w:type="numbering" w:styleId="2486" w:customStyle="1">
    <w:name w:val="Нет списка619"/>
    <w:next w:val="944"/>
    <w:uiPriority w:val="99"/>
    <w:semiHidden/>
    <w:unhideWhenUsed/>
  </w:style>
  <w:style w:type="numbering" w:styleId="2487" w:customStyle="1">
    <w:name w:val="Нет списка710"/>
    <w:next w:val="944"/>
    <w:uiPriority w:val="99"/>
    <w:semiHidden/>
    <w:unhideWhenUsed/>
  </w:style>
  <w:style w:type="numbering" w:styleId="2488" w:customStyle="1">
    <w:name w:val="Нет списка1117"/>
    <w:next w:val="944"/>
    <w:uiPriority w:val="99"/>
    <w:semiHidden/>
    <w:unhideWhenUsed/>
  </w:style>
  <w:style w:type="numbering" w:styleId="2489" w:customStyle="1">
    <w:name w:val="Нет списка2110"/>
    <w:next w:val="944"/>
    <w:uiPriority w:val="99"/>
    <w:semiHidden/>
    <w:unhideWhenUsed/>
  </w:style>
  <w:style w:type="numbering" w:styleId="2490" w:customStyle="1">
    <w:name w:val="Нет списка3110"/>
    <w:next w:val="944"/>
    <w:uiPriority w:val="99"/>
    <w:semiHidden/>
    <w:unhideWhenUsed/>
  </w:style>
  <w:style w:type="numbering" w:styleId="2491" w:customStyle="1">
    <w:name w:val="Нет списка4110"/>
    <w:next w:val="944"/>
    <w:uiPriority w:val="99"/>
    <w:semiHidden/>
    <w:unhideWhenUsed/>
  </w:style>
  <w:style w:type="numbering" w:styleId="2492" w:customStyle="1">
    <w:name w:val="Нет списка5110"/>
    <w:next w:val="944"/>
    <w:uiPriority w:val="99"/>
    <w:semiHidden/>
    <w:unhideWhenUsed/>
  </w:style>
  <w:style w:type="numbering" w:styleId="2493" w:customStyle="1">
    <w:name w:val="Нет списка6110"/>
    <w:next w:val="944"/>
    <w:uiPriority w:val="99"/>
    <w:semiHidden/>
    <w:unhideWhenUsed/>
  </w:style>
  <w:style w:type="table" w:styleId="2494" w:customStyle="1">
    <w:name w:val="Сетка таблицы129"/>
    <w:basedOn w:val="943"/>
    <w:next w:val="961"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numbering" w:styleId="2495" w:customStyle="1">
    <w:name w:val="Нет списка87"/>
    <w:next w:val="944"/>
    <w:uiPriority w:val="99"/>
    <w:semiHidden/>
    <w:unhideWhenUsed/>
  </w:style>
  <w:style w:type="numbering" w:styleId="2496" w:customStyle="1">
    <w:name w:val="Нет списка128"/>
    <w:next w:val="944"/>
    <w:uiPriority w:val="99"/>
    <w:semiHidden/>
    <w:unhideWhenUsed/>
  </w:style>
  <w:style w:type="numbering" w:styleId="2497" w:customStyle="1">
    <w:name w:val="Нет списка227"/>
    <w:next w:val="944"/>
    <w:uiPriority w:val="99"/>
    <w:semiHidden/>
    <w:unhideWhenUsed/>
  </w:style>
  <w:style w:type="numbering" w:styleId="2498" w:customStyle="1">
    <w:name w:val="Нет списка327"/>
    <w:next w:val="944"/>
    <w:uiPriority w:val="99"/>
    <w:semiHidden/>
    <w:unhideWhenUsed/>
  </w:style>
  <w:style w:type="numbering" w:styleId="2499" w:customStyle="1">
    <w:name w:val="Нет списка427"/>
    <w:next w:val="944"/>
    <w:uiPriority w:val="99"/>
    <w:semiHidden/>
    <w:unhideWhenUsed/>
  </w:style>
  <w:style w:type="numbering" w:styleId="2500" w:customStyle="1">
    <w:name w:val="Нет списка527"/>
    <w:next w:val="944"/>
    <w:uiPriority w:val="99"/>
    <w:semiHidden/>
    <w:unhideWhenUsed/>
  </w:style>
  <w:style w:type="numbering" w:styleId="2501" w:customStyle="1">
    <w:name w:val="Нет списка627"/>
    <w:next w:val="944"/>
    <w:uiPriority w:val="99"/>
    <w:semiHidden/>
    <w:unhideWhenUsed/>
  </w:style>
  <w:style w:type="numbering" w:styleId="2502" w:customStyle="1">
    <w:name w:val="Нет списка97"/>
    <w:next w:val="944"/>
    <w:uiPriority w:val="99"/>
    <w:semiHidden/>
    <w:unhideWhenUsed/>
  </w:style>
  <w:style w:type="numbering" w:styleId="2503" w:customStyle="1">
    <w:name w:val="Нет списка137"/>
    <w:next w:val="944"/>
    <w:uiPriority w:val="99"/>
    <w:semiHidden/>
    <w:unhideWhenUsed/>
  </w:style>
  <w:style w:type="numbering" w:styleId="2504" w:customStyle="1">
    <w:name w:val="Нет списка237"/>
    <w:next w:val="944"/>
    <w:uiPriority w:val="99"/>
    <w:semiHidden/>
    <w:unhideWhenUsed/>
  </w:style>
  <w:style w:type="numbering" w:styleId="2505" w:customStyle="1">
    <w:name w:val="Нет списка337"/>
    <w:next w:val="944"/>
    <w:uiPriority w:val="99"/>
    <w:semiHidden/>
    <w:unhideWhenUsed/>
  </w:style>
  <w:style w:type="numbering" w:styleId="2506" w:customStyle="1">
    <w:name w:val="Нет списка437"/>
    <w:next w:val="944"/>
    <w:uiPriority w:val="99"/>
    <w:semiHidden/>
    <w:unhideWhenUsed/>
  </w:style>
  <w:style w:type="numbering" w:styleId="2507" w:customStyle="1">
    <w:name w:val="Нет списка537"/>
    <w:next w:val="944"/>
    <w:uiPriority w:val="99"/>
    <w:semiHidden/>
    <w:unhideWhenUsed/>
  </w:style>
  <w:style w:type="numbering" w:styleId="2508" w:customStyle="1">
    <w:name w:val="Нет списка637"/>
    <w:next w:val="944"/>
    <w:uiPriority w:val="99"/>
    <w:semiHidden/>
    <w:unhideWhenUsed/>
  </w:style>
  <w:style w:type="table" w:styleId="2509" w:customStyle="1">
    <w:name w:val="Сетка таблицы1130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510" w:customStyle="1">
    <w:name w:val="Нет списка107"/>
    <w:next w:val="944"/>
    <w:uiPriority w:val="99"/>
    <w:semiHidden/>
    <w:unhideWhenUsed/>
  </w:style>
  <w:style w:type="numbering" w:styleId="2511" w:customStyle="1">
    <w:name w:val="Нет списка147"/>
    <w:next w:val="944"/>
    <w:uiPriority w:val="99"/>
    <w:semiHidden/>
    <w:unhideWhenUsed/>
  </w:style>
  <w:style w:type="numbering" w:styleId="2512" w:customStyle="1">
    <w:name w:val="Нет списка247"/>
    <w:next w:val="944"/>
    <w:uiPriority w:val="99"/>
    <w:semiHidden/>
    <w:unhideWhenUsed/>
  </w:style>
  <w:style w:type="numbering" w:styleId="2513" w:customStyle="1">
    <w:name w:val="Нет списка347"/>
    <w:next w:val="944"/>
    <w:uiPriority w:val="99"/>
    <w:semiHidden/>
    <w:unhideWhenUsed/>
  </w:style>
  <w:style w:type="numbering" w:styleId="2514" w:customStyle="1">
    <w:name w:val="Нет списка447"/>
    <w:next w:val="944"/>
    <w:uiPriority w:val="99"/>
    <w:semiHidden/>
    <w:unhideWhenUsed/>
  </w:style>
  <w:style w:type="numbering" w:styleId="2515" w:customStyle="1">
    <w:name w:val="Нет списка547"/>
    <w:next w:val="944"/>
    <w:uiPriority w:val="99"/>
    <w:semiHidden/>
    <w:unhideWhenUsed/>
  </w:style>
  <w:style w:type="numbering" w:styleId="2516" w:customStyle="1">
    <w:name w:val="Нет списка647"/>
    <w:next w:val="944"/>
    <w:uiPriority w:val="99"/>
    <w:semiHidden/>
    <w:unhideWhenUsed/>
  </w:style>
  <w:style w:type="numbering" w:styleId="2517" w:customStyle="1">
    <w:name w:val="Нет списка157"/>
    <w:next w:val="944"/>
    <w:uiPriority w:val="99"/>
    <w:semiHidden/>
    <w:unhideWhenUsed/>
  </w:style>
  <w:style w:type="numbering" w:styleId="2518" w:customStyle="1">
    <w:name w:val="Нет списка167"/>
    <w:next w:val="944"/>
    <w:uiPriority w:val="99"/>
    <w:semiHidden/>
    <w:unhideWhenUsed/>
  </w:style>
  <w:style w:type="numbering" w:styleId="2519" w:customStyle="1">
    <w:name w:val="Нет списка257"/>
    <w:next w:val="944"/>
    <w:uiPriority w:val="99"/>
    <w:semiHidden/>
    <w:unhideWhenUsed/>
  </w:style>
  <w:style w:type="numbering" w:styleId="2520" w:customStyle="1">
    <w:name w:val="Нет списка357"/>
    <w:next w:val="944"/>
    <w:uiPriority w:val="99"/>
    <w:semiHidden/>
    <w:unhideWhenUsed/>
  </w:style>
  <w:style w:type="numbering" w:styleId="2521" w:customStyle="1">
    <w:name w:val="Нет списка457"/>
    <w:next w:val="944"/>
    <w:uiPriority w:val="99"/>
    <w:semiHidden/>
    <w:unhideWhenUsed/>
  </w:style>
  <w:style w:type="numbering" w:styleId="2522" w:customStyle="1">
    <w:name w:val="Нет списка557"/>
    <w:next w:val="944"/>
    <w:uiPriority w:val="99"/>
    <w:semiHidden/>
    <w:unhideWhenUsed/>
  </w:style>
  <w:style w:type="numbering" w:styleId="2523" w:customStyle="1">
    <w:name w:val="Нет списка657"/>
    <w:next w:val="944"/>
    <w:uiPriority w:val="99"/>
    <w:semiHidden/>
    <w:unhideWhenUsed/>
  </w:style>
  <w:style w:type="numbering" w:styleId="2524" w:customStyle="1">
    <w:name w:val="Нет списка177"/>
    <w:next w:val="944"/>
    <w:uiPriority w:val="99"/>
    <w:semiHidden/>
    <w:unhideWhenUsed/>
  </w:style>
  <w:style w:type="numbering" w:styleId="2525" w:customStyle="1">
    <w:name w:val="Нет списка187"/>
    <w:next w:val="944"/>
    <w:uiPriority w:val="99"/>
    <w:semiHidden/>
    <w:unhideWhenUsed/>
  </w:style>
  <w:style w:type="numbering" w:styleId="2526" w:customStyle="1">
    <w:name w:val="Нет списка267"/>
    <w:next w:val="944"/>
    <w:uiPriority w:val="99"/>
    <w:semiHidden/>
    <w:unhideWhenUsed/>
  </w:style>
  <w:style w:type="numbering" w:styleId="2527" w:customStyle="1">
    <w:name w:val="Нет списка367"/>
    <w:next w:val="944"/>
    <w:uiPriority w:val="99"/>
    <w:semiHidden/>
    <w:unhideWhenUsed/>
  </w:style>
  <w:style w:type="numbering" w:styleId="2528" w:customStyle="1">
    <w:name w:val="Нет списка467"/>
    <w:next w:val="944"/>
    <w:uiPriority w:val="99"/>
    <w:semiHidden/>
    <w:unhideWhenUsed/>
  </w:style>
  <w:style w:type="numbering" w:styleId="2529" w:customStyle="1">
    <w:name w:val="Нет списка567"/>
    <w:next w:val="944"/>
    <w:uiPriority w:val="99"/>
    <w:semiHidden/>
    <w:unhideWhenUsed/>
  </w:style>
  <w:style w:type="numbering" w:styleId="2530" w:customStyle="1">
    <w:name w:val="Нет списка667"/>
    <w:next w:val="944"/>
    <w:uiPriority w:val="99"/>
    <w:semiHidden/>
    <w:unhideWhenUsed/>
  </w:style>
  <w:style w:type="numbering" w:styleId="2531" w:customStyle="1">
    <w:name w:val="Нет списка196"/>
    <w:next w:val="944"/>
    <w:uiPriority w:val="99"/>
    <w:semiHidden/>
    <w:unhideWhenUsed/>
  </w:style>
  <w:style w:type="numbering" w:styleId="2532" w:customStyle="1">
    <w:name w:val="Нет списка1106"/>
    <w:next w:val="944"/>
    <w:uiPriority w:val="99"/>
    <w:semiHidden/>
    <w:unhideWhenUsed/>
  </w:style>
  <w:style w:type="numbering" w:styleId="2533" w:customStyle="1">
    <w:name w:val="Нет списка276"/>
    <w:next w:val="944"/>
    <w:uiPriority w:val="99"/>
    <w:semiHidden/>
    <w:unhideWhenUsed/>
  </w:style>
  <w:style w:type="numbering" w:styleId="2534" w:customStyle="1">
    <w:name w:val="Нет списка376"/>
    <w:next w:val="944"/>
    <w:uiPriority w:val="99"/>
    <w:semiHidden/>
    <w:unhideWhenUsed/>
  </w:style>
  <w:style w:type="numbering" w:styleId="2535" w:customStyle="1">
    <w:name w:val="Нет списка476"/>
    <w:next w:val="944"/>
    <w:uiPriority w:val="99"/>
    <w:semiHidden/>
    <w:unhideWhenUsed/>
  </w:style>
  <w:style w:type="numbering" w:styleId="2536" w:customStyle="1">
    <w:name w:val="Нет списка576"/>
    <w:next w:val="944"/>
    <w:uiPriority w:val="99"/>
    <w:semiHidden/>
    <w:unhideWhenUsed/>
  </w:style>
  <w:style w:type="numbering" w:styleId="2537" w:customStyle="1">
    <w:name w:val="Нет списка676"/>
    <w:next w:val="944"/>
    <w:uiPriority w:val="99"/>
    <w:semiHidden/>
    <w:unhideWhenUsed/>
  </w:style>
  <w:style w:type="table" w:styleId="2538" w:customStyle="1">
    <w:name w:val="Сетка таблицы1510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539" w:customStyle="1">
    <w:name w:val="Нет списка717"/>
    <w:next w:val="944"/>
    <w:uiPriority w:val="99"/>
    <w:semiHidden/>
    <w:unhideWhenUsed/>
  </w:style>
  <w:style w:type="numbering" w:styleId="2540" w:customStyle="1">
    <w:name w:val="Нет списка1118"/>
    <w:next w:val="944"/>
    <w:uiPriority w:val="99"/>
    <w:semiHidden/>
    <w:unhideWhenUsed/>
  </w:style>
  <w:style w:type="numbering" w:styleId="2541" w:customStyle="1">
    <w:name w:val="Нет списка2117"/>
    <w:next w:val="944"/>
    <w:uiPriority w:val="99"/>
    <w:semiHidden/>
    <w:unhideWhenUsed/>
  </w:style>
  <w:style w:type="numbering" w:styleId="2542" w:customStyle="1">
    <w:name w:val="Нет списка3117"/>
    <w:next w:val="944"/>
    <w:uiPriority w:val="99"/>
    <w:semiHidden/>
    <w:unhideWhenUsed/>
  </w:style>
  <w:style w:type="numbering" w:styleId="2543" w:customStyle="1">
    <w:name w:val="Нет списка4117"/>
    <w:next w:val="944"/>
    <w:uiPriority w:val="99"/>
    <w:semiHidden/>
    <w:unhideWhenUsed/>
  </w:style>
  <w:style w:type="numbering" w:styleId="2544" w:customStyle="1">
    <w:name w:val="Нет списка5117"/>
    <w:next w:val="944"/>
    <w:uiPriority w:val="99"/>
    <w:semiHidden/>
    <w:unhideWhenUsed/>
  </w:style>
  <w:style w:type="numbering" w:styleId="2545" w:customStyle="1">
    <w:name w:val="Нет списка6117"/>
    <w:next w:val="944"/>
    <w:uiPriority w:val="99"/>
    <w:semiHidden/>
    <w:unhideWhenUsed/>
  </w:style>
  <w:style w:type="numbering" w:styleId="2546" w:customStyle="1">
    <w:name w:val="Нет списка7116"/>
    <w:next w:val="944"/>
    <w:uiPriority w:val="99"/>
    <w:semiHidden/>
    <w:unhideWhenUsed/>
  </w:style>
  <w:style w:type="numbering" w:styleId="2547" w:customStyle="1">
    <w:name w:val="Нет списка11116"/>
    <w:next w:val="944"/>
    <w:uiPriority w:val="99"/>
    <w:semiHidden/>
    <w:unhideWhenUsed/>
  </w:style>
  <w:style w:type="numbering" w:styleId="2548" w:customStyle="1">
    <w:name w:val="Нет списка21116"/>
    <w:next w:val="944"/>
    <w:uiPriority w:val="99"/>
    <w:semiHidden/>
    <w:unhideWhenUsed/>
  </w:style>
  <w:style w:type="numbering" w:styleId="2549" w:customStyle="1">
    <w:name w:val="Нет списка31116"/>
    <w:next w:val="944"/>
    <w:uiPriority w:val="99"/>
    <w:semiHidden/>
    <w:unhideWhenUsed/>
  </w:style>
  <w:style w:type="numbering" w:styleId="2550" w:customStyle="1">
    <w:name w:val="Нет списка41116"/>
    <w:next w:val="944"/>
    <w:uiPriority w:val="99"/>
    <w:semiHidden/>
    <w:unhideWhenUsed/>
  </w:style>
  <w:style w:type="numbering" w:styleId="2551" w:customStyle="1">
    <w:name w:val="Нет списка51116"/>
    <w:next w:val="944"/>
    <w:uiPriority w:val="99"/>
    <w:semiHidden/>
    <w:unhideWhenUsed/>
  </w:style>
  <w:style w:type="numbering" w:styleId="2552" w:customStyle="1">
    <w:name w:val="Нет списка61116"/>
    <w:next w:val="944"/>
    <w:uiPriority w:val="99"/>
    <w:semiHidden/>
    <w:unhideWhenUsed/>
  </w:style>
  <w:style w:type="table" w:styleId="2553" w:customStyle="1">
    <w:name w:val="Сетка таблицы11120"/>
    <w:basedOn w:val="943"/>
    <w:next w:val="961"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numbering" w:styleId="2554" w:customStyle="1">
    <w:name w:val="Нет списка816"/>
    <w:next w:val="944"/>
    <w:uiPriority w:val="99"/>
    <w:semiHidden/>
    <w:unhideWhenUsed/>
  </w:style>
  <w:style w:type="numbering" w:styleId="2555" w:customStyle="1">
    <w:name w:val="Нет списка1216"/>
    <w:next w:val="944"/>
    <w:uiPriority w:val="99"/>
    <w:semiHidden/>
    <w:unhideWhenUsed/>
  </w:style>
  <w:style w:type="numbering" w:styleId="2556" w:customStyle="1">
    <w:name w:val="Нет списка2216"/>
    <w:next w:val="944"/>
    <w:uiPriority w:val="99"/>
    <w:semiHidden/>
    <w:unhideWhenUsed/>
  </w:style>
  <w:style w:type="numbering" w:styleId="2557" w:customStyle="1">
    <w:name w:val="Нет списка3216"/>
    <w:next w:val="944"/>
    <w:uiPriority w:val="99"/>
    <w:semiHidden/>
    <w:unhideWhenUsed/>
  </w:style>
  <w:style w:type="numbering" w:styleId="2558" w:customStyle="1">
    <w:name w:val="Нет списка4216"/>
    <w:next w:val="944"/>
    <w:uiPriority w:val="99"/>
    <w:semiHidden/>
    <w:unhideWhenUsed/>
  </w:style>
  <w:style w:type="numbering" w:styleId="2559" w:customStyle="1">
    <w:name w:val="Нет списка5216"/>
    <w:next w:val="944"/>
    <w:uiPriority w:val="99"/>
    <w:semiHidden/>
    <w:unhideWhenUsed/>
  </w:style>
  <w:style w:type="numbering" w:styleId="2560" w:customStyle="1">
    <w:name w:val="Нет списка6216"/>
    <w:next w:val="944"/>
    <w:uiPriority w:val="99"/>
    <w:semiHidden/>
    <w:unhideWhenUsed/>
  </w:style>
  <w:style w:type="numbering" w:styleId="2561" w:customStyle="1">
    <w:name w:val="Нет списка916"/>
    <w:next w:val="944"/>
    <w:uiPriority w:val="99"/>
    <w:semiHidden/>
    <w:unhideWhenUsed/>
  </w:style>
  <w:style w:type="numbering" w:styleId="2562" w:customStyle="1">
    <w:name w:val="Нет списка1316"/>
    <w:next w:val="944"/>
    <w:uiPriority w:val="99"/>
    <w:semiHidden/>
    <w:unhideWhenUsed/>
  </w:style>
  <w:style w:type="numbering" w:styleId="2563" w:customStyle="1">
    <w:name w:val="Нет списка2316"/>
    <w:next w:val="944"/>
    <w:uiPriority w:val="99"/>
    <w:semiHidden/>
    <w:unhideWhenUsed/>
  </w:style>
  <w:style w:type="numbering" w:styleId="2564" w:customStyle="1">
    <w:name w:val="Нет списка3316"/>
    <w:next w:val="944"/>
    <w:uiPriority w:val="99"/>
    <w:semiHidden/>
    <w:unhideWhenUsed/>
  </w:style>
  <w:style w:type="numbering" w:styleId="2565" w:customStyle="1">
    <w:name w:val="Нет списка4316"/>
    <w:next w:val="944"/>
    <w:uiPriority w:val="99"/>
    <w:semiHidden/>
    <w:unhideWhenUsed/>
  </w:style>
  <w:style w:type="numbering" w:styleId="2566" w:customStyle="1">
    <w:name w:val="Нет списка5316"/>
    <w:next w:val="944"/>
    <w:uiPriority w:val="99"/>
    <w:semiHidden/>
    <w:unhideWhenUsed/>
  </w:style>
  <w:style w:type="numbering" w:styleId="2567" w:customStyle="1">
    <w:name w:val="Нет списка6316"/>
    <w:next w:val="944"/>
    <w:uiPriority w:val="99"/>
    <w:semiHidden/>
    <w:unhideWhenUsed/>
  </w:style>
  <w:style w:type="numbering" w:styleId="2568" w:customStyle="1">
    <w:name w:val="Нет списка1016"/>
    <w:next w:val="944"/>
    <w:uiPriority w:val="99"/>
    <w:semiHidden/>
    <w:unhideWhenUsed/>
  </w:style>
  <w:style w:type="numbering" w:styleId="2569" w:customStyle="1">
    <w:name w:val="Нет списка1416"/>
    <w:next w:val="944"/>
    <w:uiPriority w:val="99"/>
    <w:semiHidden/>
    <w:unhideWhenUsed/>
  </w:style>
  <w:style w:type="numbering" w:styleId="2570" w:customStyle="1">
    <w:name w:val="Нет списка2416"/>
    <w:next w:val="944"/>
    <w:uiPriority w:val="99"/>
    <w:semiHidden/>
    <w:unhideWhenUsed/>
  </w:style>
  <w:style w:type="numbering" w:styleId="2571" w:customStyle="1">
    <w:name w:val="Нет списка3416"/>
    <w:next w:val="944"/>
    <w:uiPriority w:val="99"/>
    <w:semiHidden/>
    <w:unhideWhenUsed/>
  </w:style>
  <w:style w:type="numbering" w:styleId="2572" w:customStyle="1">
    <w:name w:val="Нет списка4416"/>
    <w:next w:val="944"/>
    <w:uiPriority w:val="99"/>
    <w:semiHidden/>
    <w:unhideWhenUsed/>
  </w:style>
  <w:style w:type="numbering" w:styleId="2573" w:customStyle="1">
    <w:name w:val="Нет списка5416"/>
    <w:next w:val="944"/>
    <w:uiPriority w:val="99"/>
    <w:semiHidden/>
    <w:unhideWhenUsed/>
  </w:style>
  <w:style w:type="numbering" w:styleId="2574" w:customStyle="1">
    <w:name w:val="Нет списка6416"/>
    <w:next w:val="944"/>
    <w:uiPriority w:val="99"/>
    <w:semiHidden/>
    <w:unhideWhenUsed/>
  </w:style>
  <w:style w:type="numbering" w:styleId="2575" w:customStyle="1">
    <w:name w:val="Нет списка1516"/>
    <w:next w:val="944"/>
    <w:uiPriority w:val="99"/>
    <w:semiHidden/>
    <w:unhideWhenUsed/>
  </w:style>
  <w:style w:type="numbering" w:styleId="2576" w:customStyle="1">
    <w:name w:val="Нет списка1616"/>
    <w:next w:val="944"/>
    <w:uiPriority w:val="99"/>
    <w:semiHidden/>
    <w:unhideWhenUsed/>
  </w:style>
  <w:style w:type="numbering" w:styleId="2577" w:customStyle="1">
    <w:name w:val="Нет списка2516"/>
    <w:next w:val="944"/>
    <w:uiPriority w:val="99"/>
    <w:semiHidden/>
    <w:unhideWhenUsed/>
  </w:style>
  <w:style w:type="numbering" w:styleId="2578" w:customStyle="1">
    <w:name w:val="Нет списка3516"/>
    <w:next w:val="944"/>
    <w:uiPriority w:val="99"/>
    <w:semiHidden/>
    <w:unhideWhenUsed/>
  </w:style>
  <w:style w:type="numbering" w:styleId="2579" w:customStyle="1">
    <w:name w:val="Нет списка4516"/>
    <w:next w:val="944"/>
    <w:uiPriority w:val="99"/>
    <w:semiHidden/>
    <w:unhideWhenUsed/>
  </w:style>
  <w:style w:type="numbering" w:styleId="2580" w:customStyle="1">
    <w:name w:val="Нет списка5516"/>
    <w:next w:val="944"/>
    <w:uiPriority w:val="99"/>
    <w:semiHidden/>
    <w:unhideWhenUsed/>
  </w:style>
  <w:style w:type="numbering" w:styleId="2581" w:customStyle="1">
    <w:name w:val="Нет списка6516"/>
    <w:next w:val="944"/>
    <w:uiPriority w:val="99"/>
    <w:semiHidden/>
    <w:unhideWhenUsed/>
  </w:style>
  <w:style w:type="numbering" w:styleId="2582" w:customStyle="1">
    <w:name w:val="Нет списка1716"/>
    <w:next w:val="944"/>
    <w:uiPriority w:val="99"/>
    <w:semiHidden/>
    <w:unhideWhenUsed/>
  </w:style>
  <w:style w:type="numbering" w:styleId="2583" w:customStyle="1">
    <w:name w:val="Нет списка1816"/>
    <w:next w:val="944"/>
    <w:uiPriority w:val="99"/>
    <w:semiHidden/>
    <w:unhideWhenUsed/>
  </w:style>
  <w:style w:type="numbering" w:styleId="2584" w:customStyle="1">
    <w:name w:val="Нет списка2616"/>
    <w:next w:val="944"/>
    <w:uiPriority w:val="99"/>
    <w:semiHidden/>
    <w:unhideWhenUsed/>
  </w:style>
  <w:style w:type="numbering" w:styleId="2585" w:customStyle="1">
    <w:name w:val="Нет списка3616"/>
    <w:next w:val="944"/>
    <w:uiPriority w:val="99"/>
    <w:semiHidden/>
    <w:unhideWhenUsed/>
  </w:style>
  <w:style w:type="numbering" w:styleId="2586" w:customStyle="1">
    <w:name w:val="Нет списка4616"/>
    <w:next w:val="944"/>
    <w:uiPriority w:val="99"/>
    <w:semiHidden/>
    <w:unhideWhenUsed/>
  </w:style>
  <w:style w:type="numbering" w:styleId="2587" w:customStyle="1">
    <w:name w:val="Нет списка5616"/>
    <w:next w:val="944"/>
    <w:uiPriority w:val="99"/>
    <w:semiHidden/>
    <w:unhideWhenUsed/>
  </w:style>
  <w:style w:type="numbering" w:styleId="2588" w:customStyle="1">
    <w:name w:val="Нет списка6616"/>
    <w:next w:val="944"/>
    <w:uiPriority w:val="99"/>
    <w:semiHidden/>
    <w:unhideWhenUsed/>
  </w:style>
  <w:style w:type="numbering" w:styleId="2589" w:customStyle="1">
    <w:name w:val="Нет списка205"/>
    <w:next w:val="944"/>
    <w:uiPriority w:val="99"/>
    <w:semiHidden/>
    <w:unhideWhenUsed/>
  </w:style>
  <w:style w:type="numbering" w:styleId="2590" w:customStyle="1">
    <w:name w:val="Нет списка1126"/>
    <w:next w:val="944"/>
    <w:uiPriority w:val="99"/>
    <w:semiHidden/>
    <w:unhideWhenUsed/>
  </w:style>
  <w:style w:type="numbering" w:styleId="2591" w:customStyle="1">
    <w:name w:val="Нет списка285"/>
    <w:next w:val="944"/>
    <w:uiPriority w:val="99"/>
    <w:semiHidden/>
    <w:unhideWhenUsed/>
  </w:style>
  <w:style w:type="numbering" w:styleId="2592" w:customStyle="1">
    <w:name w:val="Нет списка385"/>
    <w:next w:val="944"/>
    <w:uiPriority w:val="99"/>
    <w:semiHidden/>
    <w:unhideWhenUsed/>
  </w:style>
  <w:style w:type="numbering" w:styleId="2593" w:customStyle="1">
    <w:name w:val="Нет списка485"/>
    <w:next w:val="944"/>
    <w:uiPriority w:val="99"/>
    <w:semiHidden/>
    <w:unhideWhenUsed/>
  </w:style>
  <w:style w:type="numbering" w:styleId="2594" w:customStyle="1">
    <w:name w:val="Нет списка585"/>
    <w:next w:val="944"/>
    <w:uiPriority w:val="99"/>
    <w:semiHidden/>
    <w:unhideWhenUsed/>
  </w:style>
  <w:style w:type="numbering" w:styleId="2595" w:customStyle="1">
    <w:name w:val="Нет списка685"/>
    <w:next w:val="944"/>
    <w:uiPriority w:val="99"/>
    <w:semiHidden/>
    <w:unhideWhenUsed/>
  </w:style>
  <w:style w:type="numbering" w:styleId="2596" w:customStyle="1">
    <w:name w:val="Нет списка726"/>
    <w:next w:val="944"/>
    <w:uiPriority w:val="99"/>
    <w:semiHidden/>
    <w:unhideWhenUsed/>
  </w:style>
  <w:style w:type="numbering" w:styleId="2597" w:customStyle="1">
    <w:name w:val="Нет списка1135"/>
    <w:next w:val="944"/>
    <w:uiPriority w:val="99"/>
    <w:semiHidden/>
    <w:unhideWhenUsed/>
  </w:style>
  <w:style w:type="numbering" w:styleId="2598" w:customStyle="1">
    <w:name w:val="Нет списка2126"/>
    <w:next w:val="944"/>
    <w:uiPriority w:val="99"/>
    <w:semiHidden/>
    <w:unhideWhenUsed/>
  </w:style>
  <w:style w:type="numbering" w:styleId="2599" w:customStyle="1">
    <w:name w:val="Нет списка3126"/>
    <w:next w:val="944"/>
    <w:uiPriority w:val="99"/>
    <w:semiHidden/>
    <w:unhideWhenUsed/>
  </w:style>
  <w:style w:type="numbering" w:styleId="2600" w:customStyle="1">
    <w:name w:val="Нет списка4126"/>
    <w:next w:val="944"/>
    <w:uiPriority w:val="99"/>
    <w:semiHidden/>
    <w:unhideWhenUsed/>
  </w:style>
  <w:style w:type="numbering" w:styleId="2601" w:customStyle="1">
    <w:name w:val="Нет списка5126"/>
    <w:next w:val="944"/>
    <w:uiPriority w:val="99"/>
    <w:semiHidden/>
    <w:unhideWhenUsed/>
  </w:style>
  <w:style w:type="numbering" w:styleId="2602" w:customStyle="1">
    <w:name w:val="Нет списка6126"/>
    <w:next w:val="944"/>
    <w:uiPriority w:val="99"/>
    <w:semiHidden/>
    <w:unhideWhenUsed/>
  </w:style>
  <w:style w:type="numbering" w:styleId="2603" w:customStyle="1">
    <w:name w:val="Нет списка7125"/>
    <w:next w:val="944"/>
    <w:uiPriority w:val="99"/>
    <w:semiHidden/>
    <w:unhideWhenUsed/>
  </w:style>
  <w:style w:type="numbering" w:styleId="2604" w:customStyle="1">
    <w:name w:val="Нет списка11125"/>
    <w:next w:val="944"/>
    <w:uiPriority w:val="99"/>
    <w:semiHidden/>
    <w:unhideWhenUsed/>
  </w:style>
  <w:style w:type="numbering" w:styleId="2605" w:customStyle="1">
    <w:name w:val="Нет списка21125"/>
    <w:next w:val="944"/>
    <w:uiPriority w:val="99"/>
    <w:semiHidden/>
    <w:unhideWhenUsed/>
  </w:style>
  <w:style w:type="numbering" w:styleId="2606" w:customStyle="1">
    <w:name w:val="Нет списка31125"/>
    <w:next w:val="944"/>
    <w:uiPriority w:val="99"/>
    <w:semiHidden/>
    <w:unhideWhenUsed/>
  </w:style>
  <w:style w:type="numbering" w:styleId="2607" w:customStyle="1">
    <w:name w:val="Нет списка41125"/>
    <w:next w:val="944"/>
    <w:uiPriority w:val="99"/>
    <w:semiHidden/>
    <w:unhideWhenUsed/>
  </w:style>
  <w:style w:type="numbering" w:styleId="2608" w:customStyle="1">
    <w:name w:val="Нет списка51125"/>
    <w:next w:val="944"/>
    <w:uiPriority w:val="99"/>
    <w:semiHidden/>
    <w:unhideWhenUsed/>
  </w:style>
  <w:style w:type="numbering" w:styleId="2609" w:customStyle="1">
    <w:name w:val="Нет списка61125"/>
    <w:next w:val="944"/>
    <w:uiPriority w:val="99"/>
    <w:semiHidden/>
    <w:unhideWhenUsed/>
  </w:style>
  <w:style w:type="table" w:styleId="2610" w:customStyle="1">
    <w:name w:val="Сетка таблицы11210"/>
    <w:basedOn w:val="943"/>
    <w:next w:val="961"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numbering" w:styleId="2611" w:customStyle="1">
    <w:name w:val="Нет списка825"/>
    <w:next w:val="944"/>
    <w:uiPriority w:val="99"/>
    <w:semiHidden/>
    <w:unhideWhenUsed/>
  </w:style>
  <w:style w:type="numbering" w:styleId="2612" w:customStyle="1">
    <w:name w:val="Нет списка1225"/>
    <w:next w:val="944"/>
    <w:uiPriority w:val="99"/>
    <w:semiHidden/>
    <w:unhideWhenUsed/>
  </w:style>
  <w:style w:type="numbering" w:styleId="2613" w:customStyle="1">
    <w:name w:val="Нет списка2225"/>
    <w:next w:val="944"/>
    <w:uiPriority w:val="99"/>
    <w:semiHidden/>
    <w:unhideWhenUsed/>
  </w:style>
  <w:style w:type="numbering" w:styleId="2614" w:customStyle="1">
    <w:name w:val="Нет списка3225"/>
    <w:next w:val="944"/>
    <w:uiPriority w:val="99"/>
    <w:semiHidden/>
    <w:unhideWhenUsed/>
  </w:style>
  <w:style w:type="numbering" w:styleId="2615" w:customStyle="1">
    <w:name w:val="Нет списка4225"/>
    <w:next w:val="944"/>
    <w:uiPriority w:val="99"/>
    <w:semiHidden/>
    <w:unhideWhenUsed/>
  </w:style>
  <w:style w:type="numbering" w:styleId="2616" w:customStyle="1">
    <w:name w:val="Нет списка5225"/>
    <w:next w:val="944"/>
    <w:uiPriority w:val="99"/>
    <w:semiHidden/>
    <w:unhideWhenUsed/>
  </w:style>
  <w:style w:type="numbering" w:styleId="2617" w:customStyle="1">
    <w:name w:val="Нет списка6225"/>
    <w:next w:val="944"/>
    <w:uiPriority w:val="99"/>
    <w:semiHidden/>
    <w:unhideWhenUsed/>
  </w:style>
  <w:style w:type="numbering" w:styleId="2618" w:customStyle="1">
    <w:name w:val="Нет списка925"/>
    <w:next w:val="944"/>
    <w:uiPriority w:val="99"/>
    <w:semiHidden/>
    <w:unhideWhenUsed/>
  </w:style>
  <w:style w:type="numbering" w:styleId="2619" w:customStyle="1">
    <w:name w:val="Нет списка1325"/>
    <w:next w:val="944"/>
    <w:uiPriority w:val="99"/>
    <w:semiHidden/>
    <w:unhideWhenUsed/>
  </w:style>
  <w:style w:type="numbering" w:styleId="2620" w:customStyle="1">
    <w:name w:val="Нет списка2325"/>
    <w:next w:val="944"/>
    <w:uiPriority w:val="99"/>
    <w:semiHidden/>
    <w:unhideWhenUsed/>
  </w:style>
  <w:style w:type="numbering" w:styleId="2621" w:customStyle="1">
    <w:name w:val="Нет списка3325"/>
    <w:next w:val="944"/>
    <w:uiPriority w:val="99"/>
    <w:semiHidden/>
    <w:unhideWhenUsed/>
  </w:style>
  <w:style w:type="numbering" w:styleId="2622" w:customStyle="1">
    <w:name w:val="Нет списка4325"/>
    <w:next w:val="944"/>
    <w:uiPriority w:val="99"/>
    <w:semiHidden/>
    <w:unhideWhenUsed/>
  </w:style>
  <w:style w:type="numbering" w:styleId="2623" w:customStyle="1">
    <w:name w:val="Нет списка5325"/>
    <w:next w:val="944"/>
    <w:uiPriority w:val="99"/>
    <w:semiHidden/>
    <w:unhideWhenUsed/>
  </w:style>
  <w:style w:type="numbering" w:styleId="2624" w:customStyle="1">
    <w:name w:val="Нет списка6325"/>
    <w:next w:val="944"/>
    <w:uiPriority w:val="99"/>
    <w:semiHidden/>
    <w:unhideWhenUsed/>
  </w:style>
  <w:style w:type="numbering" w:styleId="2625" w:customStyle="1">
    <w:name w:val="Нет списка1025"/>
    <w:next w:val="944"/>
    <w:uiPriority w:val="99"/>
    <w:semiHidden/>
    <w:unhideWhenUsed/>
  </w:style>
  <w:style w:type="numbering" w:styleId="2626" w:customStyle="1">
    <w:name w:val="Нет списка1425"/>
    <w:next w:val="944"/>
    <w:uiPriority w:val="99"/>
    <w:semiHidden/>
    <w:unhideWhenUsed/>
  </w:style>
  <w:style w:type="numbering" w:styleId="2627" w:customStyle="1">
    <w:name w:val="Нет списка2425"/>
    <w:next w:val="944"/>
    <w:uiPriority w:val="99"/>
    <w:semiHidden/>
    <w:unhideWhenUsed/>
  </w:style>
  <w:style w:type="numbering" w:styleId="2628" w:customStyle="1">
    <w:name w:val="Нет списка3425"/>
    <w:next w:val="944"/>
    <w:uiPriority w:val="99"/>
    <w:semiHidden/>
    <w:unhideWhenUsed/>
  </w:style>
  <w:style w:type="numbering" w:styleId="2629" w:customStyle="1">
    <w:name w:val="Нет списка4425"/>
    <w:next w:val="944"/>
    <w:uiPriority w:val="99"/>
    <w:semiHidden/>
    <w:unhideWhenUsed/>
  </w:style>
  <w:style w:type="numbering" w:styleId="2630" w:customStyle="1">
    <w:name w:val="Нет списка5425"/>
    <w:next w:val="944"/>
    <w:uiPriority w:val="99"/>
    <w:semiHidden/>
    <w:unhideWhenUsed/>
  </w:style>
  <w:style w:type="numbering" w:styleId="2631" w:customStyle="1">
    <w:name w:val="Нет списка6425"/>
    <w:next w:val="944"/>
    <w:uiPriority w:val="99"/>
    <w:semiHidden/>
    <w:unhideWhenUsed/>
  </w:style>
  <w:style w:type="numbering" w:styleId="2632" w:customStyle="1">
    <w:name w:val="Нет списка1525"/>
    <w:next w:val="944"/>
    <w:uiPriority w:val="99"/>
    <w:semiHidden/>
    <w:unhideWhenUsed/>
  </w:style>
  <w:style w:type="numbering" w:styleId="2633" w:customStyle="1">
    <w:name w:val="Нет списка1625"/>
    <w:next w:val="944"/>
    <w:uiPriority w:val="99"/>
    <w:semiHidden/>
    <w:unhideWhenUsed/>
  </w:style>
  <w:style w:type="numbering" w:styleId="2634" w:customStyle="1">
    <w:name w:val="Нет списка2525"/>
    <w:next w:val="944"/>
    <w:uiPriority w:val="99"/>
    <w:semiHidden/>
    <w:unhideWhenUsed/>
  </w:style>
  <w:style w:type="numbering" w:styleId="2635" w:customStyle="1">
    <w:name w:val="Нет списка3525"/>
    <w:next w:val="944"/>
    <w:uiPriority w:val="99"/>
    <w:semiHidden/>
    <w:unhideWhenUsed/>
  </w:style>
  <w:style w:type="numbering" w:styleId="2636" w:customStyle="1">
    <w:name w:val="Нет списка4525"/>
    <w:next w:val="944"/>
    <w:uiPriority w:val="99"/>
    <w:semiHidden/>
    <w:unhideWhenUsed/>
  </w:style>
  <w:style w:type="numbering" w:styleId="2637" w:customStyle="1">
    <w:name w:val="Нет списка5525"/>
    <w:next w:val="944"/>
    <w:uiPriority w:val="99"/>
    <w:semiHidden/>
    <w:unhideWhenUsed/>
  </w:style>
  <w:style w:type="numbering" w:styleId="2638" w:customStyle="1">
    <w:name w:val="Нет списка6525"/>
    <w:next w:val="944"/>
    <w:uiPriority w:val="99"/>
    <w:semiHidden/>
    <w:unhideWhenUsed/>
  </w:style>
  <w:style w:type="numbering" w:styleId="2639" w:customStyle="1">
    <w:name w:val="Нет списка1725"/>
    <w:next w:val="944"/>
    <w:uiPriority w:val="99"/>
    <w:semiHidden/>
    <w:unhideWhenUsed/>
  </w:style>
  <w:style w:type="numbering" w:styleId="2640" w:customStyle="1">
    <w:name w:val="Нет списка1825"/>
    <w:next w:val="944"/>
    <w:uiPriority w:val="99"/>
    <w:semiHidden/>
    <w:unhideWhenUsed/>
  </w:style>
  <w:style w:type="numbering" w:styleId="2641" w:customStyle="1">
    <w:name w:val="Нет списка2625"/>
    <w:next w:val="944"/>
    <w:uiPriority w:val="99"/>
    <w:semiHidden/>
    <w:unhideWhenUsed/>
  </w:style>
  <w:style w:type="numbering" w:styleId="2642" w:customStyle="1">
    <w:name w:val="Нет списка3625"/>
    <w:next w:val="944"/>
    <w:uiPriority w:val="99"/>
    <w:semiHidden/>
    <w:unhideWhenUsed/>
  </w:style>
  <w:style w:type="numbering" w:styleId="2643" w:customStyle="1">
    <w:name w:val="Нет списка4625"/>
    <w:next w:val="944"/>
    <w:uiPriority w:val="99"/>
    <w:semiHidden/>
    <w:unhideWhenUsed/>
  </w:style>
  <w:style w:type="numbering" w:styleId="2644" w:customStyle="1">
    <w:name w:val="Нет списка5625"/>
    <w:next w:val="944"/>
    <w:uiPriority w:val="99"/>
    <w:semiHidden/>
    <w:unhideWhenUsed/>
  </w:style>
  <w:style w:type="numbering" w:styleId="2645" w:customStyle="1">
    <w:name w:val="Нет списка6625"/>
    <w:next w:val="944"/>
    <w:uiPriority w:val="99"/>
    <w:semiHidden/>
    <w:unhideWhenUsed/>
  </w:style>
  <w:style w:type="table" w:styleId="2646" w:customStyle="1">
    <w:name w:val="Сетка таблицы5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647" w:customStyle="1">
    <w:name w:val="Сетка таблицы175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648" w:customStyle="1">
    <w:name w:val="Сетка таблицы185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649" w:customStyle="1">
    <w:name w:val="Сетка таблицы195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numbering" w:styleId="2650" w:customStyle="1">
    <w:name w:val="Нет списка88"/>
    <w:next w:val="944"/>
    <w:uiPriority w:val="99"/>
    <w:semiHidden/>
    <w:unhideWhenUsed/>
  </w:style>
  <w:style w:type="numbering" w:styleId="2651" w:customStyle="1">
    <w:name w:val="Нет списка129"/>
    <w:next w:val="944"/>
    <w:uiPriority w:val="99"/>
    <w:semiHidden/>
    <w:unhideWhenUsed/>
  </w:style>
  <w:style w:type="numbering" w:styleId="2652" w:customStyle="1">
    <w:name w:val="Нет списка228"/>
    <w:next w:val="944"/>
    <w:uiPriority w:val="99"/>
    <w:semiHidden/>
    <w:unhideWhenUsed/>
  </w:style>
  <w:style w:type="numbering" w:styleId="2653" w:customStyle="1">
    <w:name w:val="Нет списка320"/>
    <w:next w:val="944"/>
    <w:uiPriority w:val="99"/>
    <w:semiHidden/>
    <w:unhideWhenUsed/>
  </w:style>
  <w:style w:type="numbering" w:styleId="2654" w:customStyle="1">
    <w:name w:val="Нет списка420"/>
    <w:next w:val="944"/>
    <w:uiPriority w:val="99"/>
    <w:semiHidden/>
    <w:unhideWhenUsed/>
  </w:style>
  <w:style w:type="numbering" w:styleId="2655" w:customStyle="1">
    <w:name w:val="Нет списка520"/>
    <w:next w:val="944"/>
    <w:uiPriority w:val="99"/>
    <w:semiHidden/>
    <w:unhideWhenUsed/>
  </w:style>
  <w:style w:type="numbering" w:styleId="2656" w:customStyle="1">
    <w:name w:val="Нет списка620"/>
    <w:next w:val="944"/>
    <w:uiPriority w:val="99"/>
    <w:semiHidden/>
    <w:unhideWhenUsed/>
  </w:style>
  <w:style w:type="table" w:styleId="2657" w:customStyle="1">
    <w:name w:val="Сетка таблицы20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658" w:customStyle="1">
    <w:name w:val="Нет списка718"/>
    <w:next w:val="944"/>
    <w:uiPriority w:val="99"/>
    <w:semiHidden/>
    <w:unhideWhenUsed/>
  </w:style>
  <w:style w:type="numbering" w:styleId="2659" w:customStyle="1">
    <w:name w:val="Нет списка1119"/>
    <w:next w:val="944"/>
    <w:uiPriority w:val="99"/>
    <w:semiHidden/>
    <w:unhideWhenUsed/>
  </w:style>
  <w:style w:type="numbering" w:styleId="2660" w:customStyle="1">
    <w:name w:val="Нет списка2118"/>
    <w:next w:val="944"/>
    <w:uiPriority w:val="99"/>
    <w:semiHidden/>
    <w:unhideWhenUsed/>
  </w:style>
  <w:style w:type="numbering" w:styleId="2661" w:customStyle="1">
    <w:name w:val="Нет списка3118"/>
    <w:next w:val="944"/>
    <w:uiPriority w:val="99"/>
    <w:semiHidden/>
    <w:unhideWhenUsed/>
  </w:style>
  <w:style w:type="numbering" w:styleId="2662" w:customStyle="1">
    <w:name w:val="Нет списка4118"/>
    <w:next w:val="944"/>
    <w:uiPriority w:val="99"/>
    <w:semiHidden/>
    <w:unhideWhenUsed/>
  </w:style>
  <w:style w:type="numbering" w:styleId="2663" w:customStyle="1">
    <w:name w:val="Нет списка5118"/>
    <w:next w:val="944"/>
    <w:uiPriority w:val="99"/>
    <w:semiHidden/>
    <w:unhideWhenUsed/>
  </w:style>
  <w:style w:type="numbering" w:styleId="2664" w:customStyle="1">
    <w:name w:val="Нет списка6118"/>
    <w:next w:val="944"/>
    <w:uiPriority w:val="99"/>
    <w:semiHidden/>
    <w:unhideWhenUsed/>
  </w:style>
  <w:style w:type="table" w:styleId="2665" w:customStyle="1">
    <w:name w:val="Сетка таблицы130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666" w:customStyle="1">
    <w:name w:val="Нет списка89"/>
    <w:next w:val="944"/>
    <w:uiPriority w:val="99"/>
    <w:semiHidden/>
    <w:unhideWhenUsed/>
  </w:style>
  <w:style w:type="numbering" w:styleId="2667" w:customStyle="1">
    <w:name w:val="Нет списка1210"/>
    <w:next w:val="944"/>
    <w:uiPriority w:val="99"/>
    <w:semiHidden/>
    <w:unhideWhenUsed/>
  </w:style>
  <w:style w:type="numbering" w:styleId="2668" w:customStyle="1">
    <w:name w:val="Нет списка229"/>
    <w:next w:val="944"/>
    <w:uiPriority w:val="99"/>
    <w:semiHidden/>
    <w:unhideWhenUsed/>
  </w:style>
  <w:style w:type="numbering" w:styleId="2669" w:customStyle="1">
    <w:name w:val="Нет списка328"/>
    <w:next w:val="944"/>
    <w:uiPriority w:val="99"/>
    <w:semiHidden/>
    <w:unhideWhenUsed/>
  </w:style>
  <w:style w:type="numbering" w:styleId="2670" w:customStyle="1">
    <w:name w:val="Нет списка428"/>
    <w:next w:val="944"/>
    <w:uiPriority w:val="99"/>
    <w:semiHidden/>
    <w:unhideWhenUsed/>
  </w:style>
  <w:style w:type="numbering" w:styleId="2671" w:customStyle="1">
    <w:name w:val="Нет списка528"/>
    <w:next w:val="944"/>
    <w:uiPriority w:val="99"/>
    <w:semiHidden/>
    <w:unhideWhenUsed/>
  </w:style>
  <w:style w:type="numbering" w:styleId="2672" w:customStyle="1">
    <w:name w:val="Нет списка628"/>
    <w:next w:val="944"/>
    <w:uiPriority w:val="99"/>
    <w:semiHidden/>
    <w:unhideWhenUsed/>
  </w:style>
  <w:style w:type="table" w:styleId="2673" w:customStyle="1">
    <w:name w:val="Сетка таблицы29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674" w:customStyle="1">
    <w:name w:val="Нет списка98"/>
    <w:next w:val="944"/>
    <w:uiPriority w:val="99"/>
    <w:semiHidden/>
    <w:unhideWhenUsed/>
  </w:style>
  <w:style w:type="numbering" w:styleId="2675" w:customStyle="1">
    <w:name w:val="Нет списка138"/>
    <w:next w:val="944"/>
    <w:uiPriority w:val="99"/>
    <w:semiHidden/>
    <w:unhideWhenUsed/>
  </w:style>
  <w:style w:type="numbering" w:styleId="2676" w:customStyle="1">
    <w:name w:val="Нет списка238"/>
    <w:next w:val="944"/>
    <w:uiPriority w:val="99"/>
    <w:semiHidden/>
    <w:unhideWhenUsed/>
  </w:style>
  <w:style w:type="numbering" w:styleId="2677" w:customStyle="1">
    <w:name w:val="Нет списка338"/>
    <w:next w:val="944"/>
    <w:uiPriority w:val="99"/>
    <w:semiHidden/>
    <w:unhideWhenUsed/>
  </w:style>
  <w:style w:type="numbering" w:styleId="2678" w:customStyle="1">
    <w:name w:val="Нет списка438"/>
    <w:next w:val="944"/>
    <w:uiPriority w:val="99"/>
    <w:semiHidden/>
    <w:unhideWhenUsed/>
  </w:style>
  <w:style w:type="numbering" w:styleId="2679" w:customStyle="1">
    <w:name w:val="Нет списка538"/>
    <w:next w:val="944"/>
    <w:uiPriority w:val="99"/>
    <w:semiHidden/>
    <w:unhideWhenUsed/>
  </w:style>
  <w:style w:type="numbering" w:styleId="2680" w:customStyle="1">
    <w:name w:val="Нет списка638"/>
    <w:next w:val="944"/>
    <w:uiPriority w:val="99"/>
    <w:semiHidden/>
    <w:unhideWhenUsed/>
  </w:style>
  <w:style w:type="numbering" w:styleId="2681" w:customStyle="1">
    <w:name w:val="Нет списка108"/>
    <w:next w:val="944"/>
    <w:uiPriority w:val="99"/>
    <w:semiHidden/>
    <w:unhideWhenUsed/>
  </w:style>
  <w:style w:type="numbering" w:styleId="2682" w:customStyle="1">
    <w:name w:val="Нет списка148"/>
    <w:next w:val="944"/>
    <w:uiPriority w:val="99"/>
    <w:semiHidden/>
    <w:unhideWhenUsed/>
  </w:style>
  <w:style w:type="numbering" w:styleId="2683" w:customStyle="1">
    <w:name w:val="Нет списка248"/>
    <w:next w:val="944"/>
    <w:uiPriority w:val="99"/>
    <w:semiHidden/>
    <w:unhideWhenUsed/>
  </w:style>
  <w:style w:type="numbering" w:styleId="2684" w:customStyle="1">
    <w:name w:val="Нет списка348"/>
    <w:next w:val="944"/>
    <w:uiPriority w:val="99"/>
    <w:semiHidden/>
    <w:unhideWhenUsed/>
  </w:style>
  <w:style w:type="numbering" w:styleId="2685" w:customStyle="1">
    <w:name w:val="Нет списка448"/>
    <w:next w:val="944"/>
    <w:uiPriority w:val="99"/>
    <w:semiHidden/>
    <w:unhideWhenUsed/>
  </w:style>
  <w:style w:type="numbering" w:styleId="2686" w:customStyle="1">
    <w:name w:val="Нет списка548"/>
    <w:next w:val="944"/>
    <w:uiPriority w:val="99"/>
    <w:semiHidden/>
    <w:unhideWhenUsed/>
  </w:style>
  <w:style w:type="numbering" w:styleId="2687" w:customStyle="1">
    <w:name w:val="Нет списка648"/>
    <w:next w:val="944"/>
    <w:uiPriority w:val="99"/>
    <w:semiHidden/>
    <w:unhideWhenUsed/>
  </w:style>
  <w:style w:type="table" w:styleId="2688" w:customStyle="1">
    <w:name w:val="Сетка таблицы1210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689" w:customStyle="1">
    <w:name w:val="Нет списка158"/>
    <w:next w:val="944"/>
    <w:uiPriority w:val="99"/>
    <w:semiHidden/>
    <w:unhideWhenUsed/>
  </w:style>
  <w:style w:type="numbering" w:styleId="2690" w:customStyle="1">
    <w:name w:val="Нет списка168"/>
    <w:next w:val="944"/>
    <w:uiPriority w:val="99"/>
    <w:semiHidden/>
    <w:unhideWhenUsed/>
  </w:style>
  <w:style w:type="numbering" w:styleId="2691" w:customStyle="1">
    <w:name w:val="Нет списка258"/>
    <w:next w:val="944"/>
    <w:uiPriority w:val="99"/>
    <w:semiHidden/>
    <w:unhideWhenUsed/>
  </w:style>
  <w:style w:type="numbering" w:styleId="2692" w:customStyle="1">
    <w:name w:val="Нет списка358"/>
    <w:next w:val="944"/>
    <w:uiPriority w:val="99"/>
    <w:semiHidden/>
    <w:unhideWhenUsed/>
  </w:style>
  <w:style w:type="numbering" w:styleId="2693" w:customStyle="1">
    <w:name w:val="Нет списка458"/>
    <w:next w:val="944"/>
    <w:uiPriority w:val="99"/>
    <w:semiHidden/>
    <w:unhideWhenUsed/>
  </w:style>
  <w:style w:type="numbering" w:styleId="2694" w:customStyle="1">
    <w:name w:val="Нет списка558"/>
    <w:next w:val="944"/>
    <w:uiPriority w:val="99"/>
    <w:semiHidden/>
    <w:unhideWhenUsed/>
  </w:style>
  <w:style w:type="numbering" w:styleId="2695" w:customStyle="1">
    <w:name w:val="Нет списка658"/>
    <w:next w:val="944"/>
    <w:uiPriority w:val="99"/>
    <w:semiHidden/>
    <w:unhideWhenUsed/>
  </w:style>
  <w:style w:type="table" w:styleId="2696" w:customStyle="1">
    <w:name w:val="Сетка таблицы138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697" w:customStyle="1">
    <w:name w:val="Нет списка178"/>
    <w:next w:val="944"/>
    <w:uiPriority w:val="99"/>
    <w:semiHidden/>
    <w:unhideWhenUsed/>
  </w:style>
  <w:style w:type="numbering" w:styleId="2698" w:customStyle="1">
    <w:name w:val="Нет списка188"/>
    <w:next w:val="944"/>
    <w:uiPriority w:val="99"/>
    <w:semiHidden/>
    <w:unhideWhenUsed/>
  </w:style>
  <w:style w:type="numbering" w:styleId="2699" w:customStyle="1">
    <w:name w:val="Нет списка268"/>
    <w:next w:val="944"/>
    <w:uiPriority w:val="99"/>
    <w:semiHidden/>
    <w:unhideWhenUsed/>
  </w:style>
  <w:style w:type="numbering" w:styleId="2700" w:customStyle="1">
    <w:name w:val="Нет списка368"/>
    <w:next w:val="944"/>
    <w:uiPriority w:val="99"/>
    <w:semiHidden/>
    <w:unhideWhenUsed/>
  </w:style>
  <w:style w:type="numbering" w:styleId="2701" w:customStyle="1">
    <w:name w:val="Нет списка468"/>
    <w:next w:val="944"/>
    <w:uiPriority w:val="99"/>
    <w:semiHidden/>
    <w:unhideWhenUsed/>
  </w:style>
  <w:style w:type="numbering" w:styleId="2702" w:customStyle="1">
    <w:name w:val="Нет списка568"/>
    <w:next w:val="944"/>
    <w:uiPriority w:val="99"/>
    <w:semiHidden/>
    <w:unhideWhenUsed/>
  </w:style>
  <w:style w:type="numbering" w:styleId="2703" w:customStyle="1">
    <w:name w:val="Нет списка668"/>
    <w:next w:val="944"/>
    <w:uiPriority w:val="99"/>
    <w:semiHidden/>
    <w:unhideWhenUsed/>
  </w:style>
  <w:style w:type="table" w:styleId="2704" w:customStyle="1">
    <w:name w:val="Сетка таблицы148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705" w:customStyle="1">
    <w:name w:val="Нет списка197"/>
    <w:next w:val="944"/>
    <w:uiPriority w:val="99"/>
    <w:semiHidden/>
    <w:unhideWhenUsed/>
  </w:style>
  <w:style w:type="numbering" w:styleId="2706" w:customStyle="1">
    <w:name w:val="Нет списка1107"/>
    <w:next w:val="944"/>
    <w:uiPriority w:val="99"/>
    <w:semiHidden/>
    <w:unhideWhenUsed/>
  </w:style>
  <w:style w:type="numbering" w:styleId="2707" w:customStyle="1">
    <w:name w:val="Нет списка277"/>
    <w:next w:val="944"/>
    <w:uiPriority w:val="99"/>
    <w:semiHidden/>
    <w:unhideWhenUsed/>
  </w:style>
  <w:style w:type="numbering" w:styleId="2708" w:customStyle="1">
    <w:name w:val="Нет списка377"/>
    <w:next w:val="944"/>
    <w:uiPriority w:val="99"/>
    <w:semiHidden/>
    <w:unhideWhenUsed/>
  </w:style>
  <w:style w:type="numbering" w:styleId="2709" w:customStyle="1">
    <w:name w:val="Нет списка477"/>
    <w:next w:val="944"/>
    <w:uiPriority w:val="99"/>
    <w:semiHidden/>
    <w:unhideWhenUsed/>
  </w:style>
  <w:style w:type="numbering" w:styleId="2710" w:customStyle="1">
    <w:name w:val="Нет списка577"/>
    <w:next w:val="944"/>
    <w:uiPriority w:val="99"/>
    <w:semiHidden/>
    <w:unhideWhenUsed/>
  </w:style>
  <w:style w:type="numbering" w:styleId="2711" w:customStyle="1">
    <w:name w:val="Нет списка677"/>
    <w:next w:val="944"/>
    <w:uiPriority w:val="99"/>
    <w:semiHidden/>
    <w:unhideWhenUsed/>
  </w:style>
  <w:style w:type="table" w:styleId="2712" w:customStyle="1">
    <w:name w:val="Сетка таблицы3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713" w:customStyle="1">
    <w:name w:val="Сетка таблицы1511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714" w:customStyle="1">
    <w:name w:val="Сетка таблицы217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715" w:customStyle="1">
    <w:name w:val="Нет списка719"/>
    <w:next w:val="944"/>
    <w:uiPriority w:val="99"/>
    <w:semiHidden/>
    <w:unhideWhenUsed/>
  </w:style>
  <w:style w:type="numbering" w:styleId="2716" w:customStyle="1">
    <w:name w:val="Нет списка11110"/>
    <w:next w:val="944"/>
    <w:uiPriority w:val="99"/>
    <w:semiHidden/>
    <w:unhideWhenUsed/>
  </w:style>
  <w:style w:type="numbering" w:styleId="2717" w:customStyle="1">
    <w:name w:val="Нет списка2119"/>
    <w:next w:val="944"/>
    <w:uiPriority w:val="99"/>
    <w:semiHidden/>
    <w:unhideWhenUsed/>
  </w:style>
  <w:style w:type="numbering" w:styleId="2718" w:customStyle="1">
    <w:name w:val="Нет списка3119"/>
    <w:next w:val="944"/>
    <w:uiPriority w:val="99"/>
    <w:semiHidden/>
    <w:unhideWhenUsed/>
  </w:style>
  <w:style w:type="numbering" w:styleId="2719" w:customStyle="1">
    <w:name w:val="Нет списка4119"/>
    <w:next w:val="944"/>
    <w:uiPriority w:val="99"/>
    <w:semiHidden/>
    <w:unhideWhenUsed/>
  </w:style>
  <w:style w:type="numbering" w:styleId="2720" w:customStyle="1">
    <w:name w:val="Нет списка5119"/>
    <w:next w:val="944"/>
    <w:uiPriority w:val="99"/>
    <w:semiHidden/>
    <w:unhideWhenUsed/>
  </w:style>
  <w:style w:type="numbering" w:styleId="2721" w:customStyle="1">
    <w:name w:val="Нет списка6119"/>
    <w:next w:val="944"/>
    <w:uiPriority w:val="99"/>
    <w:semiHidden/>
    <w:unhideWhenUsed/>
  </w:style>
  <w:style w:type="numbering" w:styleId="2722" w:customStyle="1">
    <w:name w:val="Нет списка7117"/>
    <w:next w:val="944"/>
    <w:uiPriority w:val="99"/>
    <w:semiHidden/>
    <w:unhideWhenUsed/>
  </w:style>
  <w:style w:type="numbering" w:styleId="2723" w:customStyle="1">
    <w:name w:val="Нет списка11117"/>
    <w:next w:val="944"/>
    <w:uiPriority w:val="99"/>
    <w:semiHidden/>
    <w:unhideWhenUsed/>
  </w:style>
  <w:style w:type="numbering" w:styleId="2724" w:customStyle="1">
    <w:name w:val="Нет списка21117"/>
    <w:next w:val="944"/>
    <w:uiPriority w:val="99"/>
    <w:semiHidden/>
    <w:unhideWhenUsed/>
  </w:style>
  <w:style w:type="numbering" w:styleId="2725" w:customStyle="1">
    <w:name w:val="Нет списка31117"/>
    <w:next w:val="944"/>
    <w:uiPriority w:val="99"/>
    <w:semiHidden/>
    <w:unhideWhenUsed/>
  </w:style>
  <w:style w:type="numbering" w:styleId="2726" w:customStyle="1">
    <w:name w:val="Нет списка41117"/>
    <w:next w:val="944"/>
    <w:uiPriority w:val="99"/>
    <w:semiHidden/>
    <w:unhideWhenUsed/>
  </w:style>
  <w:style w:type="numbering" w:styleId="2727" w:customStyle="1">
    <w:name w:val="Нет списка51117"/>
    <w:next w:val="944"/>
    <w:uiPriority w:val="99"/>
    <w:semiHidden/>
    <w:unhideWhenUsed/>
  </w:style>
  <w:style w:type="numbering" w:styleId="2728" w:customStyle="1">
    <w:name w:val="Нет списка61117"/>
    <w:next w:val="944"/>
    <w:uiPriority w:val="99"/>
    <w:semiHidden/>
    <w:unhideWhenUsed/>
  </w:style>
  <w:style w:type="table" w:styleId="2729" w:customStyle="1">
    <w:name w:val="Сетка таблицы1112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730" w:customStyle="1">
    <w:name w:val="Нет списка817"/>
    <w:next w:val="944"/>
    <w:uiPriority w:val="99"/>
    <w:semiHidden/>
    <w:unhideWhenUsed/>
  </w:style>
  <w:style w:type="numbering" w:styleId="2731" w:customStyle="1">
    <w:name w:val="Нет списка1217"/>
    <w:next w:val="944"/>
    <w:uiPriority w:val="99"/>
    <w:semiHidden/>
    <w:unhideWhenUsed/>
  </w:style>
  <w:style w:type="numbering" w:styleId="2732" w:customStyle="1">
    <w:name w:val="Нет списка2217"/>
    <w:next w:val="944"/>
    <w:uiPriority w:val="99"/>
    <w:semiHidden/>
    <w:unhideWhenUsed/>
  </w:style>
  <w:style w:type="numbering" w:styleId="2733" w:customStyle="1">
    <w:name w:val="Нет списка3217"/>
    <w:next w:val="944"/>
    <w:uiPriority w:val="99"/>
    <w:semiHidden/>
    <w:unhideWhenUsed/>
  </w:style>
  <w:style w:type="numbering" w:styleId="2734" w:customStyle="1">
    <w:name w:val="Нет списка4217"/>
    <w:next w:val="944"/>
    <w:uiPriority w:val="99"/>
    <w:semiHidden/>
    <w:unhideWhenUsed/>
  </w:style>
  <w:style w:type="numbering" w:styleId="2735" w:customStyle="1">
    <w:name w:val="Нет списка5217"/>
    <w:next w:val="944"/>
    <w:uiPriority w:val="99"/>
    <w:semiHidden/>
    <w:unhideWhenUsed/>
  </w:style>
  <w:style w:type="numbering" w:styleId="2736" w:customStyle="1">
    <w:name w:val="Нет списка6217"/>
    <w:next w:val="944"/>
    <w:uiPriority w:val="99"/>
    <w:semiHidden/>
    <w:unhideWhenUsed/>
  </w:style>
  <w:style w:type="table" w:styleId="2737" w:customStyle="1">
    <w:name w:val="Сетка таблицы227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738" w:customStyle="1">
    <w:name w:val="Нет списка917"/>
    <w:next w:val="944"/>
    <w:uiPriority w:val="99"/>
    <w:semiHidden/>
    <w:unhideWhenUsed/>
  </w:style>
  <w:style w:type="numbering" w:styleId="2739" w:customStyle="1">
    <w:name w:val="Нет списка1317"/>
    <w:next w:val="944"/>
    <w:uiPriority w:val="99"/>
    <w:semiHidden/>
    <w:unhideWhenUsed/>
  </w:style>
  <w:style w:type="numbering" w:styleId="2740" w:customStyle="1">
    <w:name w:val="Нет списка2317"/>
    <w:next w:val="944"/>
    <w:uiPriority w:val="99"/>
    <w:semiHidden/>
    <w:unhideWhenUsed/>
  </w:style>
  <w:style w:type="numbering" w:styleId="2741" w:customStyle="1">
    <w:name w:val="Нет списка3317"/>
    <w:next w:val="944"/>
    <w:uiPriority w:val="99"/>
    <w:semiHidden/>
    <w:unhideWhenUsed/>
  </w:style>
  <w:style w:type="numbering" w:styleId="2742" w:customStyle="1">
    <w:name w:val="Нет списка4317"/>
    <w:next w:val="944"/>
    <w:uiPriority w:val="99"/>
    <w:semiHidden/>
    <w:unhideWhenUsed/>
  </w:style>
  <w:style w:type="numbering" w:styleId="2743" w:customStyle="1">
    <w:name w:val="Нет списка5317"/>
    <w:next w:val="944"/>
    <w:uiPriority w:val="99"/>
    <w:semiHidden/>
    <w:unhideWhenUsed/>
  </w:style>
  <w:style w:type="numbering" w:styleId="2744" w:customStyle="1">
    <w:name w:val="Нет списка6317"/>
    <w:next w:val="944"/>
    <w:uiPriority w:val="99"/>
    <w:semiHidden/>
    <w:unhideWhenUsed/>
  </w:style>
  <w:style w:type="table" w:styleId="2745" w:customStyle="1">
    <w:name w:val="Сетка таблицы11111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746" w:customStyle="1">
    <w:name w:val="Нет списка1017"/>
    <w:next w:val="944"/>
    <w:uiPriority w:val="99"/>
    <w:semiHidden/>
    <w:unhideWhenUsed/>
  </w:style>
  <w:style w:type="numbering" w:styleId="2747" w:customStyle="1">
    <w:name w:val="Нет списка1417"/>
    <w:next w:val="944"/>
    <w:uiPriority w:val="99"/>
    <w:semiHidden/>
    <w:unhideWhenUsed/>
  </w:style>
  <w:style w:type="numbering" w:styleId="2748" w:customStyle="1">
    <w:name w:val="Нет списка2417"/>
    <w:next w:val="944"/>
    <w:uiPriority w:val="99"/>
    <w:semiHidden/>
    <w:unhideWhenUsed/>
  </w:style>
  <w:style w:type="numbering" w:styleId="2749" w:customStyle="1">
    <w:name w:val="Нет списка3417"/>
    <w:next w:val="944"/>
    <w:uiPriority w:val="99"/>
    <w:semiHidden/>
    <w:unhideWhenUsed/>
  </w:style>
  <w:style w:type="numbering" w:styleId="2750" w:customStyle="1">
    <w:name w:val="Нет списка4417"/>
    <w:next w:val="944"/>
    <w:uiPriority w:val="99"/>
    <w:semiHidden/>
    <w:unhideWhenUsed/>
  </w:style>
  <w:style w:type="numbering" w:styleId="2751" w:customStyle="1">
    <w:name w:val="Нет списка5417"/>
    <w:next w:val="944"/>
    <w:uiPriority w:val="99"/>
    <w:semiHidden/>
    <w:unhideWhenUsed/>
  </w:style>
  <w:style w:type="numbering" w:styleId="2752" w:customStyle="1">
    <w:name w:val="Нет списка6417"/>
    <w:next w:val="944"/>
    <w:uiPriority w:val="99"/>
    <w:semiHidden/>
    <w:unhideWhenUsed/>
  </w:style>
  <w:style w:type="table" w:styleId="2753" w:customStyle="1">
    <w:name w:val="Сетка таблицы121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754" w:customStyle="1">
    <w:name w:val="Нет списка1517"/>
    <w:next w:val="944"/>
    <w:uiPriority w:val="99"/>
    <w:semiHidden/>
    <w:unhideWhenUsed/>
  </w:style>
  <w:style w:type="numbering" w:styleId="2755" w:customStyle="1">
    <w:name w:val="Нет списка1617"/>
    <w:next w:val="944"/>
    <w:uiPriority w:val="99"/>
    <w:semiHidden/>
    <w:unhideWhenUsed/>
  </w:style>
  <w:style w:type="numbering" w:styleId="2756" w:customStyle="1">
    <w:name w:val="Нет списка2517"/>
    <w:next w:val="944"/>
    <w:uiPriority w:val="99"/>
    <w:semiHidden/>
    <w:unhideWhenUsed/>
  </w:style>
  <w:style w:type="numbering" w:styleId="2757" w:customStyle="1">
    <w:name w:val="Нет списка3517"/>
    <w:next w:val="944"/>
    <w:uiPriority w:val="99"/>
    <w:semiHidden/>
    <w:unhideWhenUsed/>
  </w:style>
  <w:style w:type="numbering" w:styleId="2758" w:customStyle="1">
    <w:name w:val="Нет списка4517"/>
    <w:next w:val="944"/>
    <w:uiPriority w:val="99"/>
    <w:semiHidden/>
    <w:unhideWhenUsed/>
  </w:style>
  <w:style w:type="numbering" w:styleId="2759" w:customStyle="1">
    <w:name w:val="Нет списка5517"/>
    <w:next w:val="944"/>
    <w:uiPriority w:val="99"/>
    <w:semiHidden/>
    <w:unhideWhenUsed/>
  </w:style>
  <w:style w:type="numbering" w:styleId="2760" w:customStyle="1">
    <w:name w:val="Нет списка6517"/>
    <w:next w:val="944"/>
    <w:uiPriority w:val="99"/>
    <w:semiHidden/>
    <w:unhideWhenUsed/>
  </w:style>
  <w:style w:type="table" w:styleId="2761" w:customStyle="1">
    <w:name w:val="Сетка таблицы131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762" w:customStyle="1">
    <w:name w:val="Нет списка1717"/>
    <w:next w:val="944"/>
    <w:uiPriority w:val="99"/>
    <w:semiHidden/>
    <w:unhideWhenUsed/>
  </w:style>
  <w:style w:type="numbering" w:styleId="2763" w:customStyle="1">
    <w:name w:val="Нет списка1817"/>
    <w:next w:val="944"/>
    <w:uiPriority w:val="99"/>
    <w:semiHidden/>
    <w:unhideWhenUsed/>
  </w:style>
  <w:style w:type="numbering" w:styleId="2764" w:customStyle="1">
    <w:name w:val="Нет списка2617"/>
    <w:next w:val="944"/>
    <w:uiPriority w:val="99"/>
    <w:semiHidden/>
    <w:unhideWhenUsed/>
  </w:style>
  <w:style w:type="numbering" w:styleId="2765" w:customStyle="1">
    <w:name w:val="Нет списка3617"/>
    <w:next w:val="944"/>
    <w:uiPriority w:val="99"/>
    <w:semiHidden/>
    <w:unhideWhenUsed/>
  </w:style>
  <w:style w:type="numbering" w:styleId="2766" w:customStyle="1">
    <w:name w:val="Нет списка4617"/>
    <w:next w:val="944"/>
    <w:uiPriority w:val="99"/>
    <w:semiHidden/>
    <w:unhideWhenUsed/>
  </w:style>
  <w:style w:type="numbering" w:styleId="2767" w:customStyle="1">
    <w:name w:val="Нет списка5617"/>
    <w:next w:val="944"/>
    <w:uiPriority w:val="99"/>
    <w:semiHidden/>
    <w:unhideWhenUsed/>
  </w:style>
  <w:style w:type="numbering" w:styleId="2768" w:customStyle="1">
    <w:name w:val="Нет списка6617"/>
    <w:next w:val="944"/>
    <w:uiPriority w:val="99"/>
    <w:semiHidden/>
    <w:unhideWhenUsed/>
  </w:style>
  <w:style w:type="table" w:styleId="2769" w:customStyle="1">
    <w:name w:val="Сетка таблицы141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770" w:customStyle="1">
    <w:name w:val="Нет списка206"/>
    <w:next w:val="944"/>
    <w:uiPriority w:val="99"/>
    <w:semiHidden/>
    <w:unhideWhenUsed/>
  </w:style>
  <w:style w:type="numbering" w:styleId="2771" w:customStyle="1">
    <w:name w:val="Нет списка1127"/>
    <w:next w:val="944"/>
    <w:uiPriority w:val="99"/>
    <w:semiHidden/>
    <w:unhideWhenUsed/>
  </w:style>
  <w:style w:type="numbering" w:styleId="2772" w:customStyle="1">
    <w:name w:val="Нет списка286"/>
    <w:next w:val="944"/>
    <w:uiPriority w:val="99"/>
    <w:semiHidden/>
    <w:unhideWhenUsed/>
  </w:style>
  <w:style w:type="numbering" w:styleId="2773" w:customStyle="1">
    <w:name w:val="Нет списка386"/>
    <w:next w:val="944"/>
    <w:uiPriority w:val="99"/>
    <w:semiHidden/>
    <w:unhideWhenUsed/>
  </w:style>
  <w:style w:type="numbering" w:styleId="2774" w:customStyle="1">
    <w:name w:val="Нет списка486"/>
    <w:next w:val="944"/>
    <w:uiPriority w:val="99"/>
    <w:semiHidden/>
    <w:unhideWhenUsed/>
  </w:style>
  <w:style w:type="numbering" w:styleId="2775" w:customStyle="1">
    <w:name w:val="Нет списка586"/>
    <w:next w:val="944"/>
    <w:uiPriority w:val="99"/>
    <w:semiHidden/>
    <w:unhideWhenUsed/>
  </w:style>
  <w:style w:type="numbering" w:styleId="2776" w:customStyle="1">
    <w:name w:val="Нет списка686"/>
    <w:next w:val="944"/>
    <w:uiPriority w:val="99"/>
    <w:semiHidden/>
    <w:unhideWhenUsed/>
  </w:style>
  <w:style w:type="table" w:styleId="2777" w:customStyle="1">
    <w:name w:val="Сетка таблицы4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778" w:customStyle="1">
    <w:name w:val="Сетка таблицы16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779" w:customStyle="1">
    <w:name w:val="Сетка таблицы236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780" w:customStyle="1">
    <w:name w:val="Сетка таблицы2116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781" w:customStyle="1">
    <w:name w:val="Нет списка727"/>
    <w:next w:val="944"/>
    <w:uiPriority w:val="99"/>
    <w:semiHidden/>
    <w:unhideWhenUsed/>
  </w:style>
  <w:style w:type="numbering" w:styleId="2782" w:customStyle="1">
    <w:name w:val="Нет списка1136"/>
    <w:next w:val="944"/>
    <w:uiPriority w:val="99"/>
    <w:semiHidden/>
    <w:unhideWhenUsed/>
  </w:style>
  <w:style w:type="numbering" w:styleId="2783" w:customStyle="1">
    <w:name w:val="Нет списка2127"/>
    <w:next w:val="944"/>
    <w:uiPriority w:val="99"/>
    <w:semiHidden/>
    <w:unhideWhenUsed/>
  </w:style>
  <w:style w:type="numbering" w:styleId="2784" w:customStyle="1">
    <w:name w:val="Нет списка3127"/>
    <w:next w:val="944"/>
    <w:uiPriority w:val="99"/>
    <w:semiHidden/>
    <w:unhideWhenUsed/>
  </w:style>
  <w:style w:type="numbering" w:styleId="2785" w:customStyle="1">
    <w:name w:val="Нет списка4127"/>
    <w:next w:val="944"/>
    <w:uiPriority w:val="99"/>
    <w:semiHidden/>
    <w:unhideWhenUsed/>
  </w:style>
  <w:style w:type="numbering" w:styleId="2786" w:customStyle="1">
    <w:name w:val="Нет списка5127"/>
    <w:next w:val="944"/>
    <w:uiPriority w:val="99"/>
    <w:semiHidden/>
    <w:unhideWhenUsed/>
  </w:style>
  <w:style w:type="numbering" w:styleId="2787" w:customStyle="1">
    <w:name w:val="Нет списка6127"/>
    <w:next w:val="944"/>
    <w:uiPriority w:val="99"/>
    <w:semiHidden/>
    <w:unhideWhenUsed/>
  </w:style>
  <w:style w:type="table" w:styleId="2788" w:customStyle="1">
    <w:name w:val="Сетка таблицы31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789" w:customStyle="1">
    <w:name w:val="Нет списка7126"/>
    <w:next w:val="944"/>
    <w:uiPriority w:val="99"/>
    <w:semiHidden/>
    <w:unhideWhenUsed/>
  </w:style>
  <w:style w:type="numbering" w:styleId="2790" w:customStyle="1">
    <w:name w:val="Нет списка11126"/>
    <w:next w:val="944"/>
    <w:uiPriority w:val="99"/>
    <w:semiHidden/>
    <w:unhideWhenUsed/>
  </w:style>
  <w:style w:type="numbering" w:styleId="2791" w:customStyle="1">
    <w:name w:val="Нет списка21126"/>
    <w:next w:val="944"/>
    <w:uiPriority w:val="99"/>
    <w:semiHidden/>
    <w:unhideWhenUsed/>
  </w:style>
  <w:style w:type="numbering" w:styleId="2792" w:customStyle="1">
    <w:name w:val="Нет списка31126"/>
    <w:next w:val="944"/>
    <w:uiPriority w:val="99"/>
    <w:semiHidden/>
    <w:unhideWhenUsed/>
  </w:style>
  <w:style w:type="numbering" w:styleId="2793" w:customStyle="1">
    <w:name w:val="Нет списка41126"/>
    <w:next w:val="944"/>
    <w:uiPriority w:val="99"/>
    <w:semiHidden/>
    <w:unhideWhenUsed/>
  </w:style>
  <w:style w:type="numbering" w:styleId="2794" w:customStyle="1">
    <w:name w:val="Нет списка51126"/>
    <w:next w:val="944"/>
    <w:uiPriority w:val="99"/>
    <w:semiHidden/>
    <w:unhideWhenUsed/>
  </w:style>
  <w:style w:type="numbering" w:styleId="2795" w:customStyle="1">
    <w:name w:val="Нет списка61126"/>
    <w:next w:val="944"/>
    <w:uiPriority w:val="99"/>
    <w:semiHidden/>
    <w:unhideWhenUsed/>
  </w:style>
  <w:style w:type="numbering" w:styleId="2796" w:customStyle="1">
    <w:name w:val="Нет списка826"/>
    <w:next w:val="944"/>
    <w:uiPriority w:val="99"/>
    <w:semiHidden/>
    <w:unhideWhenUsed/>
  </w:style>
  <w:style w:type="numbering" w:styleId="2797" w:customStyle="1">
    <w:name w:val="Нет списка1226"/>
    <w:next w:val="944"/>
    <w:uiPriority w:val="99"/>
    <w:semiHidden/>
    <w:unhideWhenUsed/>
  </w:style>
  <w:style w:type="numbering" w:styleId="2798" w:customStyle="1">
    <w:name w:val="Нет списка2226"/>
    <w:next w:val="944"/>
    <w:uiPriority w:val="99"/>
    <w:semiHidden/>
    <w:unhideWhenUsed/>
  </w:style>
  <w:style w:type="numbering" w:styleId="2799" w:customStyle="1">
    <w:name w:val="Нет списка3226"/>
    <w:next w:val="944"/>
    <w:uiPriority w:val="99"/>
    <w:semiHidden/>
    <w:unhideWhenUsed/>
  </w:style>
  <w:style w:type="numbering" w:styleId="2800" w:customStyle="1">
    <w:name w:val="Нет списка4226"/>
    <w:next w:val="944"/>
    <w:uiPriority w:val="99"/>
    <w:semiHidden/>
    <w:unhideWhenUsed/>
  </w:style>
  <w:style w:type="numbering" w:styleId="2801" w:customStyle="1">
    <w:name w:val="Нет списка5226"/>
    <w:next w:val="944"/>
    <w:uiPriority w:val="99"/>
    <w:semiHidden/>
    <w:unhideWhenUsed/>
  </w:style>
  <w:style w:type="numbering" w:styleId="2802" w:customStyle="1">
    <w:name w:val="Нет списка6226"/>
    <w:next w:val="944"/>
    <w:uiPriority w:val="99"/>
    <w:semiHidden/>
    <w:unhideWhenUsed/>
  </w:style>
  <w:style w:type="table" w:styleId="2803" w:customStyle="1">
    <w:name w:val="Сетка таблицы2216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804" w:customStyle="1">
    <w:name w:val="Нет списка926"/>
    <w:next w:val="944"/>
    <w:uiPriority w:val="99"/>
    <w:semiHidden/>
    <w:unhideWhenUsed/>
  </w:style>
  <w:style w:type="numbering" w:styleId="2805" w:customStyle="1">
    <w:name w:val="Нет списка1326"/>
    <w:next w:val="944"/>
    <w:uiPriority w:val="99"/>
    <w:semiHidden/>
    <w:unhideWhenUsed/>
  </w:style>
  <w:style w:type="numbering" w:styleId="2806" w:customStyle="1">
    <w:name w:val="Нет списка2326"/>
    <w:next w:val="944"/>
    <w:uiPriority w:val="99"/>
    <w:semiHidden/>
    <w:unhideWhenUsed/>
  </w:style>
  <w:style w:type="numbering" w:styleId="2807" w:customStyle="1">
    <w:name w:val="Нет списка3326"/>
    <w:next w:val="944"/>
    <w:uiPriority w:val="99"/>
    <w:semiHidden/>
    <w:unhideWhenUsed/>
  </w:style>
  <w:style w:type="numbering" w:styleId="2808" w:customStyle="1">
    <w:name w:val="Нет списка4326"/>
    <w:next w:val="944"/>
    <w:uiPriority w:val="99"/>
    <w:semiHidden/>
    <w:unhideWhenUsed/>
  </w:style>
  <w:style w:type="numbering" w:styleId="2809" w:customStyle="1">
    <w:name w:val="Нет списка5326"/>
    <w:next w:val="944"/>
    <w:uiPriority w:val="99"/>
    <w:semiHidden/>
    <w:unhideWhenUsed/>
  </w:style>
  <w:style w:type="numbering" w:styleId="2810" w:customStyle="1">
    <w:name w:val="Нет списка6326"/>
    <w:next w:val="944"/>
    <w:uiPriority w:val="99"/>
    <w:semiHidden/>
    <w:unhideWhenUsed/>
  </w:style>
  <w:style w:type="table" w:styleId="2811" w:customStyle="1">
    <w:name w:val="Сетка таблицы1112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812" w:customStyle="1">
    <w:name w:val="Нет списка1026"/>
    <w:next w:val="944"/>
    <w:uiPriority w:val="99"/>
    <w:semiHidden/>
    <w:unhideWhenUsed/>
  </w:style>
  <w:style w:type="numbering" w:styleId="2813" w:customStyle="1">
    <w:name w:val="Нет списка1426"/>
    <w:next w:val="944"/>
    <w:uiPriority w:val="99"/>
    <w:semiHidden/>
    <w:unhideWhenUsed/>
  </w:style>
  <w:style w:type="numbering" w:styleId="2814" w:customStyle="1">
    <w:name w:val="Нет списка2426"/>
    <w:next w:val="944"/>
    <w:uiPriority w:val="99"/>
    <w:semiHidden/>
    <w:unhideWhenUsed/>
  </w:style>
  <w:style w:type="numbering" w:styleId="2815" w:customStyle="1">
    <w:name w:val="Нет списка3426"/>
    <w:next w:val="944"/>
    <w:uiPriority w:val="99"/>
    <w:semiHidden/>
    <w:unhideWhenUsed/>
  </w:style>
  <w:style w:type="numbering" w:styleId="2816" w:customStyle="1">
    <w:name w:val="Нет списка4426"/>
    <w:next w:val="944"/>
    <w:uiPriority w:val="99"/>
    <w:semiHidden/>
    <w:unhideWhenUsed/>
  </w:style>
  <w:style w:type="numbering" w:styleId="2817" w:customStyle="1">
    <w:name w:val="Нет списка5426"/>
    <w:next w:val="944"/>
    <w:uiPriority w:val="99"/>
    <w:semiHidden/>
    <w:unhideWhenUsed/>
  </w:style>
  <w:style w:type="numbering" w:styleId="2818" w:customStyle="1">
    <w:name w:val="Нет списка6426"/>
    <w:next w:val="944"/>
    <w:uiPriority w:val="99"/>
    <w:semiHidden/>
    <w:unhideWhenUsed/>
  </w:style>
  <w:style w:type="table" w:styleId="2819" w:customStyle="1">
    <w:name w:val="Сетка таблицы122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820" w:customStyle="1">
    <w:name w:val="Нет списка1526"/>
    <w:next w:val="944"/>
    <w:uiPriority w:val="99"/>
    <w:semiHidden/>
    <w:unhideWhenUsed/>
  </w:style>
  <w:style w:type="numbering" w:styleId="2821" w:customStyle="1">
    <w:name w:val="Нет списка1626"/>
    <w:next w:val="944"/>
    <w:uiPriority w:val="99"/>
    <w:semiHidden/>
    <w:unhideWhenUsed/>
  </w:style>
  <w:style w:type="numbering" w:styleId="2822" w:customStyle="1">
    <w:name w:val="Нет списка2526"/>
    <w:next w:val="944"/>
    <w:uiPriority w:val="99"/>
    <w:semiHidden/>
    <w:unhideWhenUsed/>
  </w:style>
  <w:style w:type="numbering" w:styleId="2823" w:customStyle="1">
    <w:name w:val="Нет списка3526"/>
    <w:next w:val="944"/>
    <w:uiPriority w:val="99"/>
    <w:semiHidden/>
    <w:unhideWhenUsed/>
  </w:style>
  <w:style w:type="numbering" w:styleId="2824" w:customStyle="1">
    <w:name w:val="Нет списка4526"/>
    <w:next w:val="944"/>
    <w:uiPriority w:val="99"/>
    <w:semiHidden/>
    <w:unhideWhenUsed/>
  </w:style>
  <w:style w:type="numbering" w:styleId="2825" w:customStyle="1">
    <w:name w:val="Нет списка5526"/>
    <w:next w:val="944"/>
    <w:uiPriority w:val="99"/>
    <w:semiHidden/>
    <w:unhideWhenUsed/>
  </w:style>
  <w:style w:type="numbering" w:styleId="2826" w:customStyle="1">
    <w:name w:val="Нет списка6526"/>
    <w:next w:val="944"/>
    <w:uiPriority w:val="99"/>
    <w:semiHidden/>
    <w:unhideWhenUsed/>
  </w:style>
  <w:style w:type="table" w:styleId="2827" w:customStyle="1">
    <w:name w:val="Сетка таблицы132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828" w:customStyle="1">
    <w:name w:val="Нет списка1726"/>
    <w:next w:val="944"/>
    <w:uiPriority w:val="99"/>
    <w:semiHidden/>
    <w:unhideWhenUsed/>
  </w:style>
  <w:style w:type="numbering" w:styleId="2829" w:customStyle="1">
    <w:name w:val="Нет списка1826"/>
    <w:next w:val="944"/>
    <w:uiPriority w:val="99"/>
    <w:semiHidden/>
    <w:unhideWhenUsed/>
  </w:style>
  <w:style w:type="numbering" w:styleId="2830" w:customStyle="1">
    <w:name w:val="Нет списка2626"/>
    <w:next w:val="944"/>
    <w:uiPriority w:val="99"/>
    <w:semiHidden/>
    <w:unhideWhenUsed/>
  </w:style>
  <w:style w:type="numbering" w:styleId="2831" w:customStyle="1">
    <w:name w:val="Нет списка3626"/>
    <w:next w:val="944"/>
    <w:uiPriority w:val="99"/>
    <w:semiHidden/>
    <w:unhideWhenUsed/>
  </w:style>
  <w:style w:type="numbering" w:styleId="2832" w:customStyle="1">
    <w:name w:val="Нет списка4626"/>
    <w:next w:val="944"/>
    <w:uiPriority w:val="99"/>
    <w:semiHidden/>
    <w:unhideWhenUsed/>
  </w:style>
  <w:style w:type="numbering" w:styleId="2833" w:customStyle="1">
    <w:name w:val="Нет списка5626"/>
    <w:next w:val="944"/>
    <w:uiPriority w:val="99"/>
    <w:semiHidden/>
    <w:unhideWhenUsed/>
  </w:style>
  <w:style w:type="numbering" w:styleId="2834" w:customStyle="1">
    <w:name w:val="Нет списка6626"/>
    <w:next w:val="944"/>
    <w:uiPriority w:val="99"/>
    <w:semiHidden/>
    <w:unhideWhenUsed/>
  </w:style>
  <w:style w:type="table" w:styleId="2835" w:customStyle="1">
    <w:name w:val="Сетка таблицы1426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836" w:customStyle="1">
    <w:name w:val="Сетка таблицы5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837" w:customStyle="1">
    <w:name w:val="TableGrid6"/>
    <w:pPr>
      <w:spacing w:after="0" w:line="240" w:lineRule="auto"/>
    </w:pPr>
    <w:rPr>
      <w:rFonts w:eastAsia="Times New Roman"/>
      <w:lang w:eastAsia="ru-RU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2838" w:customStyle="1">
    <w:name w:val="Сетка таблицы65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839" w:customStyle="1">
    <w:name w:val="Сетка таблицы176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840" w:customStyle="1">
    <w:name w:val="Сетка таблицы186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2841" w:customStyle="1">
    <w:name w:val="TableGrid15"/>
    <w:pPr>
      <w:spacing w:after="0" w:line="240" w:lineRule="auto"/>
    </w:pPr>
    <w:rPr>
      <w:rFonts w:eastAsia="Times New Roman"/>
      <w:lang w:eastAsia="ru-RU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2842" w:customStyle="1">
    <w:name w:val="Сетка таблицы196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numbering" w:styleId="2843" w:customStyle="1">
    <w:name w:val="Нет списка90"/>
    <w:next w:val="944"/>
    <w:uiPriority w:val="99"/>
    <w:semiHidden/>
    <w:unhideWhenUsed/>
  </w:style>
  <w:style w:type="numbering" w:styleId="2844" w:customStyle="1">
    <w:name w:val="Нет списка130"/>
    <w:next w:val="944"/>
    <w:uiPriority w:val="99"/>
    <w:semiHidden/>
    <w:unhideWhenUsed/>
  </w:style>
  <w:style w:type="numbering" w:styleId="2845" w:customStyle="1">
    <w:name w:val="Нет списка230"/>
    <w:next w:val="944"/>
    <w:uiPriority w:val="99"/>
    <w:semiHidden/>
    <w:unhideWhenUsed/>
  </w:style>
  <w:style w:type="numbering" w:styleId="2846" w:customStyle="1">
    <w:name w:val="Нет списка329"/>
    <w:next w:val="944"/>
    <w:uiPriority w:val="99"/>
    <w:semiHidden/>
    <w:unhideWhenUsed/>
  </w:style>
  <w:style w:type="numbering" w:styleId="2847" w:customStyle="1">
    <w:name w:val="Нет списка429"/>
    <w:next w:val="944"/>
    <w:uiPriority w:val="99"/>
    <w:semiHidden/>
    <w:unhideWhenUsed/>
  </w:style>
  <w:style w:type="numbering" w:styleId="2848" w:customStyle="1">
    <w:name w:val="Нет списка529"/>
    <w:next w:val="944"/>
    <w:uiPriority w:val="99"/>
    <w:semiHidden/>
    <w:unhideWhenUsed/>
  </w:style>
  <w:style w:type="numbering" w:styleId="2849" w:customStyle="1">
    <w:name w:val="Нет списка629"/>
    <w:next w:val="944"/>
    <w:uiPriority w:val="99"/>
    <w:semiHidden/>
    <w:unhideWhenUsed/>
  </w:style>
  <w:style w:type="table" w:styleId="2850" w:customStyle="1">
    <w:name w:val="Сетка таблицы30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851" w:customStyle="1">
    <w:name w:val="Нет списка720"/>
    <w:next w:val="944"/>
    <w:uiPriority w:val="99"/>
    <w:semiHidden/>
    <w:unhideWhenUsed/>
  </w:style>
  <w:style w:type="numbering" w:styleId="2852" w:customStyle="1">
    <w:name w:val="Нет списка1120"/>
    <w:next w:val="944"/>
    <w:uiPriority w:val="99"/>
    <w:semiHidden/>
    <w:unhideWhenUsed/>
  </w:style>
  <w:style w:type="numbering" w:styleId="2853" w:customStyle="1">
    <w:name w:val="Нет списка2120"/>
    <w:next w:val="944"/>
    <w:uiPriority w:val="99"/>
    <w:semiHidden/>
    <w:unhideWhenUsed/>
  </w:style>
  <w:style w:type="numbering" w:styleId="2854" w:customStyle="1">
    <w:name w:val="Нет списка3120"/>
    <w:next w:val="944"/>
    <w:uiPriority w:val="99"/>
    <w:semiHidden/>
    <w:unhideWhenUsed/>
  </w:style>
  <w:style w:type="numbering" w:styleId="2855" w:customStyle="1">
    <w:name w:val="Нет списка4120"/>
    <w:next w:val="944"/>
    <w:uiPriority w:val="99"/>
    <w:semiHidden/>
    <w:unhideWhenUsed/>
  </w:style>
  <w:style w:type="numbering" w:styleId="2856" w:customStyle="1">
    <w:name w:val="Нет списка5120"/>
    <w:next w:val="944"/>
    <w:uiPriority w:val="99"/>
    <w:semiHidden/>
    <w:unhideWhenUsed/>
  </w:style>
  <w:style w:type="numbering" w:styleId="2857" w:customStyle="1">
    <w:name w:val="Нет списка6120"/>
    <w:next w:val="944"/>
    <w:uiPriority w:val="99"/>
    <w:semiHidden/>
    <w:unhideWhenUsed/>
  </w:style>
  <w:style w:type="table" w:styleId="2858" w:customStyle="1">
    <w:name w:val="Сетка таблицы139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859" w:customStyle="1">
    <w:name w:val="Нет списка810"/>
    <w:next w:val="944"/>
    <w:uiPriority w:val="99"/>
    <w:semiHidden/>
    <w:unhideWhenUsed/>
  </w:style>
  <w:style w:type="numbering" w:styleId="2860" w:customStyle="1">
    <w:name w:val="Нет списка1218"/>
    <w:next w:val="944"/>
    <w:uiPriority w:val="99"/>
    <w:semiHidden/>
    <w:unhideWhenUsed/>
  </w:style>
  <w:style w:type="numbering" w:styleId="2861" w:customStyle="1">
    <w:name w:val="Нет списка2210"/>
    <w:next w:val="944"/>
    <w:uiPriority w:val="99"/>
    <w:semiHidden/>
    <w:unhideWhenUsed/>
  </w:style>
  <w:style w:type="numbering" w:styleId="2862" w:customStyle="1">
    <w:name w:val="Нет списка3210"/>
    <w:next w:val="944"/>
    <w:uiPriority w:val="99"/>
    <w:semiHidden/>
    <w:unhideWhenUsed/>
  </w:style>
  <w:style w:type="numbering" w:styleId="2863" w:customStyle="1">
    <w:name w:val="Нет списка4210"/>
    <w:next w:val="944"/>
    <w:uiPriority w:val="99"/>
    <w:semiHidden/>
    <w:unhideWhenUsed/>
  </w:style>
  <w:style w:type="numbering" w:styleId="2864" w:customStyle="1">
    <w:name w:val="Нет списка5210"/>
    <w:next w:val="944"/>
    <w:uiPriority w:val="99"/>
    <w:semiHidden/>
    <w:unhideWhenUsed/>
  </w:style>
  <w:style w:type="numbering" w:styleId="2865" w:customStyle="1">
    <w:name w:val="Нет списка6210"/>
    <w:next w:val="944"/>
    <w:uiPriority w:val="99"/>
    <w:semiHidden/>
    <w:unhideWhenUsed/>
  </w:style>
  <w:style w:type="table" w:styleId="2866" w:customStyle="1">
    <w:name w:val="Сетка таблицы210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867" w:customStyle="1">
    <w:name w:val="Нет списка99"/>
    <w:next w:val="944"/>
    <w:uiPriority w:val="99"/>
    <w:semiHidden/>
    <w:unhideWhenUsed/>
  </w:style>
  <w:style w:type="numbering" w:styleId="2868" w:customStyle="1">
    <w:name w:val="Нет списка139"/>
    <w:next w:val="944"/>
    <w:uiPriority w:val="99"/>
    <w:semiHidden/>
    <w:unhideWhenUsed/>
  </w:style>
  <w:style w:type="numbering" w:styleId="2869" w:customStyle="1">
    <w:name w:val="Нет списка239"/>
    <w:next w:val="944"/>
    <w:uiPriority w:val="99"/>
    <w:semiHidden/>
    <w:unhideWhenUsed/>
  </w:style>
  <w:style w:type="numbering" w:styleId="2870" w:customStyle="1">
    <w:name w:val="Нет списка339"/>
    <w:next w:val="944"/>
    <w:uiPriority w:val="99"/>
    <w:semiHidden/>
    <w:unhideWhenUsed/>
  </w:style>
  <w:style w:type="numbering" w:styleId="2871" w:customStyle="1">
    <w:name w:val="Нет списка439"/>
    <w:next w:val="944"/>
    <w:uiPriority w:val="99"/>
    <w:semiHidden/>
    <w:unhideWhenUsed/>
  </w:style>
  <w:style w:type="numbering" w:styleId="2872" w:customStyle="1">
    <w:name w:val="Нет списка539"/>
    <w:next w:val="944"/>
    <w:uiPriority w:val="99"/>
    <w:semiHidden/>
    <w:unhideWhenUsed/>
  </w:style>
  <w:style w:type="numbering" w:styleId="2873" w:customStyle="1">
    <w:name w:val="Нет списка639"/>
    <w:next w:val="944"/>
    <w:uiPriority w:val="99"/>
    <w:semiHidden/>
    <w:unhideWhenUsed/>
  </w:style>
  <w:style w:type="table" w:styleId="2874" w:customStyle="1">
    <w:name w:val="Сетка таблицы113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875" w:customStyle="1">
    <w:name w:val="Нет списка109"/>
    <w:next w:val="944"/>
    <w:uiPriority w:val="99"/>
    <w:semiHidden/>
    <w:unhideWhenUsed/>
  </w:style>
  <w:style w:type="numbering" w:styleId="2876" w:customStyle="1">
    <w:name w:val="Нет списка149"/>
    <w:next w:val="944"/>
    <w:uiPriority w:val="99"/>
    <w:semiHidden/>
    <w:unhideWhenUsed/>
  </w:style>
  <w:style w:type="numbering" w:styleId="2877" w:customStyle="1">
    <w:name w:val="Нет списка249"/>
    <w:next w:val="944"/>
    <w:uiPriority w:val="99"/>
    <w:semiHidden/>
    <w:unhideWhenUsed/>
  </w:style>
  <w:style w:type="numbering" w:styleId="2878" w:customStyle="1">
    <w:name w:val="Нет списка349"/>
    <w:next w:val="944"/>
    <w:uiPriority w:val="99"/>
    <w:semiHidden/>
    <w:unhideWhenUsed/>
  </w:style>
  <w:style w:type="numbering" w:styleId="2879" w:customStyle="1">
    <w:name w:val="Нет списка449"/>
    <w:next w:val="944"/>
    <w:uiPriority w:val="99"/>
    <w:semiHidden/>
    <w:unhideWhenUsed/>
  </w:style>
  <w:style w:type="numbering" w:styleId="2880" w:customStyle="1">
    <w:name w:val="Нет списка549"/>
    <w:next w:val="944"/>
    <w:uiPriority w:val="99"/>
    <w:semiHidden/>
    <w:unhideWhenUsed/>
  </w:style>
  <w:style w:type="numbering" w:styleId="2881" w:customStyle="1">
    <w:name w:val="Нет списка649"/>
    <w:next w:val="944"/>
    <w:uiPriority w:val="99"/>
    <w:semiHidden/>
    <w:unhideWhenUsed/>
  </w:style>
  <w:style w:type="table" w:styleId="2882" w:customStyle="1">
    <w:name w:val="Сетка таблицы121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883" w:customStyle="1">
    <w:name w:val="Нет списка159"/>
    <w:next w:val="944"/>
    <w:uiPriority w:val="99"/>
    <w:semiHidden/>
    <w:unhideWhenUsed/>
  </w:style>
  <w:style w:type="numbering" w:styleId="2884" w:customStyle="1">
    <w:name w:val="Нет списка169"/>
    <w:next w:val="944"/>
    <w:uiPriority w:val="99"/>
    <w:semiHidden/>
    <w:unhideWhenUsed/>
  </w:style>
  <w:style w:type="numbering" w:styleId="2885" w:customStyle="1">
    <w:name w:val="Нет списка259"/>
    <w:next w:val="944"/>
    <w:uiPriority w:val="99"/>
    <w:semiHidden/>
    <w:unhideWhenUsed/>
  </w:style>
  <w:style w:type="numbering" w:styleId="2886" w:customStyle="1">
    <w:name w:val="Нет списка359"/>
    <w:next w:val="944"/>
    <w:uiPriority w:val="99"/>
    <w:semiHidden/>
    <w:unhideWhenUsed/>
  </w:style>
  <w:style w:type="numbering" w:styleId="2887" w:customStyle="1">
    <w:name w:val="Нет списка459"/>
    <w:next w:val="944"/>
    <w:uiPriority w:val="99"/>
    <w:semiHidden/>
    <w:unhideWhenUsed/>
  </w:style>
  <w:style w:type="numbering" w:styleId="2888" w:customStyle="1">
    <w:name w:val="Нет списка559"/>
    <w:next w:val="944"/>
    <w:uiPriority w:val="99"/>
    <w:semiHidden/>
    <w:unhideWhenUsed/>
  </w:style>
  <w:style w:type="numbering" w:styleId="2889" w:customStyle="1">
    <w:name w:val="Нет списка659"/>
    <w:next w:val="944"/>
    <w:uiPriority w:val="99"/>
    <w:semiHidden/>
    <w:unhideWhenUsed/>
  </w:style>
  <w:style w:type="table" w:styleId="2890" w:customStyle="1">
    <w:name w:val="Сетка таблицы1310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891" w:customStyle="1">
    <w:name w:val="Нет списка179"/>
    <w:next w:val="944"/>
    <w:uiPriority w:val="99"/>
    <w:semiHidden/>
    <w:unhideWhenUsed/>
  </w:style>
  <w:style w:type="numbering" w:styleId="2892" w:customStyle="1">
    <w:name w:val="Нет списка189"/>
    <w:next w:val="944"/>
    <w:uiPriority w:val="99"/>
    <w:semiHidden/>
    <w:unhideWhenUsed/>
  </w:style>
  <w:style w:type="numbering" w:styleId="2893" w:customStyle="1">
    <w:name w:val="Нет списка269"/>
    <w:next w:val="944"/>
    <w:uiPriority w:val="99"/>
    <w:semiHidden/>
    <w:unhideWhenUsed/>
  </w:style>
  <w:style w:type="numbering" w:styleId="2894" w:customStyle="1">
    <w:name w:val="Нет списка369"/>
    <w:next w:val="944"/>
    <w:uiPriority w:val="99"/>
    <w:semiHidden/>
    <w:unhideWhenUsed/>
  </w:style>
  <w:style w:type="numbering" w:styleId="2895" w:customStyle="1">
    <w:name w:val="Нет списка469"/>
    <w:next w:val="944"/>
    <w:uiPriority w:val="99"/>
    <w:semiHidden/>
    <w:unhideWhenUsed/>
  </w:style>
  <w:style w:type="numbering" w:styleId="2896" w:customStyle="1">
    <w:name w:val="Нет списка569"/>
    <w:next w:val="944"/>
    <w:uiPriority w:val="99"/>
    <w:semiHidden/>
    <w:unhideWhenUsed/>
  </w:style>
  <w:style w:type="numbering" w:styleId="2897" w:customStyle="1">
    <w:name w:val="Нет списка669"/>
    <w:next w:val="944"/>
    <w:uiPriority w:val="99"/>
    <w:semiHidden/>
    <w:unhideWhenUsed/>
  </w:style>
  <w:style w:type="table" w:styleId="2898" w:customStyle="1">
    <w:name w:val="Сетка таблицы149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899" w:customStyle="1">
    <w:name w:val="Нет списка198"/>
    <w:next w:val="944"/>
    <w:uiPriority w:val="99"/>
    <w:semiHidden/>
    <w:unhideWhenUsed/>
  </w:style>
  <w:style w:type="numbering" w:styleId="2900" w:customStyle="1">
    <w:name w:val="Нет списка1108"/>
    <w:next w:val="944"/>
    <w:uiPriority w:val="99"/>
    <w:semiHidden/>
    <w:unhideWhenUsed/>
  </w:style>
  <w:style w:type="numbering" w:styleId="2901" w:customStyle="1">
    <w:name w:val="Нет списка278"/>
    <w:next w:val="944"/>
    <w:uiPriority w:val="99"/>
    <w:semiHidden/>
    <w:unhideWhenUsed/>
  </w:style>
  <w:style w:type="numbering" w:styleId="2902" w:customStyle="1">
    <w:name w:val="Нет списка378"/>
    <w:next w:val="944"/>
    <w:uiPriority w:val="99"/>
    <w:semiHidden/>
    <w:unhideWhenUsed/>
  </w:style>
  <w:style w:type="numbering" w:styleId="2903" w:customStyle="1">
    <w:name w:val="Нет списка478"/>
    <w:next w:val="944"/>
    <w:uiPriority w:val="99"/>
    <w:semiHidden/>
    <w:unhideWhenUsed/>
  </w:style>
  <w:style w:type="numbering" w:styleId="2904" w:customStyle="1">
    <w:name w:val="Нет списка578"/>
    <w:next w:val="944"/>
    <w:uiPriority w:val="99"/>
    <w:semiHidden/>
    <w:unhideWhenUsed/>
  </w:style>
  <w:style w:type="numbering" w:styleId="2905" w:customStyle="1">
    <w:name w:val="Нет списка678"/>
    <w:next w:val="944"/>
    <w:uiPriority w:val="99"/>
    <w:semiHidden/>
    <w:unhideWhenUsed/>
  </w:style>
  <w:style w:type="table" w:styleId="2906" w:customStyle="1">
    <w:name w:val="Сетка таблицы38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907" w:customStyle="1">
    <w:name w:val="Сетка таблицы151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908" w:customStyle="1">
    <w:name w:val="Сетка таблицы218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909" w:customStyle="1">
    <w:name w:val="Нет списка7110"/>
    <w:next w:val="944"/>
    <w:uiPriority w:val="99"/>
    <w:semiHidden/>
    <w:unhideWhenUsed/>
  </w:style>
  <w:style w:type="numbering" w:styleId="2910" w:customStyle="1">
    <w:name w:val="Нет списка11118"/>
    <w:next w:val="944"/>
    <w:uiPriority w:val="99"/>
    <w:semiHidden/>
    <w:unhideWhenUsed/>
  </w:style>
  <w:style w:type="numbering" w:styleId="2911" w:customStyle="1">
    <w:name w:val="Нет списка21110"/>
    <w:next w:val="944"/>
    <w:uiPriority w:val="99"/>
    <w:semiHidden/>
    <w:unhideWhenUsed/>
  </w:style>
  <w:style w:type="numbering" w:styleId="2912" w:customStyle="1">
    <w:name w:val="Нет списка31110"/>
    <w:next w:val="944"/>
    <w:uiPriority w:val="99"/>
    <w:semiHidden/>
    <w:unhideWhenUsed/>
  </w:style>
  <w:style w:type="numbering" w:styleId="2913" w:customStyle="1">
    <w:name w:val="Нет списка41110"/>
    <w:next w:val="944"/>
    <w:uiPriority w:val="99"/>
    <w:semiHidden/>
    <w:unhideWhenUsed/>
  </w:style>
  <w:style w:type="numbering" w:styleId="2914" w:customStyle="1">
    <w:name w:val="Нет списка51110"/>
    <w:next w:val="944"/>
    <w:uiPriority w:val="99"/>
    <w:semiHidden/>
    <w:unhideWhenUsed/>
  </w:style>
  <w:style w:type="numbering" w:styleId="2915" w:customStyle="1">
    <w:name w:val="Нет списка61110"/>
    <w:next w:val="944"/>
    <w:uiPriority w:val="99"/>
    <w:semiHidden/>
    <w:unhideWhenUsed/>
  </w:style>
  <w:style w:type="numbering" w:styleId="2916" w:customStyle="1">
    <w:name w:val="Нет списка7118"/>
    <w:next w:val="944"/>
    <w:uiPriority w:val="99"/>
    <w:semiHidden/>
    <w:unhideWhenUsed/>
  </w:style>
  <w:style w:type="numbering" w:styleId="2917" w:customStyle="1">
    <w:name w:val="Нет списка11119"/>
    <w:next w:val="944"/>
    <w:uiPriority w:val="99"/>
    <w:semiHidden/>
    <w:unhideWhenUsed/>
  </w:style>
  <w:style w:type="numbering" w:styleId="2918" w:customStyle="1">
    <w:name w:val="Нет списка21118"/>
    <w:next w:val="944"/>
    <w:uiPriority w:val="99"/>
    <w:semiHidden/>
    <w:unhideWhenUsed/>
  </w:style>
  <w:style w:type="numbering" w:styleId="2919" w:customStyle="1">
    <w:name w:val="Нет списка31118"/>
    <w:next w:val="944"/>
    <w:uiPriority w:val="99"/>
    <w:semiHidden/>
    <w:unhideWhenUsed/>
  </w:style>
  <w:style w:type="numbering" w:styleId="2920" w:customStyle="1">
    <w:name w:val="Нет списка41118"/>
    <w:next w:val="944"/>
    <w:uiPriority w:val="99"/>
    <w:semiHidden/>
    <w:unhideWhenUsed/>
  </w:style>
  <w:style w:type="numbering" w:styleId="2921" w:customStyle="1">
    <w:name w:val="Нет списка51118"/>
    <w:next w:val="944"/>
    <w:uiPriority w:val="99"/>
    <w:semiHidden/>
    <w:unhideWhenUsed/>
  </w:style>
  <w:style w:type="numbering" w:styleId="2922" w:customStyle="1">
    <w:name w:val="Нет списка61118"/>
    <w:next w:val="944"/>
    <w:uiPriority w:val="99"/>
    <w:semiHidden/>
    <w:unhideWhenUsed/>
  </w:style>
  <w:style w:type="table" w:styleId="2923" w:customStyle="1">
    <w:name w:val="Сетка таблицы11128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924" w:customStyle="1">
    <w:name w:val="Нет списка818"/>
    <w:next w:val="944"/>
    <w:uiPriority w:val="99"/>
    <w:semiHidden/>
    <w:unhideWhenUsed/>
  </w:style>
  <w:style w:type="numbering" w:styleId="2925" w:customStyle="1">
    <w:name w:val="Нет списка1219"/>
    <w:next w:val="944"/>
    <w:uiPriority w:val="99"/>
    <w:semiHidden/>
    <w:unhideWhenUsed/>
  </w:style>
  <w:style w:type="numbering" w:styleId="2926" w:customStyle="1">
    <w:name w:val="Нет списка2218"/>
    <w:next w:val="944"/>
    <w:uiPriority w:val="99"/>
    <w:semiHidden/>
    <w:unhideWhenUsed/>
  </w:style>
  <w:style w:type="numbering" w:styleId="2927" w:customStyle="1">
    <w:name w:val="Нет списка3218"/>
    <w:next w:val="944"/>
    <w:uiPriority w:val="99"/>
    <w:semiHidden/>
    <w:unhideWhenUsed/>
  </w:style>
  <w:style w:type="numbering" w:styleId="2928" w:customStyle="1">
    <w:name w:val="Нет списка4218"/>
    <w:next w:val="944"/>
    <w:uiPriority w:val="99"/>
    <w:semiHidden/>
    <w:unhideWhenUsed/>
  </w:style>
  <w:style w:type="numbering" w:styleId="2929" w:customStyle="1">
    <w:name w:val="Нет списка5218"/>
    <w:next w:val="944"/>
    <w:uiPriority w:val="99"/>
    <w:semiHidden/>
    <w:unhideWhenUsed/>
  </w:style>
  <w:style w:type="numbering" w:styleId="2930" w:customStyle="1">
    <w:name w:val="Нет списка6218"/>
    <w:next w:val="944"/>
    <w:uiPriority w:val="99"/>
    <w:semiHidden/>
    <w:unhideWhenUsed/>
  </w:style>
  <w:style w:type="table" w:styleId="2931" w:customStyle="1">
    <w:name w:val="Сетка таблицы228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932" w:customStyle="1">
    <w:name w:val="Нет списка918"/>
    <w:next w:val="944"/>
    <w:uiPriority w:val="99"/>
    <w:semiHidden/>
    <w:unhideWhenUsed/>
  </w:style>
  <w:style w:type="numbering" w:styleId="2933" w:customStyle="1">
    <w:name w:val="Нет списка1318"/>
    <w:next w:val="944"/>
    <w:uiPriority w:val="99"/>
    <w:semiHidden/>
    <w:unhideWhenUsed/>
  </w:style>
  <w:style w:type="numbering" w:styleId="2934" w:customStyle="1">
    <w:name w:val="Нет списка2318"/>
    <w:next w:val="944"/>
    <w:uiPriority w:val="99"/>
    <w:semiHidden/>
    <w:unhideWhenUsed/>
  </w:style>
  <w:style w:type="numbering" w:styleId="2935" w:customStyle="1">
    <w:name w:val="Нет списка3318"/>
    <w:next w:val="944"/>
    <w:uiPriority w:val="99"/>
    <w:semiHidden/>
    <w:unhideWhenUsed/>
  </w:style>
  <w:style w:type="numbering" w:styleId="2936" w:customStyle="1">
    <w:name w:val="Нет списка4318"/>
    <w:next w:val="944"/>
    <w:uiPriority w:val="99"/>
    <w:semiHidden/>
    <w:unhideWhenUsed/>
  </w:style>
  <w:style w:type="numbering" w:styleId="2937" w:customStyle="1">
    <w:name w:val="Нет списка5318"/>
    <w:next w:val="944"/>
    <w:uiPriority w:val="99"/>
    <w:semiHidden/>
    <w:unhideWhenUsed/>
  </w:style>
  <w:style w:type="numbering" w:styleId="2938" w:customStyle="1">
    <w:name w:val="Нет списка6318"/>
    <w:next w:val="944"/>
    <w:uiPriority w:val="99"/>
    <w:semiHidden/>
    <w:unhideWhenUsed/>
  </w:style>
  <w:style w:type="table" w:styleId="2939" w:customStyle="1">
    <w:name w:val="Сетка таблицы111113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940" w:customStyle="1">
    <w:name w:val="Нет списка1018"/>
    <w:next w:val="944"/>
    <w:uiPriority w:val="99"/>
    <w:semiHidden/>
    <w:unhideWhenUsed/>
  </w:style>
  <w:style w:type="numbering" w:styleId="2941" w:customStyle="1">
    <w:name w:val="Нет списка1418"/>
    <w:next w:val="944"/>
    <w:uiPriority w:val="99"/>
    <w:semiHidden/>
    <w:unhideWhenUsed/>
  </w:style>
  <w:style w:type="numbering" w:styleId="2942" w:customStyle="1">
    <w:name w:val="Нет списка2418"/>
    <w:next w:val="944"/>
    <w:uiPriority w:val="99"/>
    <w:semiHidden/>
    <w:unhideWhenUsed/>
  </w:style>
  <w:style w:type="numbering" w:styleId="2943" w:customStyle="1">
    <w:name w:val="Нет списка3418"/>
    <w:next w:val="944"/>
    <w:uiPriority w:val="99"/>
    <w:semiHidden/>
    <w:unhideWhenUsed/>
  </w:style>
  <w:style w:type="numbering" w:styleId="2944" w:customStyle="1">
    <w:name w:val="Нет списка4418"/>
    <w:next w:val="944"/>
    <w:uiPriority w:val="99"/>
    <w:semiHidden/>
    <w:unhideWhenUsed/>
  </w:style>
  <w:style w:type="numbering" w:styleId="2945" w:customStyle="1">
    <w:name w:val="Нет списка5418"/>
    <w:next w:val="944"/>
    <w:uiPriority w:val="99"/>
    <w:semiHidden/>
    <w:unhideWhenUsed/>
  </w:style>
  <w:style w:type="numbering" w:styleId="2946" w:customStyle="1">
    <w:name w:val="Нет списка6418"/>
    <w:next w:val="944"/>
    <w:uiPriority w:val="99"/>
    <w:semiHidden/>
    <w:unhideWhenUsed/>
  </w:style>
  <w:style w:type="table" w:styleId="2947" w:customStyle="1">
    <w:name w:val="Сетка таблицы1218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948" w:customStyle="1">
    <w:name w:val="Нет списка1518"/>
    <w:next w:val="944"/>
    <w:uiPriority w:val="99"/>
    <w:semiHidden/>
    <w:unhideWhenUsed/>
  </w:style>
  <w:style w:type="numbering" w:styleId="2949" w:customStyle="1">
    <w:name w:val="Нет списка1618"/>
    <w:next w:val="944"/>
    <w:uiPriority w:val="99"/>
    <w:semiHidden/>
    <w:unhideWhenUsed/>
  </w:style>
  <w:style w:type="numbering" w:styleId="2950" w:customStyle="1">
    <w:name w:val="Нет списка2518"/>
    <w:next w:val="944"/>
    <w:uiPriority w:val="99"/>
    <w:semiHidden/>
    <w:unhideWhenUsed/>
  </w:style>
  <w:style w:type="numbering" w:styleId="2951" w:customStyle="1">
    <w:name w:val="Нет списка3518"/>
    <w:next w:val="944"/>
    <w:uiPriority w:val="99"/>
    <w:semiHidden/>
    <w:unhideWhenUsed/>
  </w:style>
  <w:style w:type="numbering" w:styleId="2952" w:customStyle="1">
    <w:name w:val="Нет списка4518"/>
    <w:next w:val="944"/>
    <w:uiPriority w:val="99"/>
    <w:semiHidden/>
    <w:unhideWhenUsed/>
  </w:style>
  <w:style w:type="numbering" w:styleId="2953" w:customStyle="1">
    <w:name w:val="Нет списка5518"/>
    <w:next w:val="944"/>
    <w:uiPriority w:val="99"/>
    <w:semiHidden/>
    <w:unhideWhenUsed/>
  </w:style>
  <w:style w:type="numbering" w:styleId="2954" w:customStyle="1">
    <w:name w:val="Нет списка6518"/>
    <w:next w:val="944"/>
    <w:uiPriority w:val="99"/>
    <w:semiHidden/>
    <w:unhideWhenUsed/>
  </w:style>
  <w:style w:type="table" w:styleId="2955" w:customStyle="1">
    <w:name w:val="Сетка таблицы131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956" w:customStyle="1">
    <w:name w:val="Нет списка1718"/>
    <w:next w:val="944"/>
    <w:uiPriority w:val="99"/>
    <w:semiHidden/>
    <w:unhideWhenUsed/>
  </w:style>
  <w:style w:type="numbering" w:styleId="2957" w:customStyle="1">
    <w:name w:val="Нет списка1818"/>
    <w:next w:val="944"/>
    <w:uiPriority w:val="99"/>
    <w:semiHidden/>
    <w:unhideWhenUsed/>
  </w:style>
  <w:style w:type="numbering" w:styleId="2958" w:customStyle="1">
    <w:name w:val="Нет списка2618"/>
    <w:next w:val="944"/>
    <w:uiPriority w:val="99"/>
    <w:semiHidden/>
    <w:unhideWhenUsed/>
  </w:style>
  <w:style w:type="numbering" w:styleId="2959" w:customStyle="1">
    <w:name w:val="Нет списка3618"/>
    <w:next w:val="944"/>
    <w:uiPriority w:val="99"/>
    <w:semiHidden/>
    <w:unhideWhenUsed/>
  </w:style>
  <w:style w:type="numbering" w:styleId="2960" w:customStyle="1">
    <w:name w:val="Нет списка4618"/>
    <w:next w:val="944"/>
    <w:uiPriority w:val="99"/>
    <w:semiHidden/>
    <w:unhideWhenUsed/>
  </w:style>
  <w:style w:type="numbering" w:styleId="2961" w:customStyle="1">
    <w:name w:val="Нет списка5618"/>
    <w:next w:val="944"/>
    <w:uiPriority w:val="99"/>
    <w:semiHidden/>
    <w:unhideWhenUsed/>
  </w:style>
  <w:style w:type="numbering" w:styleId="2962" w:customStyle="1">
    <w:name w:val="Нет списка6618"/>
    <w:next w:val="944"/>
    <w:uiPriority w:val="99"/>
    <w:semiHidden/>
    <w:unhideWhenUsed/>
  </w:style>
  <w:style w:type="table" w:styleId="2963" w:customStyle="1">
    <w:name w:val="Сетка таблицы141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964" w:customStyle="1">
    <w:name w:val="Нет списка207"/>
    <w:next w:val="944"/>
    <w:uiPriority w:val="99"/>
    <w:semiHidden/>
    <w:unhideWhenUsed/>
  </w:style>
  <w:style w:type="numbering" w:styleId="2965" w:customStyle="1">
    <w:name w:val="Нет списка1128"/>
    <w:next w:val="944"/>
    <w:uiPriority w:val="99"/>
    <w:semiHidden/>
    <w:unhideWhenUsed/>
  </w:style>
  <w:style w:type="numbering" w:styleId="2966" w:customStyle="1">
    <w:name w:val="Нет списка287"/>
    <w:next w:val="944"/>
    <w:uiPriority w:val="99"/>
    <w:semiHidden/>
    <w:unhideWhenUsed/>
  </w:style>
  <w:style w:type="numbering" w:styleId="2967" w:customStyle="1">
    <w:name w:val="Нет списка387"/>
    <w:next w:val="944"/>
    <w:uiPriority w:val="99"/>
    <w:semiHidden/>
    <w:unhideWhenUsed/>
  </w:style>
  <w:style w:type="numbering" w:styleId="2968" w:customStyle="1">
    <w:name w:val="Нет списка487"/>
    <w:next w:val="944"/>
    <w:uiPriority w:val="99"/>
    <w:semiHidden/>
    <w:unhideWhenUsed/>
  </w:style>
  <w:style w:type="numbering" w:styleId="2969" w:customStyle="1">
    <w:name w:val="Нет списка587"/>
    <w:next w:val="944"/>
    <w:uiPriority w:val="99"/>
    <w:semiHidden/>
    <w:unhideWhenUsed/>
  </w:style>
  <w:style w:type="numbering" w:styleId="2970" w:customStyle="1">
    <w:name w:val="Нет списка687"/>
    <w:next w:val="944"/>
    <w:uiPriority w:val="99"/>
    <w:semiHidden/>
    <w:unhideWhenUsed/>
  </w:style>
  <w:style w:type="table" w:styleId="2971" w:customStyle="1">
    <w:name w:val="Сетка таблицы4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972" w:customStyle="1">
    <w:name w:val="Сетка таблицы16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973" w:customStyle="1">
    <w:name w:val="Сетка таблицы237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2974" w:customStyle="1">
    <w:name w:val="Сетка таблицы2117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975" w:customStyle="1">
    <w:name w:val="Нет списка728"/>
    <w:next w:val="944"/>
    <w:uiPriority w:val="99"/>
    <w:semiHidden/>
    <w:unhideWhenUsed/>
  </w:style>
  <w:style w:type="numbering" w:styleId="2976" w:customStyle="1">
    <w:name w:val="Нет списка1137"/>
    <w:next w:val="944"/>
    <w:uiPriority w:val="99"/>
    <w:semiHidden/>
    <w:unhideWhenUsed/>
  </w:style>
  <w:style w:type="numbering" w:styleId="2977" w:customStyle="1">
    <w:name w:val="Нет списка2128"/>
    <w:next w:val="944"/>
    <w:uiPriority w:val="99"/>
    <w:semiHidden/>
    <w:unhideWhenUsed/>
  </w:style>
  <w:style w:type="numbering" w:styleId="2978" w:customStyle="1">
    <w:name w:val="Нет списка3128"/>
    <w:next w:val="944"/>
    <w:uiPriority w:val="99"/>
    <w:semiHidden/>
    <w:unhideWhenUsed/>
  </w:style>
  <w:style w:type="numbering" w:styleId="2979" w:customStyle="1">
    <w:name w:val="Нет списка4128"/>
    <w:next w:val="944"/>
    <w:uiPriority w:val="99"/>
    <w:semiHidden/>
    <w:unhideWhenUsed/>
  </w:style>
  <w:style w:type="numbering" w:styleId="2980" w:customStyle="1">
    <w:name w:val="Нет списка5128"/>
    <w:next w:val="944"/>
    <w:uiPriority w:val="99"/>
    <w:semiHidden/>
    <w:unhideWhenUsed/>
  </w:style>
  <w:style w:type="numbering" w:styleId="2981" w:customStyle="1">
    <w:name w:val="Нет списка6128"/>
    <w:next w:val="944"/>
    <w:uiPriority w:val="99"/>
    <w:semiHidden/>
    <w:unhideWhenUsed/>
  </w:style>
  <w:style w:type="table" w:styleId="2982" w:customStyle="1">
    <w:name w:val="Сетка таблицы31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983" w:customStyle="1">
    <w:name w:val="Нет списка7127"/>
    <w:next w:val="944"/>
    <w:uiPriority w:val="99"/>
    <w:semiHidden/>
    <w:unhideWhenUsed/>
  </w:style>
  <w:style w:type="numbering" w:styleId="2984" w:customStyle="1">
    <w:name w:val="Нет списка11127"/>
    <w:next w:val="944"/>
    <w:uiPriority w:val="99"/>
    <w:semiHidden/>
    <w:unhideWhenUsed/>
  </w:style>
  <w:style w:type="numbering" w:styleId="2985" w:customStyle="1">
    <w:name w:val="Нет списка21127"/>
    <w:next w:val="944"/>
    <w:uiPriority w:val="99"/>
    <w:semiHidden/>
    <w:unhideWhenUsed/>
  </w:style>
  <w:style w:type="numbering" w:styleId="2986" w:customStyle="1">
    <w:name w:val="Нет списка31127"/>
    <w:next w:val="944"/>
    <w:uiPriority w:val="99"/>
    <w:semiHidden/>
    <w:unhideWhenUsed/>
  </w:style>
  <w:style w:type="numbering" w:styleId="2987" w:customStyle="1">
    <w:name w:val="Нет списка41127"/>
    <w:next w:val="944"/>
    <w:uiPriority w:val="99"/>
    <w:semiHidden/>
    <w:unhideWhenUsed/>
  </w:style>
  <w:style w:type="numbering" w:styleId="2988" w:customStyle="1">
    <w:name w:val="Нет списка51127"/>
    <w:next w:val="944"/>
    <w:uiPriority w:val="99"/>
    <w:semiHidden/>
    <w:unhideWhenUsed/>
  </w:style>
  <w:style w:type="numbering" w:styleId="2989" w:customStyle="1">
    <w:name w:val="Нет списка61127"/>
    <w:next w:val="944"/>
    <w:uiPriority w:val="99"/>
    <w:semiHidden/>
    <w:unhideWhenUsed/>
  </w:style>
  <w:style w:type="table" w:styleId="2990" w:customStyle="1">
    <w:name w:val="Сетка таблицы11212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991" w:customStyle="1">
    <w:name w:val="Нет списка827"/>
    <w:next w:val="944"/>
    <w:uiPriority w:val="99"/>
    <w:semiHidden/>
    <w:unhideWhenUsed/>
  </w:style>
  <w:style w:type="numbering" w:styleId="2992" w:customStyle="1">
    <w:name w:val="Нет списка1227"/>
    <w:next w:val="944"/>
    <w:uiPriority w:val="99"/>
    <w:semiHidden/>
    <w:unhideWhenUsed/>
  </w:style>
  <w:style w:type="numbering" w:styleId="2993" w:customStyle="1">
    <w:name w:val="Нет списка2227"/>
    <w:next w:val="944"/>
    <w:uiPriority w:val="99"/>
    <w:semiHidden/>
    <w:unhideWhenUsed/>
  </w:style>
  <w:style w:type="numbering" w:styleId="2994" w:customStyle="1">
    <w:name w:val="Нет списка3227"/>
    <w:next w:val="944"/>
    <w:uiPriority w:val="99"/>
    <w:semiHidden/>
    <w:unhideWhenUsed/>
  </w:style>
  <w:style w:type="numbering" w:styleId="2995" w:customStyle="1">
    <w:name w:val="Нет списка4227"/>
    <w:next w:val="944"/>
    <w:uiPriority w:val="99"/>
    <w:semiHidden/>
    <w:unhideWhenUsed/>
  </w:style>
  <w:style w:type="numbering" w:styleId="2996" w:customStyle="1">
    <w:name w:val="Нет списка5227"/>
    <w:next w:val="944"/>
    <w:uiPriority w:val="99"/>
    <w:semiHidden/>
    <w:unhideWhenUsed/>
  </w:style>
  <w:style w:type="numbering" w:styleId="2997" w:customStyle="1">
    <w:name w:val="Нет списка6227"/>
    <w:next w:val="944"/>
    <w:uiPriority w:val="99"/>
    <w:semiHidden/>
    <w:unhideWhenUsed/>
  </w:style>
  <w:style w:type="table" w:styleId="2998" w:customStyle="1">
    <w:name w:val="Сетка таблицы2217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2999" w:customStyle="1">
    <w:name w:val="Нет списка927"/>
    <w:next w:val="944"/>
    <w:uiPriority w:val="99"/>
    <w:semiHidden/>
    <w:unhideWhenUsed/>
  </w:style>
  <w:style w:type="numbering" w:styleId="3000" w:customStyle="1">
    <w:name w:val="Нет списка1327"/>
    <w:next w:val="944"/>
    <w:uiPriority w:val="99"/>
    <w:semiHidden/>
    <w:unhideWhenUsed/>
  </w:style>
  <w:style w:type="numbering" w:styleId="3001" w:customStyle="1">
    <w:name w:val="Нет списка2327"/>
    <w:next w:val="944"/>
    <w:uiPriority w:val="99"/>
    <w:semiHidden/>
    <w:unhideWhenUsed/>
  </w:style>
  <w:style w:type="numbering" w:styleId="3002" w:customStyle="1">
    <w:name w:val="Нет списка3327"/>
    <w:next w:val="944"/>
    <w:uiPriority w:val="99"/>
    <w:semiHidden/>
    <w:unhideWhenUsed/>
  </w:style>
  <w:style w:type="numbering" w:styleId="3003" w:customStyle="1">
    <w:name w:val="Нет списка4327"/>
    <w:next w:val="944"/>
    <w:uiPriority w:val="99"/>
    <w:semiHidden/>
    <w:unhideWhenUsed/>
  </w:style>
  <w:style w:type="numbering" w:styleId="3004" w:customStyle="1">
    <w:name w:val="Нет списка5327"/>
    <w:next w:val="944"/>
    <w:uiPriority w:val="99"/>
    <w:semiHidden/>
    <w:unhideWhenUsed/>
  </w:style>
  <w:style w:type="numbering" w:styleId="3005" w:customStyle="1">
    <w:name w:val="Нет списка6327"/>
    <w:next w:val="944"/>
    <w:uiPriority w:val="99"/>
    <w:semiHidden/>
    <w:unhideWhenUsed/>
  </w:style>
  <w:style w:type="table" w:styleId="3006" w:customStyle="1">
    <w:name w:val="Сетка таблицы11129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3007" w:customStyle="1">
    <w:name w:val="Нет списка1027"/>
    <w:next w:val="944"/>
    <w:uiPriority w:val="99"/>
    <w:semiHidden/>
    <w:unhideWhenUsed/>
  </w:style>
  <w:style w:type="numbering" w:styleId="3008" w:customStyle="1">
    <w:name w:val="Нет списка1427"/>
    <w:next w:val="944"/>
    <w:uiPriority w:val="99"/>
    <w:semiHidden/>
    <w:unhideWhenUsed/>
  </w:style>
  <w:style w:type="numbering" w:styleId="3009" w:customStyle="1">
    <w:name w:val="Нет списка2427"/>
    <w:next w:val="944"/>
    <w:uiPriority w:val="99"/>
    <w:semiHidden/>
    <w:unhideWhenUsed/>
  </w:style>
  <w:style w:type="numbering" w:styleId="3010" w:customStyle="1">
    <w:name w:val="Нет списка3427"/>
    <w:next w:val="944"/>
    <w:uiPriority w:val="99"/>
    <w:semiHidden/>
    <w:unhideWhenUsed/>
  </w:style>
  <w:style w:type="numbering" w:styleId="3011" w:customStyle="1">
    <w:name w:val="Нет списка4427"/>
    <w:next w:val="944"/>
    <w:uiPriority w:val="99"/>
    <w:semiHidden/>
    <w:unhideWhenUsed/>
  </w:style>
  <w:style w:type="numbering" w:styleId="3012" w:customStyle="1">
    <w:name w:val="Нет списка5427"/>
    <w:next w:val="944"/>
    <w:uiPriority w:val="99"/>
    <w:semiHidden/>
    <w:unhideWhenUsed/>
  </w:style>
  <w:style w:type="numbering" w:styleId="3013" w:customStyle="1">
    <w:name w:val="Нет списка6427"/>
    <w:next w:val="944"/>
    <w:uiPriority w:val="99"/>
    <w:semiHidden/>
    <w:unhideWhenUsed/>
  </w:style>
  <w:style w:type="table" w:styleId="3014" w:customStyle="1">
    <w:name w:val="Сетка таблицы122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3015" w:customStyle="1">
    <w:name w:val="Нет списка1527"/>
    <w:next w:val="944"/>
    <w:uiPriority w:val="99"/>
    <w:semiHidden/>
    <w:unhideWhenUsed/>
  </w:style>
  <w:style w:type="numbering" w:styleId="3016" w:customStyle="1">
    <w:name w:val="Нет списка1627"/>
    <w:next w:val="944"/>
    <w:uiPriority w:val="99"/>
    <w:semiHidden/>
    <w:unhideWhenUsed/>
  </w:style>
  <w:style w:type="numbering" w:styleId="3017" w:customStyle="1">
    <w:name w:val="Нет списка2527"/>
    <w:next w:val="944"/>
    <w:uiPriority w:val="99"/>
    <w:semiHidden/>
    <w:unhideWhenUsed/>
  </w:style>
  <w:style w:type="numbering" w:styleId="3018" w:customStyle="1">
    <w:name w:val="Нет списка3527"/>
    <w:next w:val="944"/>
    <w:uiPriority w:val="99"/>
    <w:semiHidden/>
    <w:unhideWhenUsed/>
  </w:style>
  <w:style w:type="numbering" w:styleId="3019" w:customStyle="1">
    <w:name w:val="Нет списка4527"/>
    <w:next w:val="944"/>
    <w:uiPriority w:val="99"/>
    <w:semiHidden/>
    <w:unhideWhenUsed/>
  </w:style>
  <w:style w:type="numbering" w:styleId="3020" w:customStyle="1">
    <w:name w:val="Нет списка5527"/>
    <w:next w:val="944"/>
    <w:uiPriority w:val="99"/>
    <w:semiHidden/>
    <w:unhideWhenUsed/>
  </w:style>
  <w:style w:type="numbering" w:styleId="3021" w:customStyle="1">
    <w:name w:val="Нет списка6527"/>
    <w:next w:val="944"/>
    <w:uiPriority w:val="99"/>
    <w:semiHidden/>
    <w:unhideWhenUsed/>
  </w:style>
  <w:style w:type="table" w:styleId="3022" w:customStyle="1">
    <w:name w:val="Сетка таблицы132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numbering" w:styleId="3023" w:customStyle="1">
    <w:name w:val="Нет списка1727"/>
    <w:next w:val="944"/>
    <w:uiPriority w:val="99"/>
    <w:semiHidden/>
    <w:unhideWhenUsed/>
  </w:style>
  <w:style w:type="numbering" w:styleId="3024" w:customStyle="1">
    <w:name w:val="Нет списка1827"/>
    <w:next w:val="944"/>
    <w:uiPriority w:val="99"/>
    <w:semiHidden/>
    <w:unhideWhenUsed/>
  </w:style>
  <w:style w:type="numbering" w:styleId="3025" w:customStyle="1">
    <w:name w:val="Нет списка2627"/>
    <w:next w:val="944"/>
    <w:uiPriority w:val="99"/>
    <w:semiHidden/>
    <w:unhideWhenUsed/>
  </w:style>
  <w:style w:type="numbering" w:styleId="3026" w:customStyle="1">
    <w:name w:val="Нет списка3627"/>
    <w:next w:val="944"/>
    <w:uiPriority w:val="99"/>
    <w:semiHidden/>
    <w:unhideWhenUsed/>
  </w:style>
  <w:style w:type="numbering" w:styleId="3027" w:customStyle="1">
    <w:name w:val="Нет списка4627"/>
    <w:next w:val="944"/>
    <w:uiPriority w:val="99"/>
    <w:semiHidden/>
    <w:unhideWhenUsed/>
  </w:style>
  <w:style w:type="numbering" w:styleId="3028" w:customStyle="1">
    <w:name w:val="Нет списка5627"/>
    <w:next w:val="944"/>
    <w:uiPriority w:val="99"/>
    <w:semiHidden/>
    <w:unhideWhenUsed/>
  </w:style>
  <w:style w:type="numbering" w:styleId="3029" w:customStyle="1">
    <w:name w:val="Нет списка6627"/>
    <w:next w:val="944"/>
    <w:uiPriority w:val="99"/>
    <w:semiHidden/>
    <w:unhideWhenUsed/>
  </w:style>
  <w:style w:type="table" w:styleId="3030" w:customStyle="1">
    <w:name w:val="Сетка таблицы1427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3031" w:customStyle="1">
    <w:name w:val="Сетка таблицы58"/>
    <w:basedOn w:val="943"/>
    <w:next w:val="961"/>
    <w:uiPriority w:val="5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3032" w:customStyle="1">
    <w:name w:val="Table Normal142"/>
    <w:uiPriority w:val="2"/>
    <w:semiHidden/>
    <w:unhideWhenUsed/>
    <w:qFormat/>
    <w:pPr>
      <w:spacing w:after="0" w:line="240" w:lineRule="auto"/>
      <w:widowControl w:val="off"/>
    </w:pPr>
    <w:rPr>
      <w:rFonts w:ascii="Calibri" w:hAnsi="Calibri" w:eastAsia="Calibri" w:cs="Times New Roman"/>
      <w:lang w:val="en-US"/>
    </w:rPr>
    <w:tblPr>
      <w:tblInd w:w="0" w:type="dxa"/>
      <w:tblCellMar>
        <w:left w:w="0" w:type="dxa"/>
        <w:top w:w="0" w:type="dxa"/>
        <w:right w:w="0" w:type="dxa"/>
        <w:bottom w:w="0" w:type="dxa"/>
      </w:tblCellMar>
    </w:tblPr>
  </w:style>
  <w:style w:type="numbering" w:styleId="3033" w:customStyle="1">
    <w:name w:val="Нет списка293"/>
    <w:next w:val="944"/>
    <w:uiPriority w:val="99"/>
    <w:semiHidden/>
    <w:unhideWhenUsed/>
  </w:style>
  <w:style w:type="table" w:styleId="3034" w:customStyle="1">
    <w:name w:val="TableGrid7"/>
    <w:pPr>
      <w:spacing w:after="0" w:line="240" w:lineRule="auto"/>
    </w:pPr>
    <w:rPr>
      <w:rFonts w:eastAsia="Times New Roman"/>
      <w:lang w:eastAsia="ru-RU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3035" w:customStyle="1">
    <w:name w:val="Сетка таблицы66"/>
    <w:basedOn w:val="943"/>
    <w:next w:val="961"/>
    <w:uiPriority w:val="39"/>
    <w:pPr>
      <w:spacing w:after="0" w:line="240" w:lineRule="auto"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3036" w:customStyle="1">
    <w:name w:val="Таблица простая 212"/>
    <w:basedOn w:val="943"/>
    <w:uiPriority w:val="42"/>
    <w:pPr>
      <w:spacing w:after="0" w:line="240" w:lineRule="auto"/>
    </w:pPr>
    <w:tblPr>
      <w:tblStyleRowBandSize w:val="1"/>
      <w:tblStyleColBandSize w:val="1"/>
      <w:tblBorders>
        <w:top w:val="single" w:color="7F7F7F" w:sz="4" w:space="0"/>
        <w:bottom w:val="single" w:color="7F7F7F" w:sz="4" w:space="0"/>
      </w:tblBorders>
    </w:tblPr>
    <w:tblStylePr w:type="band1Horz">
      <w:tcPr>
        <w:tcBorders>
          <w:top w:val="single" w:color="7F7F7F" w:sz="4" w:space="0"/>
          <w:bottom w:val="single" w:color="7F7F7F" w:sz="4" w:space="0"/>
        </w:tcBorders>
      </w:tcPr>
    </w:tblStylePr>
    <w:tblStylePr w:type="band1Vert">
      <w:tcPr>
        <w:tcBorders>
          <w:left w:val="single" w:color="7F7F7F" w:sz="4" w:space="0"/>
          <w:right w:val="single" w:color="7F7F7F" w:sz="4" w:space="0"/>
        </w:tcBorders>
      </w:tcPr>
    </w:tblStylePr>
    <w:tblStylePr w:type="band2Vert">
      <w:tcPr>
        <w:tcBorders>
          <w:left w:val="single" w:color="7F7F7F" w:sz="4" w:space="0"/>
          <w:right w:val="single" w:color="7F7F7F" w:sz="4" w:space="0"/>
        </w:tcBorders>
      </w:tcPr>
    </w:tblStylePr>
    <w:tblStylePr w:type="firstCol">
      <w:rPr>
        <w:b/>
        <w:bCs/>
      </w:rPr>
    </w:tblStylePr>
    <w:tblStylePr w:type="firstRow">
      <w:rPr>
        <w:b/>
        <w:bCs/>
      </w:rPr>
      <w:tcPr>
        <w:tcBorders>
          <w:bottom w:val="single" w:color="7F7F7F" w:sz="4" w:space="0"/>
        </w:tcBorders>
      </w:tcPr>
    </w:tblStylePr>
    <w:tblStylePr w:type="lastCol">
      <w:rPr>
        <w:b/>
        <w:bCs/>
      </w:rPr>
    </w:tblStylePr>
    <w:tblStylePr w:type="lastRow">
      <w:rPr>
        <w:b/>
        <w:bCs/>
      </w:rPr>
      <w:tcPr>
        <w:tcBorders>
          <w:top w:val="single" w:color="7F7F7F" w:sz="4" w:space="0"/>
        </w:tcBorders>
      </w:tcPr>
    </w:tblStylePr>
  </w:style>
  <w:style w:type="table" w:styleId="3037" w:customStyle="1">
    <w:name w:val="Сетка таблицы177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3038" w:customStyle="1">
    <w:name w:val="Сетка таблицы187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3039" w:customStyle="1">
    <w:name w:val="TableGrid16"/>
    <w:pPr>
      <w:spacing w:after="0" w:line="240" w:lineRule="auto"/>
    </w:pPr>
    <w:rPr>
      <w:rFonts w:eastAsia="Times New Roman"/>
      <w:lang w:eastAsia="ru-RU"/>
    </w:rPr>
    <w:tblPr>
      <w:tblCellMar>
        <w:left w:w="0" w:type="dxa"/>
        <w:top w:w="0" w:type="dxa"/>
        <w:right w:w="0" w:type="dxa"/>
        <w:bottom w:w="0" w:type="dxa"/>
      </w:tblCellMar>
    </w:tblPr>
  </w:style>
  <w:style w:type="table" w:styleId="3040" w:customStyle="1">
    <w:name w:val="Сетка таблицы197"/>
    <w:pPr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character" w:styleId="3041" w:customStyle="1">
    <w:name w:val="Неразрешенное упоминание2"/>
    <w:basedOn w:val="942"/>
    <w:uiPriority w:val="99"/>
    <w:semiHidden/>
    <w:unhideWhenUsed/>
    <w:rPr>
      <w:color w:val="605e5c"/>
      <w:shd w:val="clear" w:color="auto" w:fill="e1dfdd"/>
    </w:rPr>
  </w:style>
  <w:style w:type="character" w:styleId="3042" w:customStyle="1">
    <w:name w:val="Unresolved Mention"/>
    <w:basedOn w:val="942"/>
    <w:uiPriority w:val="99"/>
    <w:semiHidden/>
    <w:unhideWhenUsed/>
    <w:rPr>
      <w:color w:val="605e5c"/>
      <w:shd w:val="clear" w:color="auto" w:fill="e1dfdd"/>
    </w:rPr>
  </w:style>
  <w:style w:type="paragraph" w:styleId="3043" w:customStyle="1">
    <w:name w:val="Обычный"/>
    <w:qFormat/>
    <w:pPr>
      <w:contextualSpacing w:val="0"/>
      <w:ind w:left="0" w:right="0" w:firstLine="0"/>
      <w:jc w:val="left"/>
      <w:keepLines w:val="0"/>
      <w:keepNext w:val="0"/>
      <w:pageBreakBefore w:val="0"/>
      <w:spacing w:before="0" w:beforeAutospacing="0" w:after="200" w:afterAutospacing="0" w:line="276" w:lineRule="auto"/>
      <w:shd w:val="nil" w:color="000000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Calibri" w:hAnsi="Calibri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2"/>
      <w:highlight w:val="none"/>
      <w:u w:val="single"/>
      <w:shd w:val="clear" w:color="auto" w:fill="auto"/>
      <w:vertAlign w:val="baseline"/>
      <w:rtl w:val="0"/>
      <w:cs w:val="0"/>
      <w:lang w:val="ru-RU" w:eastAsia="ru-RU" w:bidi="ar-SA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footer" Target="footer1.xml" /><Relationship Id="rId14" Type="http://schemas.openxmlformats.org/officeDocument/2006/relationships/image" Target="media/image1.png"/><Relationship Id="rId15" Type="http://schemas.openxmlformats.org/officeDocument/2006/relationships/image" Target="media/image2.png"/><Relationship Id="rId16" Type="http://schemas.openxmlformats.org/officeDocument/2006/relationships/image" Target="media/image3.jpg"/><Relationship Id="rId17" Type="http://schemas.openxmlformats.org/officeDocument/2006/relationships/image" Target="media/image4.jpg"/><Relationship Id="rId18" Type="http://schemas.openxmlformats.org/officeDocument/2006/relationships/image" Target="media/image5.jpg"/><Relationship Id="rId19" Type="http://schemas.openxmlformats.org/officeDocument/2006/relationships/image" Target="media/image6.jpg"/><Relationship Id="rId20" Type="http://schemas.openxmlformats.org/officeDocument/2006/relationships/image" Target="media/image7.png"/><Relationship Id="rId21" Type="http://schemas.openxmlformats.org/officeDocument/2006/relationships/image" Target="media/image8.jpg"/><Relationship Id="rId22" Type="http://schemas.openxmlformats.org/officeDocument/2006/relationships/image" Target="media/image9.jpg"/><Relationship Id="rId23" Type="http://schemas.openxmlformats.org/officeDocument/2006/relationships/image" Target="media/image10.png"/><Relationship Id="rId24" Type="http://schemas.openxmlformats.org/officeDocument/2006/relationships/image" Target="media/image11.png"/><Relationship Id="rId25" Type="http://schemas.openxmlformats.org/officeDocument/2006/relationships/image" Target="media/image12.png"/><Relationship Id="rId26" Type="http://schemas.openxmlformats.org/officeDocument/2006/relationships/image" Target="media/image13.png"/><Relationship Id="rId27" Type="http://schemas.openxmlformats.org/officeDocument/2006/relationships/image" Target="media/image14.jpg"/><Relationship Id="rId28" Type="http://schemas.openxmlformats.org/officeDocument/2006/relationships/image" Target="media/image15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Р7-Офис/7.3.3.0</Application>
  <Company/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IGOR</dc:creator>
  <cp:keywords/>
  <dc:description/>
  <cp:revision>43</cp:revision>
  <dcterms:created xsi:type="dcterms:W3CDTF">2021-10-24T12:18:00Z</dcterms:created>
  <dcterms:modified xsi:type="dcterms:W3CDTF">2023-09-27T11:17:51Z</dcterms:modified>
</cp:coreProperties>
</file>