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/>
      <w:bookmarkStart w:id="0" w:name="_MON_1722757704"/>
      <w:r/>
      <w:bookmarkStart w:id="1" w:name="_Hlk118883714"/>
      <w:r/>
      <w:bookmarkEnd w:id="0"/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600" cy="733425"/>
                <wp:effectExtent l="0" t="0" r="0" b="0"/>
                <wp:docPr id="1" name="Рисунок 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9600" cy="733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.0pt;height:57.8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1412"/>
        <w:jc w:val="center"/>
        <w:spacing w:after="0"/>
        <w:rPr>
          <w:rFonts w:ascii="Liberation Serif" w:hAnsi="Liberation Serif" w:eastAsia="Liberation Serif" w:cs="Liberation Serif"/>
          <w:b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  <w:szCs w:val="28"/>
        </w:rPr>
        <w:t xml:space="preserve">АДМИНИСТРАЦИЯ КРАСНОСЕЛЬКУПСКОГО РАЙОНА</w:t>
      </w:r>
      <w:r/>
    </w:p>
    <w:p>
      <w:pPr>
        <w:pStyle w:val="1412"/>
        <w:jc w:val="center"/>
        <w:spacing w:after="0"/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  <w:szCs w:val="28"/>
        </w:rPr>
        <w:t xml:space="preserve">ПОСТАНОВЛЕНИЕ</w:t>
      </w:r>
      <w:r/>
    </w:p>
    <w:p>
      <w:pPr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«21» сентября 2023 г.     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ab/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ab/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ab/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ab/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ab/>
        <w:t xml:space="preserve">                               № 325-П</w:t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с. Красноселькуп</w:t>
      </w:r>
      <w:r/>
    </w:p>
    <w:p>
      <w:pPr>
        <w:ind w:firstLine="709"/>
        <w:jc w:val="both"/>
        <w:tabs>
          <w:tab w:val="left" w:pos="4840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ind w:firstLine="709"/>
        <w:jc w:val="both"/>
        <w:tabs>
          <w:tab w:val="left" w:pos="4840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1251"/>
        <w:jc w:val="center"/>
        <w:tabs>
          <w:tab w:val="clear" w:pos="4677" w:leader="none"/>
          <w:tab w:val="clear" w:pos="9355" w:leader="none"/>
          <w:tab w:val="right" w:pos="9638" w:leader="none"/>
        </w:tabs>
        <w:rPr>
          <w:rFonts w:ascii="Liberation Serif" w:hAnsi="Liberation Serif" w:eastAsia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Об утверждении актуализированной схемы водоснабжения и водоотведения муниципального округа Красноселькупский район </w:t>
      </w:r>
      <w:r/>
    </w:p>
    <w:p>
      <w:pPr>
        <w:pStyle w:val="1251"/>
        <w:jc w:val="center"/>
        <w:tabs>
          <w:tab w:val="clear" w:pos="4677" w:leader="none"/>
          <w:tab w:val="clear" w:pos="9355" w:leader="none"/>
          <w:tab w:val="right" w:pos="9638" w:leader="none"/>
        </w:tabs>
        <w:rPr>
          <w:rFonts w:ascii="Liberation Serif" w:hAnsi="Liberation Serif" w:eastAsia="Liberation Serif" w:cs="Liberation Serif"/>
          <w:b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Ямало-Ненецкого автономного округа на период до 2038 года </w:t>
      </w:r>
      <w:r/>
    </w:p>
    <w:p>
      <w:pPr>
        <w:jc w:val="both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1483"/>
        <w:ind w:firstLine="709"/>
        <w:jc w:val="both"/>
        <w:spacing w:after="0" w:line="240" w:lineRule="auto"/>
        <w:widowControl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1483"/>
        <w:ind w:firstLine="709"/>
        <w:jc w:val="both"/>
        <w:spacing w:after="0" w:line="240" w:lineRule="auto"/>
        <w:widowControl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Руководствуясь Федеральным законом от 07.12.2011 № 416-ФЗ «О водоснабжении и во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доотведении», постановлением Правительства Российской Федерации от 05.09.2013 № 782 «О схемах водоснабжения и водоотведения», Уставом муниципального округа Красноселькупский район Ямало-Ненецкого автономного округа, Администрация Красноселькупского района </w:t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постановляет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:</w:t>
      </w:r>
      <w:r/>
    </w:p>
    <w:p>
      <w:pPr>
        <w:pStyle w:val="1251"/>
        <w:ind w:firstLine="709"/>
        <w:jc w:val="both"/>
        <w:tabs>
          <w:tab w:val="clear" w:pos="4677" w:leader="none"/>
          <w:tab w:val="clear" w:pos="9355" w:leader="none"/>
          <w:tab w:val="right" w:pos="9638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1. Утвердить прилагаемую актуализированную схему водоснабжения и водоотведения муниципального округа Красноселькупский район Ямало-Ненецкого автономного округа на период до 2038 года.</w:t>
      </w:r>
      <w:r/>
    </w:p>
    <w:p>
      <w:pPr>
        <w:pStyle w:val="1251"/>
        <w:ind w:firstLine="709"/>
        <w:jc w:val="both"/>
        <w:tabs>
          <w:tab w:val="clear" w:pos="4677" w:leader="none"/>
          <w:tab w:val="clear" w:pos="9355" w:leader="none"/>
          <w:tab w:val="right" w:pos="9638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2. Определить гарантирующей организацией в области водоснабжения на территории села Красноселькуп – ООО ЭК «ТВЭС», на территории сел Толька и Ратта – ООО «Ямал-Энерго».</w:t>
      </w:r>
      <w:r/>
    </w:p>
    <w:p>
      <w:pPr>
        <w:ind w:firstLine="709"/>
        <w:jc w:val="both"/>
        <w:tabs>
          <w:tab w:val="left" w:pos="142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3.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Опубликовать настоящее постановление в газете «Северный край» и разместить на официальном сайте муниципального округа Красноселькупский район Ямало-Ненецкого автономного округа.</w:t>
      </w:r>
      <w:r/>
    </w:p>
    <w:p>
      <w:pPr>
        <w:ind w:firstLine="709"/>
        <w:jc w:val="both"/>
        <w:shd w:val="clear" w:color="auto" w:fill="ffffff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4. Настоящее постановление вступает в силу со дня его опубликования.</w:t>
      </w:r>
      <w:r/>
    </w:p>
    <w:p>
      <w:pPr>
        <w:jc w:val="both"/>
        <w:shd w:val="clear" w:color="auto" w:fill="ffffff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both"/>
        <w:shd w:val="clear" w:color="auto" w:fill="ffffff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both"/>
        <w:shd w:val="clear" w:color="auto" w:fill="ffffff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tabs>
          <w:tab w:val="left" w:pos="8647" w:leader="none"/>
        </w:tabs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Первый заместитель</w:t>
      </w:r>
      <w:r>
        <w:rPr>
          <w:rFonts w:ascii="Liberation Serif" w:hAnsi="Liberation Serif" w:eastAsia="Liberation Serif" w:cs="Liberation Serif"/>
          <w:color w:val="000000"/>
          <w:sz w:val="28"/>
        </w:rPr>
      </w:r>
    </w:p>
    <w:p>
      <w:pPr>
        <w:tabs>
          <w:tab w:val="left" w:pos="8647" w:leader="none"/>
        </w:tabs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Главы Администрации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</w:p>
    <w:p>
      <w:pPr>
        <w:tabs>
          <w:tab w:val="left" w:pos="8647" w:leader="none"/>
        </w:tabs>
        <w:rPr>
          <w:rFonts w:ascii="Liberation Serif" w:hAnsi="Liberation Serif" w:eastAsia="Liberation Serif" w:cs="Liberation Serif"/>
          <w:color w:val="000000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Красноселькупского района                                                                  М.М. Иманов</w:t>
      </w:r>
      <w:r/>
      <w:r/>
    </w:p>
    <w:p>
      <w:pPr>
        <w:ind w:left="5244"/>
        <w:tabs>
          <w:tab w:val="left" w:pos="8647" w:leader="none"/>
        </w:tabs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Приложение</w:t>
      </w:r>
      <w:r/>
    </w:p>
    <w:p>
      <w:pPr>
        <w:ind w:left="5244"/>
        <w:jc w:val="right"/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p>
      <w:pPr>
        <w:ind w:left="5244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УТВЕРЖДЕНА</w:t>
      </w:r>
      <w:r/>
    </w:p>
    <w:p>
      <w:pPr>
        <w:ind w:left="5244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p>
      <w:pPr>
        <w:ind w:left="5244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постановлением Администрации</w:t>
      </w:r>
      <w:r/>
    </w:p>
    <w:p>
      <w:pPr>
        <w:ind w:left="5244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Красноселькупского района</w:t>
      </w:r>
      <w:r/>
    </w:p>
    <w:p>
      <w:pPr>
        <w:ind w:left="5244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от «21» сентября 2023 года №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325-П</w:t>
      </w:r>
      <w:r/>
    </w:p>
    <w:p>
      <w:pPr>
        <w:ind w:left="5529"/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p>
      <w:pPr>
        <w:ind w:left="5529"/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bCs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69006" cy="2126003"/>
                <wp:effectExtent l="0" t="0" r="0" b="0"/>
                <wp:docPr id="2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045443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569006" cy="2126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3.5pt;height:167.4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2853" cy="1849584"/>
                <wp:effectExtent l="6350" t="6350" r="6350" b="6350"/>
                <wp:docPr id="3" name="Рисунок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5175455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462851" cy="1849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15.2pt;height:145.6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b/>
          <w:bCs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t xml:space="preserve">АКТУАЛИЗИРОВАННАЯ СХЕМА </w:t>
      </w:r>
      <w:r/>
    </w:p>
    <w:p>
      <w:pPr>
        <w:jc w:val="center"/>
        <w:rPr>
          <w:rFonts w:ascii="Liberation Serif" w:hAnsi="Liberation Serif" w:eastAsia="Liberation Serif" w:cs="Liberation Serif"/>
          <w:b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t xml:space="preserve">ВОДОСНАБЖЕНИЯ И ВОДООТВЕДЕНИЯ</w:t>
      </w:r>
      <w:r/>
    </w:p>
    <w:p>
      <w:pPr>
        <w:jc w:val="center"/>
        <w:rPr>
          <w:rFonts w:ascii="Liberation Serif" w:hAnsi="Liberation Serif" w:eastAsia="Liberation Serif" w:cs="Liberation Serif"/>
          <w:b/>
          <w:bCs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t xml:space="preserve">МУНИЦИПАЛЬНОГО ОКРУГА </w:t>
      </w: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br/>
        <w:t xml:space="preserve">КРАСНОСЕЛЬКУПСКИЙ РАЙОН </w:t>
      </w: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br/>
        <w:t xml:space="preserve">ЯМАЛО-НЕНЕЦКОГО АВТОНОМНОГО ОКРУГА</w:t>
      </w:r>
      <w:r/>
    </w:p>
    <w:p>
      <w:pPr>
        <w:jc w:val="center"/>
        <w:rPr>
          <w:rFonts w:ascii="Liberation Serif" w:hAnsi="Liberation Serif" w:eastAsia="Liberation Serif" w:cs="Liberation Serif"/>
          <w:b/>
          <w:bCs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t xml:space="preserve">НА ПЕРИОД ДО 203</w:t>
      </w:r>
      <w:r>
        <w:rPr>
          <w:rFonts w:eastAsia="Liberation Serif"/>
          <w:b/>
          <w:bCs/>
          <w:sz w:val="30"/>
          <w:szCs w:val="30"/>
        </w:rPr>
        <w:t xml:space="preserve">8</w:t>
      </w: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</w:rPr>
        <w:t xml:space="preserve"> ГОДА</w:t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  <w:t xml:space="preserve">(актуализация на 2024 год)</w:t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p>
      <w:pPr>
        <w:jc w:val="center"/>
        <w:rPr>
          <w:rFonts w:ascii="Liberation Serif" w:hAnsi="Liberation Serif" w:eastAsia="Liberation Serif" w:cs="Liberation Serif"/>
          <w:b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8"/>
          <w:szCs w:val="28"/>
        </w:rPr>
        <w:t xml:space="preserve">2023</w:t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</w:rPr>
        <w:t xml:space="preserve"> год</w:t>
      </w:r>
      <w:r/>
    </w:p>
    <w:p>
      <w:pPr>
        <w:tabs>
          <w:tab w:val="center" w:pos="4814" w:leader="none"/>
          <w:tab w:val="left" w:pos="6300" w:leader="none"/>
        </w:tabs>
        <w:rPr>
          <w:rFonts w:ascii="Liberation Serif" w:hAnsi="Liberation Serif" w:eastAsia="Liberation Serif" w:cs="Liberation Serif"/>
          <w:color w:val="000000"/>
          <w:sz w:val="28"/>
        </w:rPr>
        <w:sectPr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701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2167"/>
        <w:spacing w:afterAutospacing="1"/>
        <w:rPr>
          <w:rFonts w:eastAsia="Liberation Serif" w:cs="Liberation Serif" w:asciiTheme="minorHAnsi" w:hAnsiTheme="minorHAnsi"/>
          <w:color w:val="000000"/>
        </w:rPr>
      </w:pPr>
      <w:r/>
      <w:bookmarkStart w:id="2" w:name="_Toc142312543"/>
      <w:r>
        <w:rPr>
          <w:rFonts w:eastAsia="Liberation Serif" w:cs="Liberation Serif" w:asciiTheme="minorHAnsi" w:hAnsiTheme="minorHAnsi"/>
          <w:color w:val="000000" w:themeColor="text1"/>
        </w:rPr>
        <w:t xml:space="preserve">Содержание</w:t>
      </w:r>
      <w:bookmarkEnd w:id="2"/>
      <w:r/>
      <w:r/>
    </w:p>
    <w:sdt>
      <w:sdtPr>
        <w15:appearance w15:val="boundingBox"/>
        <w:id w:val="16664696"/>
        <w:docPartObj>
          <w:docPartGallery w:val="Table of Contents"/>
          <w:docPartUnique w:val="true"/>
        </w:docPartObj>
        <w:rPr>
          <w:b w:val="0"/>
          <w:bCs/>
          <w:caps w:val="0"/>
          <w:sz w:val="20"/>
        </w:rPr>
      </w:sdtPr>
      <w:sdtContent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\h \z \u </w:instrText>
          </w:r>
          <w:r>
            <w:rPr>
              <w:b w:val="0"/>
            </w:rPr>
            <w:fldChar w:fldCharType="separate"/>
          </w:r>
          <w:hyperlink w:tooltip="#_Toc142312543" w:anchor="_Toc142312543" w:history="1">
            <w:r>
              <w:rPr>
                <w:rStyle w:val="1267"/>
                <w:rFonts w:eastAsia="Liberation Serif" w:cs="Liberation Serif"/>
              </w:rPr>
              <w:t xml:space="preserve">Содержание</w:t>
            </w:r>
            <w:r>
              <w:tab/>
            </w:r>
            <w:r>
              <w:fldChar w:fldCharType="begin"/>
            </w:r>
            <w:r>
              <w:instrText xml:space="preserve"> PAGEREF _Toc142312543 \h </w:instrText>
            </w:r>
            <w:r>
              <w:fldChar w:fldCharType="separate"/>
            </w:r>
            <w:r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4" w:anchor="_Toc142312544" w:history="1">
            <w:r>
              <w:rPr>
                <w:rStyle w:val="1267"/>
                <w:rFonts w:eastAsia="Liberation Serif" w:cs="Liberation Serif"/>
              </w:rPr>
              <w:t xml:space="preserve">Перечень использованных нормативных правовых актов</w:t>
            </w:r>
            <w:r>
              <w:tab/>
            </w:r>
            <w:r>
              <w:fldChar w:fldCharType="begin"/>
            </w:r>
            <w:r>
              <w:instrText xml:space="preserve"> PAGEREF _Toc142312544 \h </w:instrText>
            </w:r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5" w:anchor="_Toc142312545" w:history="1">
            <w:r>
              <w:rPr>
                <w:rStyle w:val="1267"/>
                <w:rFonts w:eastAsia="Liberation Serif" w:cs="Liberation Serif"/>
              </w:rPr>
              <w:t xml:space="preserve">Термины, определения, сокращения</w:t>
            </w:r>
            <w:r>
              <w:tab/>
            </w:r>
            <w:r>
              <w:fldChar w:fldCharType="begin"/>
            </w:r>
            <w:r>
              <w:instrText xml:space="preserve"> PAGEREF _Toc142312545 \h </w:instrText>
            </w:r>
            <w:r>
              <w:fldChar w:fldCharType="separate"/>
            </w:r>
            <w:r>
              <w:t xml:space="preserve">26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6" w:anchor="_Toc142312546" w:history="1">
            <w:r>
              <w:rPr>
                <w:rStyle w:val="1267"/>
                <w:rFonts w:eastAsia="Liberation Serif" w:cs="Liberation Serif"/>
              </w:rPr>
              <w:t xml:space="preserve">Общие положения</w:t>
            </w:r>
            <w:r>
              <w:tab/>
            </w:r>
            <w:r>
              <w:fldChar w:fldCharType="begin"/>
            </w:r>
            <w:r>
              <w:instrText xml:space="preserve"> PAGEREF _Toc142312546 \h </w:instrText>
            </w:r>
            <w:r>
              <w:fldChar w:fldCharType="separate"/>
            </w:r>
            <w:r>
              <w:t xml:space="preserve">33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7" w:anchor="_Toc142312547" w:history="1">
            <w:r>
              <w:rPr>
                <w:rStyle w:val="1267"/>
                <w:rFonts w:eastAsia="Liberation Serif" w:cs="Liberation Serif"/>
              </w:rPr>
              <w:t xml:space="preserve">Краткая характеристика Красноселькупского района</w:t>
            </w:r>
            <w:r>
              <w:tab/>
            </w:r>
            <w:r>
              <w:fldChar w:fldCharType="begin"/>
            </w:r>
            <w:r>
              <w:instrText xml:space="preserve"> PAGEREF _Toc142312547 \h </w:instrText>
            </w:r>
            <w:r>
              <w:fldChar w:fldCharType="separate"/>
            </w:r>
            <w:r>
              <w:t xml:space="preserve">34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8" w:anchor="_Toc142312548" w:history="1">
            <w:r>
              <w:rPr>
                <w:rStyle w:val="1267"/>
                <w:rFonts w:eastAsia="Liberation Serif" w:cs="Liberation Serif"/>
              </w:rPr>
              <w:t xml:space="preserve">Состав отчетной технической документации</w:t>
            </w:r>
            <w:r>
              <w:tab/>
            </w:r>
            <w:r>
              <w:fldChar w:fldCharType="begin"/>
            </w:r>
            <w:r>
              <w:instrText xml:space="preserve"> PAGEREF _Toc142312548 \h </w:instrText>
            </w:r>
            <w:r>
              <w:fldChar w:fldCharType="separate"/>
            </w:r>
            <w:r>
              <w:t xml:space="preserve">37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49" w:anchor="_Toc142312549" w:history="1">
            <w:r>
              <w:rPr>
                <w:rStyle w:val="1267"/>
                <w:bCs/>
              </w:rPr>
              <w:t xml:space="preserve">Том 1. </w:t>
            </w:r>
            <w:r>
              <w:rPr>
                <w:rStyle w:val="1267"/>
                <w:rFonts w:eastAsia="Liberation Serif"/>
              </w:rPr>
              <w:t xml:space="preserve">СЕЛО КРАСНОСЕЛЬКУП</w:t>
            </w:r>
            <w:r>
              <w:tab/>
            </w:r>
            <w:r>
              <w:fldChar w:fldCharType="begin"/>
            </w:r>
            <w:r>
              <w:instrText xml:space="preserve"> PAGEREF _Toc142312549 \h </w:instrText>
            </w:r>
            <w:r>
              <w:fldChar w:fldCharType="separate"/>
            </w:r>
            <w:r>
              <w:t xml:space="preserve">38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550" w:anchor="_Toc142312550" w:history="1">
            <w:r>
              <w:rPr>
                <w:rStyle w:val="1267"/>
                <w:rFonts w:eastAsia="Liberation Serif"/>
              </w:rPr>
              <w:t xml:space="preserve">I. Схема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_Toc142312550 \h </w:instrText>
            </w:r>
            <w:r>
              <w:fldChar w:fldCharType="separate"/>
            </w:r>
            <w:r>
              <w:t xml:space="preserve">38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51" w:anchor="_Toc142312551" w:history="1">
            <w:r>
              <w:rPr>
                <w:rStyle w:val="1267"/>
              </w:rPr>
              <w:t xml:space="preserve">1.1.</w:t>
            </w:r>
            <w:r>
              <w:rPr>
                <w:rStyle w:val="1267"/>
              </w:rPr>
              <w:t xml:space="preserve"> Технико-экономическое состояние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_Toc142312551 \h </w:instrText>
            </w:r>
            <w:r>
              <w:fldChar w:fldCharType="separate"/>
            </w:r>
            <w:r>
              <w:t xml:space="preserve">38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2" w:anchor="_Toc142312552" w:history="1">
            <w:r>
              <w:rPr>
                <w:rStyle w:val="1267"/>
              </w:rPr>
              <w:t xml:space="preserve">1.1.1. Описание системы и структуры водоснабжения и деление территории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_Toc142312552 \h </w:instrText>
            </w:r>
            <w:r>
              <w:fldChar w:fldCharType="separate"/>
            </w:r>
            <w:r>
              <w:t xml:space="preserve">38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3" w:anchor="_Toc142312553" w:history="1">
            <w:r>
              <w:rPr>
                <w:rStyle w:val="1267"/>
              </w:rPr>
              <w:t xml:space="preserve">1.1.2. Описание территорий населенного пункта, не охваченных централизованными системами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_Toc142312553 \h </w:instrText>
            </w:r>
            <w:r>
              <w:fldChar w:fldCharType="separate"/>
            </w:r>
            <w:r>
              <w:t xml:space="preserve">40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4" w:anchor="_Toc142312554" w:history="1">
            <w:r>
              <w:rPr>
                <w:rStyle w:val="1267"/>
              </w:rPr>
              <w:t xml:space="preserve">1.1.3. 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_Toc142312554 \h </w:instrText>
            </w:r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5" w:anchor="_Toc142312555" w:history="1">
            <w:r>
              <w:rPr>
                <w:rStyle w:val="1267"/>
              </w:rPr>
              <w:t xml:space="preserve">1.1.4. Описание результатов технического обследования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_Toc142312555 \h </w:instrText>
            </w:r>
            <w:r>
              <w:fldChar w:fldCharType="separate"/>
            </w:r>
            <w:r>
              <w:t xml:space="preserve">42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6" w:anchor="_Toc142312556" w:history="1">
            <w:r>
              <w:rPr>
                <w:rStyle w:val="1267"/>
                <w:rFonts w:eastAsia="Liberation Serif"/>
              </w:rPr>
              <w:t xml:space="preserve">1.1.4.1. Описание состояния существующих источников водоснабжения и водозаборных сооружений.</w:t>
            </w:r>
            <w:r>
              <w:tab/>
            </w:r>
            <w:r>
              <w:fldChar w:fldCharType="begin"/>
            </w:r>
            <w:r>
              <w:instrText xml:space="preserve"> PAGEREF _Toc142312556 \h </w:instrText>
            </w:r>
            <w:r>
              <w:fldChar w:fldCharType="separate"/>
            </w:r>
            <w:r>
              <w:t xml:space="preserve">42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7" w:anchor="_Toc142312557" w:history="1">
            <w:r>
              <w:rPr>
                <w:rStyle w:val="1267"/>
                <w:rFonts w:eastAsia="Liberation Serif"/>
              </w:rPr>
              <w:t xml:space="preserve"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      </w:r>
            <w:r>
              <w:tab/>
            </w:r>
            <w:r>
              <w:fldChar w:fldCharType="begin"/>
            </w:r>
            <w:r>
              <w:instrText xml:space="preserve"> PAGEREF _Toc142312557 \h </w:instrText>
            </w:r>
            <w:r>
              <w:fldChar w:fldCharType="separate"/>
            </w:r>
            <w:r>
              <w:t xml:space="preserve">47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8" w:anchor="_Toc142312558" w:history="1">
            <w:r>
              <w:rPr>
                <w:rStyle w:val="1267"/>
                <w:rFonts w:eastAsia="Liberation Serif"/>
              </w:rPr>
              <w:t xml:space="preserve">1.1.4.3. Описание состояния и функционирования существующих н</w:t>
            </w:r>
            <w:r>
              <w:rPr>
                <w:rStyle w:val="1267"/>
                <w:rFonts w:eastAsia="Liberation Serif"/>
              </w:rPr>
              <w:t xml:space="preserve">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      </w:r>
            <w:r>
              <w:tab/>
            </w:r>
            <w:r>
              <w:fldChar w:fldCharType="begin"/>
            </w:r>
            <w:r>
              <w:instrText xml:space="preserve"> PAGEREF _Toc142312558 \h </w:instrText>
            </w:r>
            <w:r>
              <w:fldChar w:fldCharType="separate"/>
            </w:r>
            <w:r>
              <w:t xml:space="preserve">49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59" w:anchor="_Toc142312559" w:history="1">
            <w:r>
              <w:rPr>
                <w:rStyle w:val="1267"/>
                <w:rFonts w:eastAsia="Liberation Serif"/>
              </w:rPr>
              <w:t xml:space="preserve"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      </w:r>
            <w:r>
              <w:tab/>
            </w:r>
            <w:r>
              <w:fldChar w:fldCharType="begin"/>
            </w:r>
            <w:r>
              <w:instrText xml:space="preserve"> PAGEREF _Toc142312559 \h </w:instrText>
            </w:r>
            <w:r>
              <w:fldChar w:fldCharType="separate"/>
            </w:r>
            <w:r>
              <w:t xml:space="preserve">49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0" w:anchor="_Toc142312560" w:history="1">
            <w:r>
              <w:rPr>
                <w:rStyle w:val="1267"/>
                <w:rFonts w:eastAsia="Liberation Serif"/>
              </w:rPr>
              <w:t xml:space="preserve">1.1.4.5. Описание существующих технических технологических проблем, возникающих при водоснабжении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_Toc142312560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1" w:anchor="_Toc142312561" w:history="1">
            <w:r>
              <w:rPr>
                <w:rStyle w:val="1267"/>
                <w:rFonts w:eastAsia="Liberation Serif"/>
              </w:rPr>
              <w:t xml:space="preserve"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_Toc142312561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2" w:anchor="_Toc142312562" w:history="1">
            <w:r>
              <w:rPr>
                <w:rStyle w:val="1267"/>
              </w:rPr>
              <w:t xml:space="preserve"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      </w:r>
            <w:r>
              <w:tab/>
            </w:r>
            <w:r>
              <w:fldChar w:fldCharType="begin"/>
            </w:r>
            <w:r>
              <w:instrText xml:space="preserve"> PAGEREF _Toc142312562 \h </w:instrText>
            </w:r>
            <w:r>
              <w:fldChar w:fldCharType="separate"/>
            </w:r>
            <w:r>
              <w:t xml:space="preserve">50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3" w:anchor="_Toc142312563" w:history="1">
            <w:r>
              <w:rPr>
                <w:rStyle w:val="1267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>
              <w:rPr>
                <w:rStyle w:val="1267"/>
              </w:rPr>
              <w:t xml:space="preserve">принадлежащих этим лицам таких объектов (границ зон, в которых расположены такие объекты).</w:t>
            </w:r>
            <w:r>
              <w:tab/>
            </w:r>
            <w:r>
              <w:fldChar w:fldCharType="begin"/>
            </w:r>
            <w:r>
              <w:instrText xml:space="preserve"> PAGEREF _Toc142312563 \h </w:instrText>
            </w:r>
            <w:r>
              <w:fldChar w:fldCharType="separate"/>
            </w:r>
            <w:r>
              <w:t xml:space="preserve">51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64" w:anchor="_Toc142312564" w:history="1">
            <w:r>
              <w:rPr>
                <w:rStyle w:val="1267"/>
              </w:rPr>
              <w:t xml:space="preserve">1.2.</w:t>
            </w:r>
            <w:r>
              <w:rPr>
                <w:rStyle w:val="1267"/>
              </w:rPr>
              <w:t xml:space="preserve"> Направления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_Toc142312564 \h </w:instrText>
            </w:r>
            <w:r>
              <w:fldChar w:fldCharType="separate"/>
            </w:r>
            <w:r>
              <w:t xml:space="preserve">51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5" w:anchor="_Toc142312565" w:history="1">
            <w:r>
              <w:rPr>
                <w:rStyle w:val="1267"/>
              </w:rPr>
              <w:t xml:space="preserve">1.2.1. Основные направления, принципы, задачи и плановые значения показателей развития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_Toc142312565 \h </w:instrText>
            </w:r>
            <w:r>
              <w:fldChar w:fldCharType="separate"/>
            </w:r>
            <w:r>
              <w:t xml:space="preserve">51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6" w:anchor="_Toc142312566" w:history="1">
            <w:r>
              <w:rPr>
                <w:rStyle w:val="1267"/>
              </w:rPr>
              <w:t xml:space="preserve">1.2.2. Различные сценарии развития централизованных систем водоснабжения в зависимости от различных сценариев развития населенного пункта</w:t>
            </w:r>
            <w:r>
              <w:tab/>
            </w:r>
            <w:r>
              <w:fldChar w:fldCharType="begin"/>
            </w:r>
            <w:r>
              <w:instrText xml:space="preserve"> PAGEREF _Toc142312566 \h </w:instrText>
            </w:r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67" w:anchor="_Toc142312567" w:history="1">
            <w:r>
              <w:rPr>
                <w:rStyle w:val="1267"/>
              </w:rPr>
              <w:t xml:space="preserve">1.3.</w:t>
            </w:r>
            <w:r>
              <w:rPr>
                <w:rStyle w:val="1267"/>
              </w:rPr>
              <w:t xml:space="preserve"> Баланс водоснабжения и потребления горячей, питьевой, технической воды (при наличии)</w:t>
            </w:r>
            <w:r>
              <w:tab/>
            </w:r>
            <w:r>
              <w:fldChar w:fldCharType="begin"/>
            </w:r>
            <w:r>
              <w:instrText xml:space="preserve"> PAGEREF _Toc142312567 \h </w:instrText>
            </w:r>
            <w:r>
              <w:fldChar w:fldCharType="separate"/>
            </w:r>
            <w:r>
              <w:t xml:space="preserve">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8" w:anchor="_Toc142312568" w:history="1">
            <w:r>
              <w:rPr>
                <w:rStyle w:val="1267"/>
              </w:rPr>
              <w:t xml:space="preserve">1.3.1. 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>
              <w:tab/>
            </w:r>
            <w:r>
              <w:fldChar w:fldCharType="begin"/>
            </w:r>
            <w:r>
              <w:instrText xml:space="preserve"> PAGEREF _Toc142312568 \h </w:instrText>
            </w:r>
            <w:r>
              <w:fldChar w:fldCharType="separate"/>
            </w:r>
            <w:r>
              <w:t xml:space="preserve">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69" w:anchor="_Toc142312569" w:history="1">
            <w:r>
              <w:rPr>
                <w:rStyle w:val="1267"/>
              </w:rPr>
              <w:t xml:space="preserve">1.3.2.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водопотребления).</w:t>
            </w:r>
            <w:r>
              <w:tab/>
            </w:r>
            <w:r>
              <w:fldChar w:fldCharType="begin"/>
            </w:r>
            <w:r>
              <w:instrText xml:space="preserve"> PAGEREF _Toc142312569 \h </w:instrText>
            </w:r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0" w:anchor="_Toc142312570" w:history="1">
            <w:r>
              <w:rPr>
                <w:rStyle w:val="1267"/>
              </w:rPr>
              <w:t xml:space="preserve"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др.).</w:t>
            </w:r>
            <w:r>
              <w:tab/>
            </w:r>
            <w:r>
              <w:fldChar w:fldCharType="begin"/>
            </w:r>
            <w:r>
              <w:instrText xml:space="preserve"> PAGEREF _Toc142312570 \h </w:instrText>
            </w:r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1" w:anchor="_Toc142312571" w:history="1">
            <w:r>
              <w:rPr>
                <w:rStyle w:val="1267"/>
              </w:rPr>
              <w:t xml:space="preserve">1.3.4. Сведения о фактическом потреблении на</w:t>
            </w:r>
            <w:r>
              <w:rPr>
                <w:rStyle w:val="1267"/>
              </w:rPr>
              <w:t xml:space="preserve">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района.</w:t>
            </w:r>
            <w:r>
              <w:tab/>
            </w:r>
            <w:r>
              <w:fldChar w:fldCharType="begin"/>
            </w:r>
            <w:r>
              <w:instrText xml:space="preserve"> PAGEREF _Toc142312571 \h </w:instrText>
            </w:r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2" w:anchor="_Toc142312572" w:history="1">
            <w:r>
              <w:rPr>
                <w:rStyle w:val="1267"/>
              </w:rPr>
              <w:t xml:space="preserve">1.3.5. Описание существующей системы коммерческого учета горячей, питьевой, технической воды и планов по установке приборов учета.</w:t>
            </w:r>
            <w:r>
              <w:tab/>
            </w:r>
            <w:r>
              <w:fldChar w:fldCharType="begin"/>
            </w:r>
            <w:r>
              <w:instrText xml:space="preserve"> PAGEREF _Toc142312572 \h </w:instrText>
            </w:r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3" w:anchor="_Toc142312573" w:history="1">
            <w:r>
              <w:rPr>
                <w:rStyle w:val="1267"/>
              </w:rPr>
              <w:t xml:space="preserve">1.3.6. 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пункту).</w:t>
            </w:r>
            <w:r>
              <w:tab/>
            </w:r>
            <w:r>
              <w:fldChar w:fldCharType="begin"/>
            </w:r>
            <w:r>
              <w:instrText xml:space="preserve"> PAGEREF _Toc142312573 \h </w:instrText>
            </w:r>
            <w:r>
              <w:fldChar w:fldCharType="separate"/>
            </w:r>
            <w:r>
              <w:t xml:space="preserve">61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4" w:anchor="_Toc142312574" w:history="1">
            <w:r>
              <w:rPr>
                <w:rStyle w:val="1267"/>
              </w:rPr>
              <w:t xml:space="preserve">1.3.7. Прогнозные балансы потребления горячей, питьевой, технической воды на срок до 2038 года с учётом различных сценариев развития  населенного пункта , расс</w:t>
            </w:r>
            <w:r>
              <w:rPr>
                <w:rStyle w:val="1267"/>
              </w:rPr>
              <w:t xml:space="preserve">читанные на основании расхода горячей, питьевой, технической воды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застройки.</w:t>
            </w:r>
            <w:r>
              <w:tab/>
            </w:r>
            <w:r>
              <w:fldChar w:fldCharType="begin"/>
            </w:r>
            <w:r>
              <w:instrText xml:space="preserve"> PAGEREF _Toc142312574 \h </w:instrText>
            </w:r>
            <w:r>
              <w:fldChar w:fldCharType="separate"/>
            </w:r>
            <w:r>
              <w:t xml:space="preserve">62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5" w:anchor="_Toc142312575" w:history="1">
            <w:r>
              <w:rPr>
                <w:rStyle w:val="1267"/>
              </w:rPr>
              <w:t xml:space="preserve"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_Toc142312575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6" w:anchor="_Toc142312576" w:history="1">
            <w:r>
              <w:rPr>
                <w:rStyle w:val="1267"/>
              </w:rPr>
              <w:t xml:space="preserve">1.3.9. Сведения о фактическом и ожидаемом потреблении горячей, питьевой, технической воды (годовое, среднесуточное, максимальное суточное).</w:t>
            </w:r>
            <w:r>
              <w:tab/>
            </w:r>
            <w:r>
              <w:fldChar w:fldCharType="begin"/>
            </w:r>
            <w:r>
              <w:instrText xml:space="preserve"> PAGEREF _Toc142312576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7" w:anchor="_Toc142312577" w:history="1">
            <w:r>
              <w:rPr>
                <w:rStyle w:val="1267"/>
              </w:rPr>
              <w:t xml:space="preserve">1.3.10.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>
              <w:tab/>
            </w:r>
            <w:r>
              <w:fldChar w:fldCharType="begin"/>
            </w:r>
            <w:r>
              <w:instrText xml:space="preserve"> PAGEREF _Toc142312577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8" w:anchor="_Toc142312578" w:history="1">
            <w:r>
              <w:rPr>
                <w:rStyle w:val="1267"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</w:t>
            </w:r>
            <w:r>
              <w:rPr>
                <w:rStyle w:val="1267"/>
              </w:rPr>
              <w:t xml:space="preserve">питьевой, технической воды с учетом данных о перспективном потреблении горячей, питьевой, технической воды абонентами.</w:t>
            </w:r>
            <w:r>
              <w:tab/>
            </w:r>
            <w:r>
              <w:fldChar w:fldCharType="begin"/>
            </w:r>
            <w:r>
              <w:instrText xml:space="preserve"> PAGEREF _Toc142312578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79" w:anchor="_Toc142312579" w:history="1">
            <w:r>
              <w:rPr>
                <w:rStyle w:val="1267"/>
              </w:rPr>
              <w:t xml:space="preserve">1.3.12. Сведения о фактических и планируемых потерях горячей, питьевой, технической воды при ее транспортировке (годовые, среднесуточные значения).</w:t>
            </w:r>
            <w:r>
              <w:tab/>
            </w:r>
            <w:r>
              <w:fldChar w:fldCharType="begin"/>
            </w:r>
            <w:r>
              <w:instrText xml:space="preserve"> PAGEREF _Toc142312579 \h </w:instrText>
            </w:r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0" w:anchor="_Toc142312580" w:history="1">
            <w:r>
              <w:rPr>
                <w:rStyle w:val="1267"/>
              </w:rPr>
              <w:t xml:space="preserve">1.3.13. Перспективные балансы водоснабжения и водоотведения (общий - баланс</w:t>
            </w:r>
            <w:r>
              <w:rPr>
                <w:rStyle w:val="1267"/>
              </w:rPr>
              <w:t xml:space="preserve">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      </w:r>
            <w:r>
              <w:tab/>
            </w:r>
            <w:r>
              <w:fldChar w:fldCharType="begin"/>
            </w:r>
            <w:r>
              <w:instrText xml:space="preserve"> PAGEREF _Toc142312580 \h </w:instrText>
            </w:r>
            <w:r>
              <w:fldChar w:fldCharType="separate"/>
            </w:r>
            <w:r>
              <w:t xml:space="preserve">66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1" w:anchor="_Toc142312581" w:history="1">
            <w:r>
              <w:rPr>
                <w:rStyle w:val="1267"/>
              </w:rPr>
              <w:t xml:space="preserve">1.3.14. Расчет требуемой мощности водозаборных и очистных сооружений исходя из данных о перспективном потреблении горячей, питьевой, т</w:t>
            </w:r>
            <w:r>
              <w:rPr>
                <w:rStyle w:val="1267"/>
              </w:rPr>
              <w:t xml:space="preserve">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_Toc142312581 \h </w:instrText>
            </w:r>
            <w:r>
              <w:fldChar w:fldCharType="separate"/>
            </w:r>
            <w:r>
              <w:t xml:space="preserve">66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2" w:anchor="_Toc142312582" w:history="1">
            <w:r>
              <w:rPr>
                <w:rStyle w:val="1267"/>
              </w:rPr>
              <w:t xml:space="preserve">1.3.15. Наименование организации, которая наделена статусом гарантирующей организации.</w:t>
            </w:r>
            <w:r>
              <w:tab/>
            </w:r>
            <w:r>
              <w:fldChar w:fldCharType="begin"/>
            </w:r>
            <w:r>
              <w:instrText xml:space="preserve"> PAGEREF _Toc142312582 \h </w:instrText>
            </w:r>
            <w:r>
              <w:fldChar w:fldCharType="separate"/>
            </w:r>
            <w:r>
              <w:t xml:space="preserve">66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83" w:anchor="_Toc142312583" w:history="1">
            <w:r>
              <w:rPr>
                <w:rStyle w:val="1267"/>
              </w:rPr>
              <w:t xml:space="preserve">1.4.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_Toc142312583 \h </w:instrText>
            </w:r>
            <w:r>
              <w:fldChar w:fldCharType="separate"/>
            </w:r>
            <w:r>
              <w:t xml:space="preserve">67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4" w:anchor="_Toc142312584" w:history="1">
            <w:r>
              <w:rPr>
                <w:rStyle w:val="1267"/>
              </w:rPr>
              <w:t xml:space="preserve">1.4.1. Перечень основных мероприятий по реализации схем водоснабжения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_Toc142312584 \h </w:instrText>
            </w:r>
            <w:r>
              <w:fldChar w:fldCharType="separate"/>
            </w:r>
            <w:r>
              <w:t xml:space="preserve">67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5" w:anchor="_Toc142312585" w:history="1">
            <w:r>
              <w:rPr>
                <w:rStyle w:val="1267"/>
              </w:rPr>
              <w:t xml:space="preserve">1.4.2. 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характерис</w:t>
            </w:r>
            <w:r>
              <w:rPr>
                <w:rStyle w:val="1267"/>
              </w:rPr>
              <w:t xml:space="preserve">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Схемами.</w:t>
            </w:r>
            <w:r>
              <w:tab/>
            </w:r>
            <w:r>
              <w:fldChar w:fldCharType="begin"/>
            </w:r>
            <w:r>
              <w:instrText xml:space="preserve"> PAGEREF _Toc142312585 \h </w:instrText>
            </w:r>
            <w:r>
              <w:fldChar w:fldCharType="separate"/>
            </w:r>
            <w:r>
              <w:t xml:space="preserve">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6" w:anchor="_Toc142312586" w:history="1">
            <w:r>
              <w:rPr>
                <w:rStyle w:val="1267"/>
              </w:rPr>
              <w:t xml:space="preserve">1.4.3. Сведения о вновь строящихся, реконструируемых и предлагаемых к выводу из эксплуатации объектах системы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_Toc142312586 \h </w:instrText>
            </w:r>
            <w:r>
              <w:fldChar w:fldCharType="separate"/>
            </w:r>
            <w:r>
              <w:t xml:space="preserve">73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7" w:anchor="_Toc142312587" w:history="1">
            <w:r>
              <w:rPr>
                <w:rStyle w:val="1267"/>
              </w:rPr>
              <w:t xml:space="preserve"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>
              <w:tab/>
            </w:r>
            <w:r>
              <w:fldChar w:fldCharType="begin"/>
            </w:r>
            <w:r>
              <w:instrText xml:space="preserve"> PAGEREF _Toc142312587 \h </w:instrText>
            </w:r>
            <w:r>
              <w:fldChar w:fldCharType="separate"/>
            </w:r>
            <w:r>
              <w:t xml:space="preserve">77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8" w:anchor="_Toc142312588" w:history="1">
            <w:r>
              <w:rPr>
                <w:rStyle w:val="1267"/>
              </w:rPr>
              <w:t xml:space="preserve">1.4.5. Сведения об оснащенности зданий, строений, сооружений приборами учета воды и их применении при осуществлении расчетов за потребленную воду.</w:t>
            </w:r>
            <w:r>
              <w:tab/>
            </w:r>
            <w:r>
              <w:fldChar w:fldCharType="begin"/>
            </w:r>
            <w:r>
              <w:instrText xml:space="preserve"> PAGEREF _Toc142312588 \h </w:instrText>
            </w:r>
            <w:r>
              <w:fldChar w:fldCharType="separate"/>
            </w:r>
            <w:r>
              <w:t xml:space="preserve">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89" w:anchor="_Toc142312589" w:history="1">
            <w:r>
              <w:rPr>
                <w:rStyle w:val="1267"/>
              </w:rPr>
              <w:t xml:space="preserve">1.4.6. Описание вариантов маршрутов прохождения трубопроводов (трасс) по территории населенного пункта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_Toc142312589 \h </w:instrText>
            </w:r>
            <w:r>
              <w:fldChar w:fldCharType="separate"/>
            </w:r>
            <w:r>
              <w:t xml:space="preserve">80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0" w:anchor="_Toc142312590" w:history="1">
            <w:r>
              <w:rPr>
                <w:rStyle w:val="1267"/>
              </w:rPr>
              <w:t xml:space="preserve">1.4.7. Рекомендации о месте размещения насосных станций, резервуаров, водонапорных башен.</w:t>
            </w:r>
            <w:r>
              <w:tab/>
            </w:r>
            <w:r>
              <w:fldChar w:fldCharType="begin"/>
            </w:r>
            <w:r>
              <w:instrText xml:space="preserve"> PAGEREF _Toc142312590 \h </w:instrText>
            </w:r>
            <w:r>
              <w:fldChar w:fldCharType="separate"/>
            </w:r>
            <w:r>
              <w:t xml:space="preserve">81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1" w:anchor="_Toc142312591" w:history="1">
            <w:r>
              <w:rPr>
                <w:rStyle w:val="1267"/>
              </w:rPr>
              <w:t xml:space="preserve">1.4.8. Границы планируемых зон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_Toc142312591 \h </w:instrText>
            </w:r>
            <w:r>
              <w:fldChar w:fldCharType="separate"/>
            </w:r>
            <w:r>
              <w:t xml:space="preserve">81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2" w:anchor="_Toc142312592" w:history="1">
            <w:r>
              <w:rPr>
                <w:rStyle w:val="1267"/>
              </w:rPr>
              <w:t xml:space="preserve">1.4.9. 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_Toc142312592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93" w:anchor="_Toc142312593" w:history="1">
            <w:r>
              <w:rPr>
                <w:rStyle w:val="1267"/>
              </w:rPr>
              <w:t xml:space="preserve">1.5.</w:t>
            </w:r>
            <w:r>
              <w:rPr>
                <w:rStyle w:val="1267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_Toc142312593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4" w:anchor="_Toc142312594" w:history="1">
            <w:r>
              <w:rPr>
                <w:rStyle w:val="1267"/>
              </w:rPr>
              <w:t xml:space="preserve"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    </w:r>
            <w:r>
              <w:tab/>
            </w:r>
            <w:r>
              <w:fldChar w:fldCharType="begin"/>
            </w:r>
            <w:r>
              <w:instrText xml:space="preserve"> PAGEREF _Toc142312594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5" w:anchor="_Toc142312595" w:history="1">
            <w:r>
              <w:rPr>
                <w:rStyle w:val="1267"/>
              </w:rPr>
              <w:t xml:space="preserve"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>
              <w:tab/>
            </w:r>
            <w:r>
              <w:fldChar w:fldCharType="begin"/>
            </w:r>
            <w:r>
              <w:instrText xml:space="preserve"> PAGEREF _Toc142312595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96" w:anchor="_Toc142312596" w:history="1">
            <w:r>
              <w:rPr>
                <w:rStyle w:val="1267"/>
              </w:rPr>
              <w:t xml:space="preserve">1.6.</w:t>
            </w:r>
            <w:r>
              <w:rPr>
                <w:rStyle w:val="1267"/>
              </w:rPr>
              <w:t xml:space="preserve">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_Toc142312596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7" w:anchor="_Toc142312597" w:history="1">
            <w:r>
              <w:rPr>
                <w:rStyle w:val="1267"/>
              </w:rPr>
              <w:t xml:space="preserve">1.6.1. Оценка стоимости основных мероприятий по реализации схем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_Toc142312597 \h </w:instrText>
            </w:r>
            <w:r>
              <w:fldChar w:fldCharType="separate"/>
            </w:r>
            <w:r>
              <w:t xml:space="preserve">82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598" w:anchor="_Toc142312598" w:history="1">
            <w:r>
              <w:rPr>
                <w:rStyle w:val="1267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финансирования.</w:t>
            </w:r>
            <w:r>
              <w:tab/>
            </w:r>
            <w:r>
              <w:fldChar w:fldCharType="begin"/>
            </w:r>
            <w:r>
              <w:instrText xml:space="preserve"> PAGEREF _Toc142312598 \h </w:instrText>
            </w:r>
            <w:r>
              <w:fldChar w:fldCharType="separate"/>
            </w:r>
            <w:r>
              <w:t xml:space="preserve">84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599" w:anchor="_Toc142312599" w:history="1">
            <w:r>
              <w:rPr>
                <w:rStyle w:val="1267"/>
              </w:rPr>
              <w:t xml:space="preserve">1.7.</w:t>
            </w:r>
            <w:r>
              <w:rPr>
                <w:rStyle w:val="1267"/>
              </w:rPr>
              <w:t xml:space="preserve"> Цены (тарифы) в сфере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_Toc142312599 \h </w:instrText>
            </w:r>
            <w:r>
              <w:fldChar w:fldCharType="separate"/>
            </w:r>
            <w:r>
              <w:t xml:space="preserve">89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0" w:anchor="_Toc142312600" w:history="1">
            <w:r>
              <w:rPr>
                <w:rStyle w:val="1267"/>
              </w:rPr>
              <w:t xml:space="preserve">1.7.1.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_Toc142312600 \h </w:instrText>
            </w:r>
            <w:r>
              <w:fldChar w:fldCharType="separate"/>
            </w:r>
            <w:r>
              <w:t xml:space="preserve">89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1" w:anchor="_Toc142312601" w:history="1">
            <w:r>
              <w:rPr>
                <w:rStyle w:val="1267"/>
              </w:rPr>
              <w:t xml:space="preserve">1.7.2. Структура цен (тарифов), установленных на момент актуализации схемы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_Toc142312601 \h </w:instrText>
            </w:r>
            <w:r>
              <w:fldChar w:fldCharType="separate"/>
            </w:r>
            <w:r>
              <w:t xml:space="preserve">90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2" w:anchor="_Toc142312602" w:history="1">
            <w:r>
              <w:rPr>
                <w:rStyle w:val="1267"/>
              </w:rPr>
              <w:t xml:space="preserve">1.7.3. Плата за подключение к системе водоснабжения и поступление денежных средств от осуществления деятельности по водоснабжению.</w:t>
            </w:r>
            <w:r>
              <w:tab/>
            </w:r>
            <w:r>
              <w:fldChar w:fldCharType="begin"/>
            </w:r>
            <w:r>
              <w:instrText xml:space="preserve"> PAGEREF _Toc142312602 \h </w:instrText>
            </w:r>
            <w:r>
              <w:fldChar w:fldCharType="separate"/>
            </w:r>
            <w:r>
              <w:t xml:space="preserve">91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03" w:anchor="_Toc142312603" w:history="1">
            <w:r>
              <w:rPr>
                <w:rStyle w:val="1267"/>
              </w:rPr>
              <w:t xml:space="preserve">1.8.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_Toc142312603 \h </w:instrText>
            </w:r>
            <w:r>
              <w:fldChar w:fldCharType="separate"/>
            </w:r>
            <w:r>
              <w:t xml:space="preserve">91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4" w:anchor="_Toc142312604" w:history="1">
            <w:r>
              <w:rPr>
                <w:rStyle w:val="1267"/>
              </w:rPr>
              <w:t xml:space="preserve">1.8.1. Показатели качества воды</w:t>
            </w:r>
            <w:r>
              <w:tab/>
            </w:r>
            <w:r>
              <w:fldChar w:fldCharType="begin"/>
            </w:r>
            <w:r>
              <w:instrText xml:space="preserve"> PAGEREF _Toc142312604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5" w:anchor="_Toc142312605" w:history="1">
            <w:r>
              <w:rPr>
                <w:rStyle w:val="1267"/>
              </w:rPr>
              <w:t xml:space="preserve">1.8.2. Показатели надежности и бесперебойности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_Toc142312605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6" w:anchor="_Toc142312606" w:history="1">
            <w:r>
              <w:rPr>
                <w:rStyle w:val="1267"/>
              </w:rPr>
              <w:t xml:space="preserve">1.8.3. Показатели эффективности использования ресурсов, в том числе уровень потерь воды (тепловой энергии в составе горячей воды)</w:t>
            </w:r>
            <w:r>
              <w:tab/>
            </w:r>
            <w:r>
              <w:fldChar w:fldCharType="begin"/>
            </w:r>
            <w:r>
              <w:instrText xml:space="preserve"> PAGEREF _Toc142312606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7" w:anchor="_Toc142312607" w:history="1">
            <w:r>
              <w:rPr>
                <w:rStyle w:val="1267"/>
              </w:rPr>
              <w:t xml:space="preserve">1.8.4.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>
              <w:tab/>
            </w:r>
            <w:r>
              <w:fldChar w:fldCharType="begin"/>
            </w:r>
            <w:r>
              <w:instrText xml:space="preserve"> PAGEREF _Toc142312607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08" w:anchor="_Toc142312608" w:history="1">
            <w:r>
              <w:rPr>
                <w:rStyle w:val="1267"/>
              </w:rPr>
              <w:t xml:space="preserve">1.9.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_Toc142312608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09" w:anchor="_Toc142312609" w:history="1">
            <w:r>
              <w:rPr>
                <w:rStyle w:val="1267"/>
              </w:rPr>
              <w:t xml:space="preserve">1.9.1. Перечень выявленных бесхозяйных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_Toc142312609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0" w:anchor="_Toc142312610" w:history="1">
            <w:r>
              <w:rPr>
                <w:rStyle w:val="1267"/>
              </w:rPr>
              <w:t xml:space="preserve">1.9.2. Перечень организаций, уполномоченных на эксплуатацию выявленных бесхозяйных объектов централизованных систем водоснабжения на территории с. Красноселькуп.</w:t>
            </w:r>
            <w:r>
              <w:tab/>
            </w:r>
            <w:r>
              <w:fldChar w:fldCharType="begin"/>
            </w:r>
            <w:r>
              <w:instrText xml:space="preserve"> PAGEREF _Toc142312610 \h </w:instrText>
            </w:r>
            <w:r>
              <w:fldChar w:fldCharType="separate"/>
            </w:r>
            <w:r>
              <w:t xml:space="preserve">95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611" w:anchor="_Toc142312611" w:history="1">
            <w:r>
              <w:rPr>
                <w:rStyle w:val="1267"/>
              </w:rPr>
              <w:t xml:space="preserve">II.</w:t>
            </w:r>
            <w:r>
              <w:rPr>
                <w:rStyle w:val="1267"/>
                <w:rFonts w:eastAsia="Liberation Serif"/>
              </w:rPr>
              <w:t xml:space="preserve"> Схема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_Toc142312611 \h </w:instrText>
            </w:r>
            <w:r>
              <w:fldChar w:fldCharType="separate"/>
            </w:r>
            <w:r>
              <w:t xml:space="preserve">96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12" w:anchor="_Toc142312612" w:history="1">
            <w:r>
              <w:rPr>
                <w:rStyle w:val="1267"/>
              </w:rPr>
              <w:t xml:space="preserve">2.1.</w:t>
            </w:r>
            <w:r>
              <w:rPr>
                <w:rStyle w:val="1267"/>
              </w:rPr>
              <w:t xml:space="preserve"> Существующее положение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_Toc142312612 \h </w:instrText>
            </w:r>
            <w:r>
              <w:fldChar w:fldCharType="separate"/>
            </w:r>
            <w:r>
              <w:t xml:space="preserve">96</w:t>
            </w:r>
            <w:r>
              <w:fldChar w:fldCharType="end"/>
            </w:r>
          </w:hyperlink>
          <w:r/>
          <w:r/>
        </w:p>
        <w:p>
          <w:pPr>
            <w:pStyle w:val="1261"/>
            <w:tabs>
              <w:tab w:val="left" w:pos="1320" w:leader="none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3" w:anchor="_Toc142312613" w:history="1">
            <w:r>
              <w:rPr>
                <w:rStyle w:val="1267"/>
              </w:rPr>
              <w:t xml:space="preserve">2.1.1.</w:t>
            </w:r>
            <w:r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rPr>
                <w:rStyle w:val="1267"/>
              </w:rPr>
              <w:t xml:space="preserve">Описание структуры системы сбора, очистки и отведения сточных вод на территории населенного пункта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_Toc142312613 \h </w:instrText>
            </w:r>
            <w:r>
              <w:fldChar w:fldCharType="separate"/>
            </w:r>
            <w:r>
              <w:t xml:space="preserve">96</w:t>
            </w:r>
            <w:r>
              <w:fldChar w:fldCharType="end"/>
            </w:r>
          </w:hyperlink>
          <w:r/>
          <w:r/>
        </w:p>
        <w:p>
          <w:pPr>
            <w:pStyle w:val="1261"/>
            <w:tabs>
              <w:tab w:val="left" w:pos="1320" w:leader="none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4" w:anchor="_Toc142312614" w:history="1">
            <w:r>
              <w:rPr>
                <w:rStyle w:val="1267"/>
              </w:rPr>
              <w:t xml:space="preserve">2.1.2.</w:t>
            </w:r>
            <w:r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rPr>
                <w:rStyle w:val="1267"/>
              </w:rPr>
              <w:t xml:space="preserve">Описание результатов технического обследован</w:t>
            </w:r>
            <w:r>
              <w:rPr>
                <w:rStyle w:val="1267"/>
              </w:rPr>
              <w:t xml:space="preserve">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</w:t>
            </w:r>
            <w:r>
              <w:rPr>
                <w:rStyle w:val="1267"/>
              </w:rPr>
              <w:t xml:space="preserve">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>
              <w:tab/>
            </w:r>
            <w:r>
              <w:fldChar w:fldCharType="begin"/>
            </w:r>
            <w:r>
              <w:instrText xml:space="preserve"> PAGEREF _Toc142312614 \h </w:instrText>
            </w:r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1261"/>
            <w:tabs>
              <w:tab w:val="left" w:pos="1320" w:leader="none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5" w:anchor="_Toc142312615" w:history="1">
            <w:r>
              <w:rPr>
                <w:rStyle w:val="1267"/>
              </w:rPr>
              <w:t xml:space="preserve">2.1.3.</w:t>
            </w:r>
            <w:r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rPr>
                <w:rStyle w:val="1267"/>
              </w:rPr>
              <w:t xml:space="preserve">Описание технологических </w:t>
            </w:r>
            <w:r>
              <w:rPr>
                <w:rStyle w:val="1267"/>
              </w:rPr>
              <w:t xml:space="preserve">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_Toc142312615 \h </w:instrText>
            </w:r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1261"/>
            <w:tabs>
              <w:tab w:val="left" w:pos="1320" w:leader="none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6" w:anchor="_Toc142312616" w:history="1">
            <w:r>
              <w:rPr>
                <w:rStyle w:val="1267"/>
              </w:rPr>
              <w:t xml:space="preserve">2.1.4.</w:t>
            </w:r>
            <w:r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rPr>
                <w:rStyle w:val="1267"/>
              </w:rPr>
              <w:t xml:space="preserve">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_Toc142312616 \h </w:instrText>
            </w:r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7" w:anchor="_Toc142312617" w:history="1">
            <w:r>
              <w:rPr>
                <w:rStyle w:val="1267"/>
              </w:rPr>
              <w:t xml:space="preserve">2.1.6. Оценка безопасности и надежности объектов централизованной системы водоотведения и их управляемости</w:t>
            </w:r>
            <w:r>
              <w:tab/>
            </w:r>
            <w:r>
              <w:fldChar w:fldCharType="begin"/>
            </w:r>
            <w:r>
              <w:instrText xml:space="preserve"> PAGEREF _Toc142312617 \h </w:instrText>
            </w:r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8" w:anchor="_Toc142312618" w:history="1">
            <w:r>
              <w:rPr>
                <w:rStyle w:val="1267"/>
              </w:rPr>
              <w:t xml:space="preserve">2.1.7. Оценка воздействия сбросов сточных вод через централизованную систему водоотведения на окружающую среду.</w:t>
            </w:r>
            <w:r>
              <w:tab/>
            </w:r>
            <w:r>
              <w:fldChar w:fldCharType="begin"/>
            </w:r>
            <w:r>
              <w:instrText xml:space="preserve"> PAGEREF _Toc142312618 \h </w:instrText>
            </w:r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19" w:anchor="_Toc142312619" w:history="1">
            <w:r>
              <w:rPr>
                <w:rStyle w:val="1267"/>
              </w:rPr>
              <w:t xml:space="preserve">2.1.8. Описание территорий Красноселькупского района, не охваченных централизованной системой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_Toc142312619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0" w:anchor="_Toc142312620" w:history="1">
            <w:r>
              <w:rPr>
                <w:rStyle w:val="1267"/>
              </w:rPr>
              <w:t xml:space="preserve">2.1.9. Описание существующих технических и технологических проблем системы водоотведения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_Toc142312620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1" w:anchor="_Toc142312621" w:history="1">
            <w:r>
              <w:rPr>
                <w:rStyle w:val="1267"/>
              </w:rPr>
              <w:t xml:space="preserve">2.1.10. Сведения об отнесении централизованной системы водоотведения (канализации) к централизованны</w:t>
            </w:r>
            <w:r>
              <w:rPr>
                <w:rStyle w:val="1267"/>
              </w:rPr>
              <w:t xml:space="preserve">м системам водоотведения  населенного пункта , включающие перечень и описание централизованных систем водоотведения (канализации), отнесенных к централизованным системам водоотведения  населенного пункта , а также информацию об очистных сооружениях (при их</w:t>
            </w:r>
            <w:r>
              <w:rPr>
                <w:rStyle w:val="1267"/>
              </w:rPr>
              <w:t xml:space="preserve">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_Toc142312621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22" w:anchor="_Toc142312622" w:history="1">
            <w:r>
              <w:rPr>
                <w:rStyle w:val="1267"/>
              </w:rPr>
              <w:t xml:space="preserve">2.2.</w:t>
            </w:r>
            <w:r>
              <w:rPr>
                <w:rStyle w:val="1267"/>
              </w:rPr>
              <w:t xml:space="preserve"> Балансы сточных вод в системе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_Toc142312622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3" w:anchor="_Toc142312623" w:history="1">
            <w:r>
              <w:rPr>
                <w:rStyle w:val="1267"/>
              </w:rPr>
              <w:t xml:space="preserve">2.2.1. 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_Toc142312623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4" w:anchor="_Toc142312624" w:history="1">
            <w:r>
              <w:rPr>
                <w:rStyle w:val="1267"/>
              </w:rPr>
              <w:t xml:space="preserve"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_Toc142312624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5" w:anchor="_Toc142312625" w:history="1">
            <w:r>
              <w:rPr>
                <w:rStyle w:val="1267"/>
              </w:rPr>
              <w:t xml:space="preserve"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      </w:r>
            <w:r>
              <w:tab/>
            </w:r>
            <w:r>
              <w:fldChar w:fldCharType="begin"/>
            </w:r>
            <w:r>
              <w:instrText xml:space="preserve"> PAGEREF _Toc142312625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6" w:anchor="_Toc142312626" w:history="1">
            <w:r>
              <w:rPr>
                <w:rStyle w:val="1267"/>
              </w:rPr>
              <w:t xml:space="preserve">2.2.</w:t>
            </w:r>
            <w:r>
              <w:rPr>
                <w:rStyle w:val="1267"/>
              </w:rPr>
              <w:t xml:space="preserve">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у с выделением зон дефицитов и резервов производственных мощностей.</w:t>
            </w:r>
            <w:r>
              <w:tab/>
            </w:r>
            <w:r>
              <w:fldChar w:fldCharType="begin"/>
            </w:r>
            <w:r>
              <w:instrText xml:space="preserve"> PAGEREF _Toc142312626 \h </w:instrText>
            </w:r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7" w:anchor="_Toc142312627" w:history="1">
            <w:r>
              <w:rPr>
                <w:rStyle w:val="1267"/>
              </w:rPr>
              <w:t xml:space="preserve"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2038 года с учетом различных сценариев развития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_Toc142312627 \h </w:instrText>
            </w:r>
            <w:r>
              <w:fldChar w:fldCharType="separate"/>
            </w:r>
            <w:r>
              <w:t xml:space="preserve">99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28" w:anchor="_Toc142312628" w:history="1">
            <w:r>
              <w:rPr>
                <w:rStyle w:val="1267"/>
              </w:rPr>
              <w:t xml:space="preserve">2.3.</w:t>
            </w:r>
            <w:r>
              <w:rPr>
                <w:rStyle w:val="1267"/>
              </w:rPr>
              <w:t xml:space="preserve"> Прогноз объема сточных вод</w:t>
            </w:r>
            <w:r>
              <w:tab/>
            </w:r>
            <w:r>
              <w:fldChar w:fldCharType="begin"/>
            </w:r>
            <w:r>
              <w:instrText xml:space="preserve"> PAGEREF _Toc142312628 \h </w:instrText>
            </w:r>
            <w:r>
              <w:fldChar w:fldCharType="separate"/>
            </w:r>
            <w:r>
              <w:t xml:space="preserve">99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29" w:anchor="_Toc142312629" w:history="1">
            <w:r>
              <w:rPr>
                <w:rStyle w:val="1267"/>
              </w:rPr>
              <w:t xml:space="preserve">2.3.1. Сведения о фактическом и ожидаемом поступлении сточных вод в централизованную систему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_Toc142312629 \h </w:instrText>
            </w:r>
            <w:r>
              <w:fldChar w:fldCharType="separate"/>
            </w:r>
            <w:r>
              <w:t xml:space="preserve">99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0" w:anchor="_Toc142312630" w:history="1">
            <w:r>
              <w:rPr>
                <w:rStyle w:val="1267"/>
              </w:rPr>
              <w:t xml:space="preserve">2.3.2. Описание структуры централизованной системы водоотведения (эксплуатационные и технологические зоны).</w:t>
            </w:r>
            <w:r>
              <w:tab/>
            </w:r>
            <w:r>
              <w:fldChar w:fldCharType="begin"/>
            </w:r>
            <w:r>
              <w:instrText xml:space="preserve"> PAGEREF _Toc142312630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1" w:anchor="_Toc142312631" w:history="1">
            <w:r>
              <w:rPr>
                <w:rStyle w:val="1267"/>
              </w:rPr>
              <w:t xml:space="preserve"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_Toc142312631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2" w:anchor="_Toc142312632" w:history="1">
            <w:r>
              <w:rPr>
                <w:rStyle w:val="1267"/>
              </w:rPr>
              <w:t xml:space="preserve">2.3.4. Результаты анализа гидравлических режимов и режимов работы элементов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_Toc142312632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3" w:anchor="_Toc142312633" w:history="1">
            <w:r>
              <w:rPr>
                <w:rStyle w:val="1267"/>
              </w:rPr>
              <w:t xml:space="preserve"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>
              <w:tab/>
            </w:r>
            <w:r>
              <w:fldChar w:fldCharType="begin"/>
            </w:r>
            <w:r>
              <w:instrText xml:space="preserve"> PAGEREF _Toc142312633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34" w:anchor="_Toc142312634" w:history="1">
            <w:r>
              <w:rPr>
                <w:rStyle w:val="1267"/>
              </w:rPr>
              <w:t xml:space="preserve">2.4.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_Toc142312634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5" w:anchor="_Toc142312635" w:history="1">
            <w:r>
              <w:rPr>
                <w:rStyle w:val="1267"/>
              </w:rPr>
              <w:t xml:space="preserve">2.4.1. Основные направления, принципы, задачи и плановые значения показателей развития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_Toc142312635 \h </w:instrText>
            </w:r>
            <w:r>
              <w:fldChar w:fldCharType="separate"/>
            </w:r>
            <w:r>
              <w:t xml:space="preserve">101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6" w:anchor="_Toc142312636" w:history="1">
            <w:r>
              <w:rPr>
                <w:rStyle w:val="1267"/>
              </w:rPr>
              <w:t xml:space="preserve"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>
              <w:tab/>
            </w:r>
            <w:r>
              <w:fldChar w:fldCharType="begin"/>
            </w:r>
            <w:r>
              <w:instrText xml:space="preserve"> PAGEREF _Toc142312636 \h </w:instrText>
            </w:r>
            <w:r>
              <w:fldChar w:fldCharType="separate"/>
            </w:r>
            <w:r>
              <w:t xml:space="preserve">103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7" w:anchor="_Toc142312637" w:history="1">
            <w:r>
              <w:rPr>
                <w:rStyle w:val="1267"/>
              </w:rPr>
              <w:t xml:space="preserve">2.4.3. Технические обоснования основных мероприятий по реализации схем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_Toc142312637 \h </w:instrText>
            </w:r>
            <w:r>
              <w:fldChar w:fldCharType="separate"/>
            </w:r>
            <w:r>
              <w:t xml:space="preserve">103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8" w:anchor="_Toc142312638" w:history="1">
            <w:r>
              <w:rPr>
                <w:rStyle w:val="1267"/>
              </w:rPr>
              <w:t xml:space="preserve">2.4.4. 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_Toc142312638 \h </w:instrText>
            </w:r>
            <w:r>
              <w:fldChar w:fldCharType="separate"/>
            </w:r>
            <w:r>
              <w:t xml:space="preserve">104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39" w:anchor="_Toc142312639" w:history="1">
            <w:r>
              <w:rPr>
                <w:rStyle w:val="1267"/>
              </w:rPr>
              <w:t xml:space="preserve"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  <w:r>
              <w:tab/>
            </w:r>
            <w:r>
              <w:fldChar w:fldCharType="begin"/>
            </w:r>
            <w:r>
              <w:instrText xml:space="preserve"> PAGEREF _Toc142312639 \h </w:instrText>
            </w:r>
            <w:r>
              <w:fldChar w:fldCharType="separate"/>
            </w:r>
            <w:r>
              <w:t xml:space="preserve">104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0" w:anchor="_Toc142312640" w:history="1">
            <w:r>
              <w:rPr>
                <w:rStyle w:val="1267"/>
              </w:rPr>
              <w:t xml:space="preserve">2.4.6. 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_Toc142312640 \h </w:instrText>
            </w:r>
            <w:r>
              <w:fldChar w:fldCharType="separate"/>
            </w:r>
            <w:r>
              <w:t xml:space="preserve">106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1" w:anchor="_Toc142312641" w:history="1">
            <w:r>
              <w:rPr>
                <w:rStyle w:val="1267"/>
              </w:rPr>
              <w:t xml:space="preserve">2.4.7. Границы и характеристики охранных зон сетей и сооружений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_Toc142312641 \h </w:instrText>
            </w:r>
            <w:r>
              <w:fldChar w:fldCharType="separate"/>
            </w:r>
            <w:r>
              <w:t xml:space="preserve">107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2" w:anchor="_Toc142312642" w:history="1">
            <w:r>
              <w:rPr>
                <w:rStyle w:val="1267"/>
              </w:rPr>
              <w:t xml:space="preserve">2.4.8. Границы планируемых зон размещения объектов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_Toc142312642 \h </w:instrText>
            </w:r>
            <w:r>
              <w:fldChar w:fldCharType="separate"/>
            </w:r>
            <w:r>
              <w:t xml:space="preserve">107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43" w:anchor="_Toc142312643" w:history="1">
            <w:r>
              <w:rPr>
                <w:rStyle w:val="1267"/>
              </w:rPr>
              <w:t xml:space="preserve">2.5.</w:t>
            </w:r>
            <w:r>
              <w:rPr>
                <w:rStyle w:val="1267"/>
              </w:rPr>
              <w:t xml:space="preserve"> Экологические аспекты мероприятий по строительству и реконструкции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_Toc142312643 \h </w:instrText>
            </w:r>
            <w:r>
              <w:fldChar w:fldCharType="separate"/>
            </w:r>
            <w:r>
              <w:t xml:space="preserve">107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4" w:anchor="_Toc142312644" w:history="1">
            <w:r>
              <w:rPr>
                <w:rStyle w:val="1267"/>
              </w:rPr>
              <w:t xml:space="preserve">2.5.1.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среды.</w:t>
            </w:r>
            <w:r>
              <w:tab/>
            </w:r>
            <w:r>
              <w:fldChar w:fldCharType="begin"/>
            </w:r>
            <w:r>
              <w:instrText xml:space="preserve"> PAGEREF _Toc142312644 \h </w:instrText>
            </w:r>
            <w:r>
              <w:fldChar w:fldCharType="separate"/>
            </w:r>
            <w:r>
              <w:t xml:space="preserve">107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5" w:anchor="_Toc142312645" w:history="1">
            <w:r>
              <w:rPr>
                <w:rStyle w:val="1267"/>
              </w:rPr>
              <w:t xml:space="preserve">2.5.2. Сведения о применении методов, безопасных для окружающей среды, при утилизации осадков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_Toc142312645 \h </w:instrText>
            </w:r>
            <w:r>
              <w:fldChar w:fldCharType="separate"/>
            </w:r>
            <w:r>
              <w:t xml:space="preserve">108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46" w:anchor="_Toc142312646" w:history="1">
            <w:r>
              <w:rPr>
                <w:rStyle w:val="1267"/>
              </w:rPr>
              <w:t xml:space="preserve">2.6.</w:t>
            </w:r>
            <w:r>
              <w:rPr>
                <w:rStyle w:val="1267"/>
              </w:rPr>
      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_Toc142312646 \h </w:instrText>
            </w:r>
            <w:r>
              <w:fldChar w:fldCharType="separate"/>
            </w:r>
            <w:r>
              <w:t xml:space="preserve">108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7" w:anchor="_Toc142312647" w:history="1">
            <w:r>
              <w:rPr>
                <w:rStyle w:val="1267"/>
              </w:rPr>
              <w:t xml:space="preserve">2.6.1. Оценка потребности в капитальных вложениях</w:t>
            </w:r>
            <w:r>
              <w:rPr>
                <w:rStyle w:val="1267"/>
              </w:rPr>
              <w:t xml:space="preserve">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</w:t>
            </w:r>
            <w:r>
              <w:rPr>
                <w:rStyle w:val="1267"/>
              </w:rPr>
              <w:t xml:space="preserve">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финансирования.</w:t>
            </w:r>
            <w:r>
              <w:tab/>
            </w:r>
            <w:r>
              <w:fldChar w:fldCharType="begin"/>
            </w:r>
            <w:r>
              <w:instrText xml:space="preserve"> PAGEREF _Toc142312647 \h </w:instrText>
            </w:r>
            <w:r>
              <w:fldChar w:fldCharType="separate"/>
            </w:r>
            <w:r>
              <w:t xml:space="preserve">108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48" w:anchor="_Toc142312648" w:history="1">
            <w:r>
              <w:rPr>
                <w:rStyle w:val="1267"/>
              </w:rPr>
              <w:t xml:space="preserve">2.7.</w:t>
            </w:r>
            <w:r>
              <w:rPr>
                <w:rStyle w:val="1267"/>
              </w:rPr>
              <w:t xml:space="preserve"> Цены (тарифы)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_Toc142312648 \h </w:instrText>
            </w:r>
            <w:r>
              <w:fldChar w:fldCharType="separate"/>
            </w:r>
            <w:r>
              <w:t xml:space="preserve">111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49" w:anchor="_Toc142312649" w:history="1">
            <w:r>
              <w:rPr>
                <w:rStyle w:val="1267"/>
              </w:rPr>
              <w:t xml:space="preserve">2.7.1.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_Toc142312649 \h </w:instrText>
            </w:r>
            <w:r>
              <w:fldChar w:fldCharType="separate"/>
            </w:r>
            <w:r>
              <w:t xml:space="preserve">111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0" w:anchor="_Toc142312650" w:history="1">
            <w:r>
              <w:rPr>
                <w:rStyle w:val="1267"/>
              </w:rPr>
              <w:t xml:space="preserve">2.7.2. Структура цен (тарифов), установленных на момент актуализации схемы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_Toc142312650 \h </w:instrText>
            </w:r>
            <w:r>
              <w:fldChar w:fldCharType="separate"/>
            </w:r>
            <w:r>
              <w:t xml:space="preserve">111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1" w:anchor="_Toc142312651" w:history="1">
            <w:r>
              <w:rPr>
                <w:rStyle w:val="1267"/>
              </w:rPr>
              <w:t xml:space="preserve">2.7.3. Плата за подключение к системе водоотведения и поступление денежных средств от осуществления деятельности по водоотведению.</w:t>
            </w:r>
            <w:r>
              <w:tab/>
            </w:r>
            <w:r>
              <w:fldChar w:fldCharType="begin"/>
            </w:r>
            <w:r>
              <w:instrText xml:space="preserve"> PAGEREF _Toc142312651 \h </w:instrText>
            </w:r>
            <w:r>
              <w:fldChar w:fldCharType="separate"/>
            </w:r>
            <w:r>
              <w:t xml:space="preserve">111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52" w:anchor="_Toc142312652" w:history="1">
            <w:r>
              <w:rPr>
                <w:rStyle w:val="1267"/>
              </w:rPr>
              <w:t xml:space="preserve">2.8.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_Toc142312652 \h </w:instrText>
            </w:r>
            <w:r>
              <w:fldChar w:fldCharType="separate"/>
            </w:r>
            <w:r>
              <w:t xml:space="preserve">111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3" w:anchor="_Toc142312653" w:history="1">
            <w:r>
              <w:rPr>
                <w:rStyle w:val="1267"/>
              </w:rPr>
              <w:t xml:space="preserve">2.8.1. Показатели надежности и бесперебойности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_Toc142312653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4" w:anchor="_Toc142312654" w:history="1">
            <w:r>
              <w:rPr>
                <w:rStyle w:val="1267"/>
              </w:rPr>
              <w:t xml:space="preserve">2.8.2. Показатели качества обслуживания абонентов.</w:t>
            </w:r>
            <w:r>
              <w:tab/>
            </w:r>
            <w:r>
              <w:fldChar w:fldCharType="begin"/>
            </w:r>
            <w:r>
              <w:instrText xml:space="preserve"> PAGEREF _Toc142312654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5" w:anchor="_Toc142312655" w:history="1">
            <w:r>
              <w:rPr>
                <w:rStyle w:val="1267"/>
              </w:rPr>
              <w:t xml:space="preserve">2.8.3. Показатели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_Toc142312655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6" w:anchor="_Toc142312656" w:history="1">
            <w:r>
              <w:rPr>
                <w:rStyle w:val="1267"/>
              </w:rPr>
              <w:t xml:space="preserve">2.8.4. Показатели эффективности использования ресурсов при транспортировке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_Toc142312656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7" w:anchor="_Toc142312657" w:history="1">
            <w:r>
              <w:rPr>
                <w:rStyle w:val="1267"/>
              </w:rPr>
              <w:t xml:space="preserve">2.8.5. Соотношение цены реализации мероприятий инвестиционной программы и их эффективности - улучшение качества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_Toc142312657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58" w:anchor="_Toc142312658" w:history="1">
            <w:r>
              <w:rPr>
                <w:rStyle w:val="1267"/>
              </w:rPr>
              <w:t xml:space="preserve">2.8.6.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>
              <w:tab/>
            </w:r>
            <w:r>
              <w:fldChar w:fldCharType="begin"/>
            </w:r>
            <w:r>
              <w:instrText xml:space="preserve"> PAGEREF _Toc142312658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59" w:anchor="_Toc142312659" w:history="1">
            <w:r>
              <w:rPr>
                <w:rStyle w:val="1267"/>
              </w:rPr>
              <w:t xml:space="preserve">2.9.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_Toc142312659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0" w:anchor="_Toc142312660" w:history="1">
            <w:r>
              <w:rPr>
                <w:rStyle w:val="1267"/>
              </w:rPr>
              <w:t xml:space="preserve">2.9.1.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      </w:r>
            <w:r>
              <w:tab/>
            </w:r>
            <w:r>
              <w:fldChar w:fldCharType="begin"/>
            </w:r>
            <w:r>
              <w:instrText xml:space="preserve"> PAGEREF _Toc142312660 \h </w:instrText>
            </w:r>
            <w:r>
              <w:fldChar w:fldCharType="separate"/>
            </w:r>
            <w:r>
              <w:t xml:space="preserve">114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661" w:anchor="_Toc142312661" w:history="1">
            <w:r>
              <w:rPr>
                <w:rStyle w:val="1267"/>
              </w:rPr>
              <w:t xml:space="preserve">Том 2. СЕЛО ТОЛЬКА</w:t>
            </w:r>
            <w:r>
              <w:tab/>
            </w:r>
            <w:r>
              <w:fldChar w:fldCharType="begin"/>
            </w:r>
            <w:r>
              <w:instrText xml:space="preserve"> PAGEREF _Toc142312661 \h </w:instrText>
            </w:r>
            <w:r>
              <w:fldChar w:fldCharType="separate"/>
            </w:r>
            <w:r>
              <w:t xml:space="preserve">115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662" w:anchor="_Toc142312662" w:history="1">
            <w:r>
              <w:rPr>
                <w:rStyle w:val="1267"/>
              </w:rPr>
              <w:t xml:space="preserve">I. Схема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_Toc142312662 \h </w:instrText>
            </w:r>
            <w:r>
              <w:fldChar w:fldCharType="separate"/>
            </w:r>
            <w:r>
              <w:t xml:space="preserve">115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63" w:anchor="_Toc142312663" w:history="1">
            <w:r>
              <w:rPr>
                <w:rStyle w:val="1267"/>
              </w:rPr>
              <w:t xml:space="preserve">1.1.</w:t>
            </w:r>
            <w:r>
              <w:rPr>
                <w:rStyle w:val="1267"/>
              </w:rPr>
              <w:t xml:space="preserve"> Технико-экономическое состояние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_Toc142312663 \h </w:instrText>
            </w:r>
            <w:r>
              <w:fldChar w:fldCharType="separate"/>
            </w:r>
            <w:r>
              <w:t xml:space="preserve">115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4" w:anchor="_Toc142312664" w:history="1">
            <w:r>
              <w:rPr>
                <w:rStyle w:val="1267"/>
              </w:rPr>
              <w:t xml:space="preserve">1.1.1. Описание системы и структуры водоснабжения и деление территории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_Toc142312664 \h </w:instrText>
            </w:r>
            <w:r>
              <w:fldChar w:fldCharType="separate"/>
            </w:r>
            <w:r>
              <w:t xml:space="preserve">115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5" w:anchor="_Toc142312665" w:history="1">
            <w:r>
              <w:rPr>
                <w:rStyle w:val="1267"/>
              </w:rPr>
              <w:t xml:space="preserve">1.1.2. Описание территорий населенного пункта, не охваченных централизованными системами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_Toc142312665 \h </w:instrText>
            </w:r>
            <w:r>
              <w:fldChar w:fldCharType="separate"/>
            </w:r>
            <w:r>
              <w:t xml:space="preserve">118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6" w:anchor="_Toc142312666" w:history="1">
            <w:r>
              <w:rPr>
                <w:rStyle w:val="1267"/>
              </w:rPr>
              <w:t xml:space="preserve">1.1.3. 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_Toc142312666 \h </w:instrText>
            </w:r>
            <w:r>
              <w:fldChar w:fldCharType="separate"/>
            </w:r>
            <w:r>
              <w:t xml:space="preserve">118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7" w:anchor="_Toc142312667" w:history="1">
            <w:r>
              <w:rPr>
                <w:rStyle w:val="1267"/>
              </w:rPr>
              <w:t xml:space="preserve">1.1.4. Описание результатов технического обследования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_Toc142312667 \h </w:instrText>
            </w:r>
            <w:r>
              <w:fldChar w:fldCharType="separate"/>
            </w:r>
            <w:r>
              <w:t xml:space="preserve">119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8" w:anchor="_Toc142312668" w:history="1">
            <w:r>
              <w:rPr>
                <w:rStyle w:val="1267"/>
              </w:rPr>
              <w:t xml:space="preserve">1.1.4.1. Описание состояния существующих источников водоснабжения и водозаборных сооружений.</w:t>
            </w:r>
            <w:r>
              <w:tab/>
            </w:r>
            <w:r>
              <w:fldChar w:fldCharType="begin"/>
            </w:r>
            <w:r>
              <w:instrText xml:space="preserve"> PAGEREF _Toc142312668 \h </w:instrText>
            </w:r>
            <w:r>
              <w:fldChar w:fldCharType="separate"/>
            </w:r>
            <w:r>
              <w:t xml:space="preserve">119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69" w:anchor="_Toc142312669" w:history="1">
            <w:r>
              <w:rPr>
                <w:rStyle w:val="1267"/>
              </w:rPr>
              <w:t xml:space="preserve"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      </w:r>
            <w:r>
              <w:tab/>
            </w:r>
            <w:r>
              <w:fldChar w:fldCharType="begin"/>
            </w:r>
            <w:r>
              <w:instrText xml:space="preserve"> PAGEREF _Toc142312669 \h </w:instrText>
            </w:r>
            <w:r>
              <w:fldChar w:fldCharType="separate"/>
            </w:r>
            <w:r>
              <w:t xml:space="preserve">122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0" w:anchor="_Toc142312670" w:history="1">
            <w:r>
              <w:rPr>
                <w:rStyle w:val="1267"/>
              </w:rPr>
              <w:t xml:space="preserve">1.1.4.3. Описание состояния и функционирования существующих н</w:t>
            </w:r>
            <w:r>
              <w:rPr>
                <w:rStyle w:val="1267"/>
              </w:rPr>
              <w:t xml:space="preserve">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      </w:r>
            <w:r>
              <w:tab/>
            </w:r>
            <w:r>
              <w:fldChar w:fldCharType="begin"/>
            </w:r>
            <w:r>
              <w:instrText xml:space="preserve"> PAGEREF _Toc142312670 \h </w:instrText>
            </w:r>
            <w:r>
              <w:fldChar w:fldCharType="separate"/>
            </w:r>
            <w:r>
              <w:t xml:space="preserve">125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1" w:anchor="_Toc142312671" w:history="1">
            <w:r>
              <w:rPr>
                <w:rStyle w:val="1267"/>
              </w:rPr>
              <w:t xml:space="preserve"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      </w:r>
            <w:r>
              <w:tab/>
            </w:r>
            <w:r>
              <w:fldChar w:fldCharType="begin"/>
            </w:r>
            <w:r>
              <w:instrText xml:space="preserve"> PAGEREF _Toc142312671 \h </w:instrText>
            </w:r>
            <w:r>
              <w:fldChar w:fldCharType="separate"/>
            </w:r>
            <w:r>
              <w:t xml:space="preserve">125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2" w:anchor="_Toc142312672" w:history="1">
            <w:r>
              <w:rPr>
                <w:rStyle w:val="1267"/>
              </w:rPr>
              <w:t xml:space="preserve">1.1.4.5. Описание существующих технических технологических проблем, возникающих при водоснабжении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_Toc142312672 \h </w:instrText>
            </w:r>
            <w:r>
              <w:fldChar w:fldCharType="separate"/>
            </w:r>
            <w:r>
              <w:t xml:space="preserve">127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3" w:anchor="_Toc142312673" w:history="1">
            <w:r>
              <w:rPr>
                <w:rStyle w:val="1267"/>
              </w:rPr>
              <w:t xml:space="preserve"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_Toc142312673 \h </w:instrText>
            </w:r>
            <w:r>
              <w:fldChar w:fldCharType="separate"/>
            </w:r>
            <w:r>
              <w:t xml:space="preserve">128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4" w:anchor="_Toc142312674" w:history="1">
            <w:r>
              <w:rPr>
                <w:rStyle w:val="1267"/>
              </w:rPr>
              <w:t xml:space="preserve"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      </w:r>
            <w:r>
              <w:tab/>
            </w:r>
            <w:r>
              <w:fldChar w:fldCharType="begin"/>
            </w:r>
            <w:r>
              <w:instrText xml:space="preserve"> PAGEREF _Toc142312674 \h </w:instrText>
            </w:r>
            <w:r>
              <w:fldChar w:fldCharType="separate"/>
            </w:r>
            <w:r>
              <w:t xml:space="preserve">128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5" w:anchor="_Toc142312675" w:history="1">
            <w:r>
              <w:rPr>
                <w:rStyle w:val="1267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>
              <w:tab/>
            </w:r>
            <w:r>
              <w:fldChar w:fldCharType="begin"/>
            </w:r>
            <w:r>
              <w:instrText xml:space="preserve"> PAGEREF _Toc142312675 \h </w:instrText>
            </w:r>
            <w:r>
              <w:fldChar w:fldCharType="separate"/>
            </w:r>
            <w:r>
              <w:t xml:space="preserve">128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76" w:anchor="_Toc142312676" w:history="1">
            <w:r>
              <w:rPr>
                <w:rStyle w:val="1267"/>
              </w:rPr>
              <w:t xml:space="preserve">1.2.</w:t>
            </w:r>
            <w:r>
              <w:rPr>
                <w:rStyle w:val="1267"/>
              </w:rPr>
              <w:t xml:space="preserve"> Направления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_Toc142312676 \h </w:instrText>
            </w:r>
            <w:r>
              <w:fldChar w:fldCharType="separate"/>
            </w:r>
            <w:r>
              <w:t xml:space="preserve">128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7" w:anchor="_Toc142312677" w:history="1">
            <w:r>
              <w:rPr>
                <w:rStyle w:val="1267"/>
              </w:rPr>
              <w:t xml:space="preserve">1.2.1. Основные направления, принципы, задачи и плановые значения показателей развития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_Toc142312677 \h </w:instrText>
            </w:r>
            <w:r>
              <w:fldChar w:fldCharType="separate"/>
            </w:r>
            <w:r>
              <w:t xml:space="preserve">128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78" w:anchor="_Toc142312678" w:history="1">
            <w:r>
              <w:rPr>
                <w:rStyle w:val="1267"/>
              </w:rPr>
              <w:t xml:space="preserve">1.2.2. Различные сценарии развития централизованных систем водоснабжения в зависимости от различных сценариев развития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_Toc142312678 \h </w:instrText>
            </w:r>
            <w:r>
              <w:fldChar w:fldCharType="separate"/>
            </w:r>
            <w:r>
              <w:t xml:space="preserve">130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79" w:anchor="_Toc142312679" w:history="1">
            <w:r>
              <w:rPr>
                <w:rStyle w:val="1267"/>
              </w:rPr>
              <w:t xml:space="preserve">1.3.</w:t>
            </w:r>
            <w:r>
              <w:rPr>
                <w:rStyle w:val="1267"/>
              </w:rPr>
              <w:t xml:space="preserve"> Баланс водоснабжения и потребления горячей, питьевой, технической воды (при наличии)</w:t>
            </w:r>
            <w:r>
              <w:tab/>
            </w:r>
            <w:r>
              <w:fldChar w:fldCharType="begin"/>
            </w:r>
            <w:r>
              <w:instrText xml:space="preserve"> PAGEREF _Toc142312679 \h </w:instrText>
            </w:r>
            <w:r>
              <w:fldChar w:fldCharType="separate"/>
            </w:r>
            <w:r>
              <w:t xml:space="preserve">133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0" w:anchor="_Toc142312680" w:history="1">
            <w:r>
              <w:rPr>
                <w:rStyle w:val="1267"/>
              </w:rPr>
              <w:t xml:space="preserve">1.3.1. 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>
              <w:tab/>
            </w:r>
            <w:r>
              <w:fldChar w:fldCharType="begin"/>
            </w:r>
            <w:r>
              <w:instrText xml:space="preserve"> PAGEREF _Toc142312680 \h </w:instrText>
            </w:r>
            <w:r>
              <w:fldChar w:fldCharType="separate"/>
            </w:r>
            <w:r>
              <w:t xml:space="preserve">133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1" w:anchor="_Toc142312681" w:history="1">
            <w:r>
              <w:rPr>
                <w:rStyle w:val="1267"/>
              </w:rPr>
              <w:t xml:space="preserve">1.3.2.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>
              <w:tab/>
            </w:r>
            <w:r>
              <w:fldChar w:fldCharType="begin"/>
            </w:r>
            <w:r>
              <w:instrText xml:space="preserve"> PAGEREF _Toc142312681 \h </w:instrText>
            </w:r>
            <w:r>
              <w:fldChar w:fldCharType="separate"/>
            </w:r>
            <w:r>
              <w:t xml:space="preserve">134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2" w:anchor="_Toc142312682" w:history="1">
            <w:r>
              <w:rPr>
                <w:rStyle w:val="1267"/>
              </w:rPr>
              <w:t xml:space="preserve"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др.).</w:t>
            </w:r>
            <w:r>
              <w:tab/>
            </w:r>
            <w:r>
              <w:fldChar w:fldCharType="begin"/>
            </w:r>
            <w:r>
              <w:instrText xml:space="preserve"> PAGEREF _Toc142312682 \h </w:instrText>
            </w:r>
            <w:r>
              <w:fldChar w:fldCharType="separate"/>
            </w:r>
            <w:r>
              <w:t xml:space="preserve">134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3" w:anchor="_Toc142312683" w:history="1">
            <w:r>
              <w:rPr>
                <w:rStyle w:val="1267"/>
              </w:rPr>
              <w:t xml:space="preserve">1.3.4. Сведения о фактическом потреблении на</w:t>
            </w:r>
            <w:r>
              <w:rPr>
                <w:rStyle w:val="1267"/>
              </w:rPr>
              <w:t xml:space="preserve">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района.</w:t>
            </w:r>
            <w:r>
              <w:tab/>
            </w:r>
            <w:r>
              <w:fldChar w:fldCharType="begin"/>
            </w:r>
            <w:r>
              <w:instrText xml:space="preserve"> PAGEREF _Toc142312683 \h </w:instrText>
            </w:r>
            <w:r>
              <w:fldChar w:fldCharType="separate"/>
            </w:r>
            <w:r>
              <w:t xml:space="preserve">134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4" w:anchor="_Toc142312684" w:history="1">
            <w:r>
              <w:rPr>
                <w:rStyle w:val="1267"/>
              </w:rPr>
              <w:t xml:space="preserve">1.3.5. Описание существующей системы коммерческого учета горячей, питьевой, технической воды и планов по установке приборов учета.</w:t>
            </w:r>
            <w:r>
              <w:tab/>
            </w:r>
            <w:r>
              <w:fldChar w:fldCharType="begin"/>
            </w:r>
            <w:r>
              <w:instrText xml:space="preserve"> PAGEREF _Toc142312684 \h </w:instrText>
            </w:r>
            <w:r>
              <w:fldChar w:fldCharType="separate"/>
            </w:r>
            <w:r>
              <w:t xml:space="preserve">137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5" w:anchor="_Toc142312685" w:history="1">
            <w:r>
              <w:rPr>
                <w:rStyle w:val="1267"/>
              </w:rPr>
              <w:t xml:space="preserve">1.3.6. 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пункту).</w:t>
            </w:r>
            <w:r>
              <w:tab/>
            </w:r>
            <w:r>
              <w:fldChar w:fldCharType="begin"/>
            </w:r>
            <w:r>
              <w:instrText xml:space="preserve"> PAGEREF _Toc142312685 \h </w:instrText>
            </w:r>
            <w:r>
              <w:fldChar w:fldCharType="separate"/>
            </w:r>
            <w:r>
              <w:t xml:space="preserve">138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6" w:anchor="_Toc142312686" w:history="1">
            <w:r>
              <w:rPr>
                <w:rStyle w:val="1267"/>
              </w:rPr>
              <w:t xml:space="preserve">1.3.7. Прогнозные балансы потребления горячей, питьевой, технической воды на срок до 2038 года с учётом различных сценариев развития населенного пункта, рассчитанные на осн</w:t>
            </w:r>
            <w:r>
              <w:rPr>
                <w:rStyle w:val="1267"/>
              </w:rPr>
              <w:t xml:space="preserve">овании расхода горячей, питьевой, технической воды в соответствии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застройки.</w:t>
            </w:r>
            <w:r>
              <w:tab/>
            </w:r>
            <w:r>
              <w:fldChar w:fldCharType="begin"/>
            </w:r>
            <w:r>
              <w:instrText xml:space="preserve"> PAGEREF _Toc142312686 \h </w:instrText>
            </w:r>
            <w:r>
              <w:fldChar w:fldCharType="separate"/>
            </w:r>
            <w:r>
              <w:t xml:space="preserve">139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7" w:anchor="_Toc142312687" w:history="1">
            <w:r>
              <w:rPr>
                <w:rStyle w:val="1267"/>
              </w:rPr>
              <w:t xml:space="preserve"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_Toc142312687 \h </w:instrText>
            </w:r>
            <w:r>
              <w:fldChar w:fldCharType="separate"/>
            </w:r>
            <w:r>
              <w:t xml:space="preserve">142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8" w:anchor="_Toc142312688" w:history="1">
            <w:r>
              <w:rPr>
                <w:rStyle w:val="1267"/>
              </w:rPr>
              <w:t xml:space="preserve">1.3.9. Сведения о фактическом и ожидаемом потреблении горячей, питьевой, технической воды (годовое, среднесуточное, максимальное суточное).</w:t>
            </w:r>
            <w:r>
              <w:tab/>
            </w:r>
            <w:r>
              <w:fldChar w:fldCharType="begin"/>
            </w:r>
            <w:r>
              <w:instrText xml:space="preserve"> PAGEREF _Toc142312688 \h </w:instrText>
            </w:r>
            <w:r>
              <w:fldChar w:fldCharType="separate"/>
            </w:r>
            <w:r>
              <w:t xml:space="preserve">142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89" w:anchor="_Toc142312689" w:history="1">
            <w:r>
              <w:rPr>
                <w:rStyle w:val="1267"/>
              </w:rPr>
              <w:t xml:space="preserve">1.3.10.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>
              <w:tab/>
            </w:r>
            <w:r>
              <w:fldChar w:fldCharType="begin"/>
            </w:r>
            <w:r>
              <w:instrText xml:space="preserve"> PAGEREF _Toc142312689 \h </w:instrText>
            </w:r>
            <w:r>
              <w:fldChar w:fldCharType="separate"/>
            </w:r>
            <w:r>
              <w:t xml:space="preserve">142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0" w:anchor="_Toc142312690" w:history="1">
            <w:r>
              <w:rPr>
                <w:rStyle w:val="1267"/>
              </w:rPr>
              <w:t xml:space="preserve">1.3.11. Прогноз распределения расходов воды на водоснабжение по типам абонентов, в том числ</w:t>
            </w:r>
            <w:r>
              <w:rPr>
                <w:rStyle w:val="1267"/>
              </w:rPr>
              <w:t xml:space="preserve">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      </w:r>
            <w:r>
              <w:tab/>
            </w:r>
            <w:r>
              <w:fldChar w:fldCharType="begin"/>
            </w:r>
            <w:r>
              <w:instrText xml:space="preserve"> PAGEREF _Toc142312690 \h </w:instrText>
            </w:r>
            <w:r>
              <w:fldChar w:fldCharType="separate"/>
            </w:r>
            <w:r>
              <w:t xml:space="preserve">142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1" w:anchor="_Toc142312691" w:history="1">
            <w:r>
              <w:rPr>
                <w:rStyle w:val="1267"/>
              </w:rPr>
              <w:t xml:space="preserve">1.3.12. Сведения о фактических и планируемых потерях горячей, питьевой, технической воды при ее транспортировке (годовые, среднесуточные значения).</w:t>
            </w:r>
            <w:r>
              <w:tab/>
            </w:r>
            <w:r>
              <w:fldChar w:fldCharType="begin"/>
            </w:r>
            <w:r>
              <w:instrText xml:space="preserve"> PAGEREF _Toc142312691 \h </w:instrText>
            </w:r>
            <w:r>
              <w:fldChar w:fldCharType="separate"/>
            </w:r>
            <w:r>
              <w:t xml:space="preserve">142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2" w:anchor="_Toc142312692" w:history="1">
            <w:r>
              <w:rPr>
                <w:rStyle w:val="1267"/>
              </w:rPr>
              <w:t xml:space="preserve">1.3.13. Перспективные балансы водоснабжения и водоотведения (общий - баланс</w:t>
            </w:r>
            <w:r>
              <w:rPr>
                <w:rStyle w:val="1267"/>
              </w:rPr>
              <w:t xml:space="preserve">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      </w:r>
            <w:r>
              <w:tab/>
            </w:r>
            <w:r>
              <w:fldChar w:fldCharType="begin"/>
            </w:r>
            <w:r>
              <w:instrText xml:space="preserve"> PAGEREF _Toc142312692 \h </w:instrText>
            </w:r>
            <w:r>
              <w:fldChar w:fldCharType="separate"/>
            </w:r>
            <w:r>
              <w:t xml:space="preserve">143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3" w:anchor="_Toc142312693" w:history="1">
            <w:r>
              <w:rPr>
                <w:rStyle w:val="1267"/>
              </w:rPr>
              <w:t xml:space="preserve">1.3.14. Расчет требуемой мощности водозаборных и очистных сооружений исходя из данных о перспективном потреблении горячей, питьевой, т</w:t>
            </w:r>
            <w:r>
              <w:rPr>
                <w:rStyle w:val="1267"/>
              </w:rPr>
              <w:t xml:space="preserve">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_Toc142312693 \h </w:instrText>
            </w:r>
            <w:r>
              <w:fldChar w:fldCharType="separate"/>
            </w:r>
            <w:r>
              <w:t xml:space="preserve">143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4" w:anchor="_Toc142312694" w:history="1">
            <w:r>
              <w:rPr>
                <w:rStyle w:val="1267"/>
              </w:rPr>
              <w:t xml:space="preserve">1.3.15. Наименование организации, которая наделена статусом гарантирующей организации.</w:t>
            </w:r>
            <w:r>
              <w:tab/>
            </w:r>
            <w:r>
              <w:fldChar w:fldCharType="begin"/>
            </w:r>
            <w:r>
              <w:instrText xml:space="preserve"> PAGEREF _Toc142312694 \h </w:instrText>
            </w:r>
            <w:r>
              <w:fldChar w:fldCharType="separate"/>
            </w:r>
            <w:r>
              <w:t xml:space="preserve">143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695" w:anchor="_Toc142312695" w:history="1">
            <w:r>
              <w:rPr>
                <w:rStyle w:val="1267"/>
              </w:rPr>
              <w:t xml:space="preserve">1.4.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_Toc142312695 \h </w:instrText>
            </w:r>
            <w:r>
              <w:fldChar w:fldCharType="separate"/>
            </w:r>
            <w:r>
              <w:t xml:space="preserve">144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6" w:anchor="_Toc142312696" w:history="1">
            <w:r>
              <w:rPr>
                <w:rStyle w:val="1267"/>
              </w:rPr>
              <w:t xml:space="preserve">1.4.1. Перечень основных мероприятий по реализации схем водоснабжения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_Toc142312696 \h </w:instrText>
            </w:r>
            <w:r>
              <w:fldChar w:fldCharType="separate"/>
            </w:r>
            <w:r>
              <w:t xml:space="preserve">144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7" w:anchor="_Toc142312697" w:history="1">
            <w:r>
              <w:rPr>
                <w:rStyle w:val="1267"/>
              </w:rPr>
              <w:t xml:space="preserve">1.4.2. 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характерис</w:t>
            </w:r>
            <w:r>
              <w:rPr>
                <w:rStyle w:val="1267"/>
              </w:rPr>
              <w:t xml:space="preserve">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Схемами.</w:t>
            </w:r>
            <w:r>
              <w:tab/>
            </w:r>
            <w:r>
              <w:fldChar w:fldCharType="begin"/>
            </w:r>
            <w:r>
              <w:instrText xml:space="preserve"> PAGEREF _Toc142312697 \h </w:instrText>
            </w:r>
            <w:r>
              <w:fldChar w:fldCharType="separate"/>
            </w:r>
            <w:r>
              <w:t xml:space="preserve">146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8" w:anchor="_Toc142312698" w:history="1">
            <w:r>
              <w:rPr>
                <w:rStyle w:val="1267"/>
              </w:rPr>
              <w:t xml:space="preserve">1.4.3. Сведения о вновь строящихся, реконструируемых и предлагаемых к выводу из эксплуатации объектах системы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_Toc142312698 \h </w:instrText>
            </w:r>
            <w:r>
              <w:fldChar w:fldCharType="separate"/>
            </w:r>
            <w:r>
              <w:t xml:space="preserve">148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699" w:anchor="_Toc142312699" w:history="1">
            <w:r>
              <w:rPr>
                <w:rStyle w:val="1267"/>
              </w:rPr>
              <w:t xml:space="preserve"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>
              <w:tab/>
            </w:r>
            <w:r>
              <w:fldChar w:fldCharType="begin"/>
            </w:r>
            <w:r>
              <w:instrText xml:space="preserve"> PAGEREF _Toc142312699 \h </w:instrText>
            </w:r>
            <w:r>
              <w:fldChar w:fldCharType="separate"/>
            </w:r>
            <w:r>
              <w:t xml:space="preserve">152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0" w:anchor="_Toc142312700" w:history="1">
            <w:r>
              <w:rPr>
                <w:rStyle w:val="1267"/>
              </w:rPr>
              <w:t xml:space="preserve">1.4.5. Сведения об оснащенности зданий, строений, сооружений приборами учета воды и их применении при осуществлении расчетов за потребленную воду.</w:t>
            </w:r>
            <w:r>
              <w:tab/>
            </w:r>
            <w:r>
              <w:fldChar w:fldCharType="begin"/>
            </w:r>
            <w:r>
              <w:instrText xml:space="preserve"> PAGEREF _Toc142312700 \h </w:instrText>
            </w:r>
            <w:r>
              <w:fldChar w:fldCharType="separate"/>
            </w:r>
            <w:r>
              <w:t xml:space="preserve">153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1" w:anchor="_Toc142312701" w:history="1">
            <w:r>
              <w:rPr>
                <w:rStyle w:val="1267"/>
              </w:rPr>
              <w:t xml:space="preserve">1.4.6. Описание вариантов маршрутов прохождения трубопроводов (трасс) по территории населенного пункта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_Toc142312701 \h </w:instrText>
            </w:r>
            <w:r>
              <w:fldChar w:fldCharType="separate"/>
            </w:r>
            <w:r>
              <w:t xml:space="preserve">155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2" w:anchor="_Toc142312702" w:history="1">
            <w:r>
              <w:rPr>
                <w:rStyle w:val="1267"/>
              </w:rPr>
              <w:t xml:space="preserve">1.4.7. Рекомендации о месте размещения насосных станций, резервуаров, водонапорных башен.</w:t>
            </w:r>
            <w:r>
              <w:tab/>
            </w:r>
            <w:r>
              <w:fldChar w:fldCharType="begin"/>
            </w:r>
            <w:r>
              <w:instrText xml:space="preserve"> PAGEREF _Toc142312702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3" w:anchor="_Toc142312703" w:history="1">
            <w:r>
              <w:rPr>
                <w:rStyle w:val="1267"/>
              </w:rPr>
              <w:t xml:space="preserve">1.4.8. Границы планируемых зон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_Toc142312703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4" w:anchor="_Toc142312704" w:history="1">
            <w:r>
              <w:rPr>
                <w:rStyle w:val="1267"/>
              </w:rPr>
              <w:t xml:space="preserve">1.4.9. 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_Toc142312704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05" w:anchor="_Toc142312705" w:history="1">
            <w:r>
              <w:rPr>
                <w:rStyle w:val="1267"/>
              </w:rPr>
              <w:t xml:space="preserve">1.5.</w:t>
            </w:r>
            <w:r>
              <w:rPr>
                <w:rStyle w:val="1267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_Toc142312705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6" w:anchor="_Toc142312706" w:history="1">
            <w:r>
              <w:rPr>
                <w:rStyle w:val="1267"/>
              </w:rPr>
              <w:t xml:space="preserve"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    </w:r>
            <w:r>
              <w:tab/>
            </w:r>
            <w:r>
              <w:fldChar w:fldCharType="begin"/>
            </w:r>
            <w:r>
              <w:instrText xml:space="preserve"> PAGEREF _Toc142312706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7" w:anchor="_Toc142312707" w:history="1">
            <w:r>
              <w:rPr>
                <w:rStyle w:val="1267"/>
              </w:rPr>
              <w:t xml:space="preserve"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>
              <w:tab/>
            </w:r>
            <w:r>
              <w:fldChar w:fldCharType="begin"/>
            </w:r>
            <w:r>
              <w:instrText xml:space="preserve"> PAGEREF _Toc142312707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08" w:anchor="_Toc142312708" w:history="1">
            <w:r>
              <w:rPr>
                <w:rStyle w:val="1267"/>
              </w:rPr>
              <w:t xml:space="preserve">1.6.</w:t>
            </w:r>
            <w:r>
              <w:rPr>
                <w:rStyle w:val="1267"/>
              </w:rPr>
              <w:t xml:space="preserve">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_Toc142312708 \h </w:instrText>
            </w:r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09" w:anchor="_Toc142312709" w:history="1">
            <w:r>
              <w:rPr>
                <w:rStyle w:val="1267"/>
              </w:rPr>
              <w:t xml:space="preserve">1.6.1. Оценка стоимости основных мероприятий по реализации схем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_Toc142312709 \h </w:instrText>
            </w:r>
            <w:r>
              <w:fldChar w:fldCharType="separate"/>
            </w:r>
            <w:r>
              <w:t xml:space="preserve">157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0" w:anchor="_Toc142312710" w:history="1">
            <w:r>
              <w:rPr>
                <w:rStyle w:val="1267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финансирования.</w:t>
            </w:r>
            <w:r>
              <w:tab/>
            </w:r>
            <w:r>
              <w:fldChar w:fldCharType="begin"/>
            </w:r>
            <w:r>
              <w:instrText xml:space="preserve"> PAGEREF _Toc142312710 \h </w:instrText>
            </w:r>
            <w:r>
              <w:fldChar w:fldCharType="separate"/>
            </w:r>
            <w:r>
              <w:t xml:space="preserve">158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11" w:anchor="_Toc142312711" w:history="1">
            <w:r>
              <w:rPr>
                <w:rStyle w:val="1267"/>
              </w:rPr>
              <w:t xml:space="preserve">1.7.</w:t>
            </w:r>
            <w:r>
              <w:rPr>
                <w:rStyle w:val="1267"/>
              </w:rPr>
              <w:t xml:space="preserve"> Цены (тарифы) в сфере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_Toc142312711 \h </w:instrText>
            </w:r>
            <w:r>
              <w:fldChar w:fldCharType="separate"/>
            </w:r>
            <w:r>
              <w:t xml:space="preserve">162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2" w:anchor="_Toc142312712" w:history="1">
            <w:r>
              <w:rPr>
                <w:rStyle w:val="1267"/>
              </w:rPr>
              <w:t xml:space="preserve">1.7.1.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_Toc142312712 \h </w:instrText>
            </w:r>
            <w:r>
              <w:fldChar w:fldCharType="separate"/>
            </w:r>
            <w:r>
              <w:t xml:space="preserve">162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3" w:anchor="_Toc142312713" w:history="1">
            <w:r>
              <w:rPr>
                <w:rStyle w:val="1267"/>
              </w:rPr>
              <w:t xml:space="preserve">1.7.2. Структура цен (тарифов), установленных на момент актуализации схемы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_Toc142312713 \h </w:instrText>
            </w:r>
            <w:r>
              <w:fldChar w:fldCharType="separate"/>
            </w:r>
            <w:r>
              <w:t xml:space="preserve">163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4" w:anchor="_Toc142312714" w:history="1">
            <w:r>
              <w:rPr>
                <w:rStyle w:val="1267"/>
              </w:rPr>
              <w:t xml:space="preserve">1.7.3. Плата за подключение к системе водоснабжения и поступление денежных средств от осуществления деятельности по водоснабжению.</w:t>
            </w:r>
            <w:r>
              <w:tab/>
            </w:r>
            <w:r>
              <w:fldChar w:fldCharType="begin"/>
            </w:r>
            <w:r>
              <w:instrText xml:space="preserve"> PAGEREF _Toc142312714 \h </w:instrText>
            </w:r>
            <w:r>
              <w:fldChar w:fldCharType="separate"/>
            </w:r>
            <w:r>
              <w:t xml:space="preserve">164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15" w:anchor="_Toc142312715" w:history="1">
            <w:r>
              <w:rPr>
                <w:rStyle w:val="1267"/>
              </w:rPr>
              <w:t xml:space="preserve">1.8.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_Toc142312715 \h </w:instrText>
            </w:r>
            <w:r>
              <w:fldChar w:fldCharType="separate"/>
            </w:r>
            <w:r>
              <w:t xml:space="preserve">164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6" w:anchor="_Toc142312716" w:history="1">
            <w:r>
              <w:rPr>
                <w:rStyle w:val="1267"/>
              </w:rPr>
              <w:t xml:space="preserve">1.8.1. Показатели качества воды.</w:t>
            </w:r>
            <w:r>
              <w:tab/>
            </w:r>
            <w:r>
              <w:fldChar w:fldCharType="begin"/>
            </w:r>
            <w:r>
              <w:instrText xml:space="preserve"> PAGEREF _Toc142312716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7" w:anchor="_Toc142312717" w:history="1">
            <w:r>
              <w:rPr>
                <w:rStyle w:val="1267"/>
              </w:rPr>
              <w:t xml:space="preserve">1.8.2. Показатели надежности и бесперебойности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_Toc142312717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8" w:anchor="_Toc142312718" w:history="1">
            <w:r>
              <w:rPr>
                <w:rStyle w:val="1267"/>
              </w:rPr>
              <w:t xml:space="preserve">1.8.3. Показатели эффективности использования ресурсов, в том числе уровень потерь воды (тепловой энергии в составе горячей воды).</w:t>
            </w:r>
            <w:r>
              <w:tab/>
            </w:r>
            <w:r>
              <w:fldChar w:fldCharType="begin"/>
            </w:r>
            <w:r>
              <w:instrText xml:space="preserve"> PAGEREF _Toc142312718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19" w:anchor="_Toc142312719" w:history="1">
            <w:r>
              <w:rPr>
                <w:rStyle w:val="1267"/>
              </w:rPr>
              <w:t xml:space="preserve">1.8.4.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>
              <w:tab/>
            </w:r>
            <w:r>
              <w:fldChar w:fldCharType="begin"/>
            </w:r>
            <w:r>
              <w:instrText xml:space="preserve"> PAGEREF _Toc142312719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20" w:anchor="_Toc142312720" w:history="1">
            <w:r>
              <w:rPr>
                <w:rStyle w:val="1267"/>
              </w:rPr>
              <w:t xml:space="preserve">1.9.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_Toc142312720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1" w:anchor="_Toc142312721" w:history="1">
            <w:r>
              <w:rPr>
                <w:rStyle w:val="1267"/>
              </w:rPr>
              <w:t xml:space="preserve">1.9.1. Перечень выявленных бесхозяйных объектов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_Toc142312721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2" w:anchor="_Toc142312722" w:history="1">
            <w:r>
              <w:rPr>
                <w:rStyle w:val="1267"/>
              </w:rPr>
              <w:t xml:space="preserve">1.9.2. Перечень организаций, уполномоченных на эксплуатацию выявленных бесхозяйных объектов централизованных систем водоснабжения на территории с. Толька.</w:t>
            </w:r>
            <w:r>
              <w:tab/>
            </w:r>
            <w:r>
              <w:fldChar w:fldCharType="begin"/>
            </w:r>
            <w:r>
              <w:instrText xml:space="preserve"> PAGEREF _Toc142312722 \h </w:instrText>
            </w:r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723" w:anchor="_Toc142312723" w:history="1">
            <w:r>
              <w:rPr>
                <w:rStyle w:val="1267"/>
              </w:rPr>
              <w:t xml:space="preserve">II. Схема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_Toc142312723 \h </w:instrText>
            </w:r>
            <w:r>
              <w:fldChar w:fldCharType="separate"/>
            </w:r>
            <w:r>
              <w:t xml:space="preserve">169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24" w:anchor="_Toc142312724" w:history="1">
            <w:r>
              <w:rPr>
                <w:rStyle w:val="1267"/>
              </w:rPr>
              <w:t xml:space="preserve">2.1.</w:t>
            </w:r>
            <w:r>
              <w:rPr>
                <w:rStyle w:val="1267"/>
              </w:rPr>
              <w:t xml:space="preserve"> Существующее положение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_Toc142312724 \h </w:instrText>
            </w:r>
            <w:r>
              <w:fldChar w:fldCharType="separate"/>
            </w:r>
            <w:r>
              <w:t xml:space="preserve">169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5" w:anchor="_Toc142312725" w:history="1">
            <w:r>
              <w:rPr>
                <w:rStyle w:val="1267"/>
              </w:rPr>
              <w:t xml:space="preserve">2.1.1. Описание структуры системы сбора, очистки и отведения сточных вод на территории населенного пункта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_Toc142312725 \h </w:instrText>
            </w:r>
            <w:r>
              <w:fldChar w:fldCharType="separate"/>
            </w:r>
            <w:r>
              <w:t xml:space="preserve">169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6" w:anchor="_Toc142312726" w:history="1">
            <w:r>
              <w:rPr>
                <w:rStyle w:val="1267"/>
              </w:rPr>
      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</w:t>
            </w:r>
            <w:r>
              <w:rPr>
                <w:rStyle w:val="1267"/>
              </w:rPr>
              <w:t xml:space="preserve">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>
              <w:tab/>
            </w:r>
            <w:r>
              <w:fldChar w:fldCharType="begin"/>
            </w:r>
            <w:r>
              <w:instrText xml:space="preserve"> PAGEREF _Toc142312726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7" w:anchor="_Toc142312727" w:history="1">
            <w:r>
              <w:rPr>
                <w:rStyle w:val="1267"/>
              </w:rPr>
              <w:t xml:space="preserve">2.1.3. Описание технологических </w:t>
            </w:r>
            <w:r>
              <w:rPr>
                <w:rStyle w:val="1267"/>
              </w:rPr>
              <w:t xml:space="preserve">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_Toc142312727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8" w:anchor="_Toc142312728" w:history="1">
            <w:r>
              <w:rPr>
                <w:rStyle w:val="1267"/>
              </w:rPr>
              <w:t xml:space="preserve"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_Toc142312728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29" w:anchor="_Toc142312729" w:history="1">
            <w:r>
              <w:rPr>
                <w:rStyle w:val="1267"/>
              </w:rPr>
              <w:t xml:space="preserve">2</w:t>
            </w:r>
            <w:r>
              <w:rPr>
                <w:rStyle w:val="1267"/>
              </w:rPr>
              <w:t xml:space="preserve">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_Toc142312729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0" w:anchor="_Toc142312730" w:history="1">
            <w:r>
              <w:rPr>
                <w:rStyle w:val="1267"/>
              </w:rPr>
              <w:t xml:space="preserve">2.1.6. Оценка безопасности и надежности объектов централизованной системы водоотведения и их управляемости.</w:t>
            </w:r>
            <w:r>
              <w:tab/>
            </w:r>
            <w:r>
              <w:fldChar w:fldCharType="begin"/>
            </w:r>
            <w:r>
              <w:instrText xml:space="preserve"> PAGEREF _Toc142312730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1" w:anchor="_Toc142312731" w:history="1">
            <w:r>
              <w:rPr>
                <w:rStyle w:val="1267"/>
              </w:rPr>
              <w:t xml:space="preserve">2.1.7. Оценка воздействия сбросов сточных вод через централизованную систему водоотведения на окружающую среду.</w:t>
            </w:r>
            <w:r>
              <w:tab/>
            </w:r>
            <w:r>
              <w:fldChar w:fldCharType="begin"/>
            </w:r>
            <w:r>
              <w:instrText xml:space="preserve"> PAGEREF _Toc142312731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2" w:anchor="_Toc142312732" w:history="1">
            <w:r>
              <w:rPr>
                <w:rStyle w:val="1267"/>
              </w:rPr>
              <w:t xml:space="preserve">2.1.8. Описание территорий муниципального образования, не охваченных централизованной системой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_Toc142312732 \h </w:instrText>
            </w:r>
            <w:r>
              <w:fldChar w:fldCharType="separate"/>
            </w:r>
            <w:r>
              <w:t xml:space="preserve">170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3" w:anchor="_Toc142312733" w:history="1">
            <w:r>
              <w:rPr>
                <w:rStyle w:val="1267"/>
              </w:rPr>
              <w:t xml:space="preserve">2.1.9. Описание существующих технических и технологических проблем системы водоотведения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_Toc142312733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4" w:anchor="_Toc142312734" w:history="1">
            <w:r>
              <w:rPr>
                <w:rStyle w:val="1267"/>
              </w:rPr>
              <w:t xml:space="preserve">2.1.10. Сведения об отнесении централизованной системы водоотведения (канализации) к централизованным системам водоотведения населенного пункта, включающие перечень и описание централизованных систем водоотв</w:t>
            </w:r>
            <w:r>
              <w:rPr>
                <w:rStyle w:val="1267"/>
              </w:rPr>
              <w:t xml:space="preserve">едения (канализации), отнесенных к централизованным системам водоотведения населенного пункта,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</w:t>
            </w:r>
            <w:r>
              <w:rPr>
                <w:rStyle w:val="1267"/>
              </w:rPr>
              <w:t xml:space="preserve">(канализации), о мощности очистных сооружений и применяемых на них технологиях очистки сточных вод, среднегодовом объеме принимаемых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_Toc142312734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35" w:anchor="_Toc142312735" w:history="1">
            <w:r>
              <w:rPr>
                <w:rStyle w:val="1267"/>
              </w:rPr>
              <w:t xml:space="preserve">2.2.</w:t>
            </w:r>
            <w:r>
              <w:rPr>
                <w:rStyle w:val="1267"/>
              </w:rPr>
              <w:t xml:space="preserve"> Балансы сточных вод в системе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_Toc142312735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6" w:anchor="_Toc142312736" w:history="1">
            <w:r>
              <w:rPr>
                <w:rStyle w:val="1267"/>
              </w:rPr>
              <w:t xml:space="preserve">2.2.1. 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_Toc142312736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7" w:anchor="_Toc142312737" w:history="1">
            <w:r>
              <w:rPr>
                <w:rStyle w:val="1267"/>
              </w:rPr>
              <w:t xml:space="preserve">2.2.2. Оценка 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_Toc142312737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8" w:anchor="_Toc142312738" w:history="1">
            <w:r>
              <w:rPr>
                <w:rStyle w:val="1267"/>
              </w:rPr>
              <w:t xml:space="preserve"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      </w:r>
            <w:r>
              <w:tab/>
            </w:r>
            <w:r>
              <w:fldChar w:fldCharType="begin"/>
            </w:r>
            <w:r>
              <w:instrText xml:space="preserve"> PAGEREF _Toc142312738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39" w:anchor="_Toc142312739" w:history="1">
            <w:r>
              <w:rPr>
                <w:rStyle w:val="1267"/>
              </w:rPr>
              <w:t xml:space="preserve">2.2.4. Ре</w:t>
            </w:r>
            <w:r>
              <w:rPr>
                <w:rStyle w:val="1267"/>
              </w:rPr>
              <w:t xml:space="preserve">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пункту с выделением зон дефицитов и резервов производственных мощностей.</w:t>
            </w:r>
            <w:r>
              <w:tab/>
            </w:r>
            <w:r>
              <w:fldChar w:fldCharType="begin"/>
            </w:r>
            <w:r>
              <w:instrText xml:space="preserve"> PAGEREF _Toc142312739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0" w:anchor="_Toc142312740" w:history="1">
            <w:r>
              <w:rPr>
                <w:rStyle w:val="1267"/>
              </w:rPr>
              <w:t xml:space="preserve"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2038 года с учетом различных сценариев развития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_Toc142312740 \h </w:instrText>
            </w:r>
            <w:r>
              <w:fldChar w:fldCharType="separate"/>
            </w:r>
            <w:r>
              <w:t xml:space="preserve">171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41" w:anchor="_Toc142312741" w:history="1">
            <w:r>
              <w:rPr>
                <w:rStyle w:val="1267"/>
              </w:rPr>
              <w:t xml:space="preserve">2.3.</w:t>
            </w:r>
            <w:r>
              <w:rPr>
                <w:rStyle w:val="1267"/>
              </w:rPr>
              <w:t xml:space="preserve"> Прогноз объема сточных вод</w:t>
            </w:r>
            <w:r>
              <w:tab/>
            </w:r>
            <w:r>
              <w:fldChar w:fldCharType="begin"/>
            </w:r>
            <w:r>
              <w:instrText xml:space="preserve"> PAGEREF _Toc142312741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2" w:anchor="_Toc142312742" w:history="1">
            <w:r>
              <w:rPr>
                <w:rStyle w:val="1267"/>
              </w:rPr>
              <w:t xml:space="preserve">2.3.1. Сведения о фактическом и ожидаемом поступлении сточных вод в централизованную систему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_Toc142312742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3" w:anchor="_Toc142312743" w:history="1">
            <w:r>
              <w:rPr>
                <w:rStyle w:val="1267"/>
              </w:rPr>
              <w:t xml:space="preserve">2.3.2. Описание структуры централизованной системы водоотведения (эксплуатационные и технологические зоны).</w:t>
            </w:r>
            <w:r>
              <w:tab/>
            </w:r>
            <w:r>
              <w:fldChar w:fldCharType="begin"/>
            </w:r>
            <w:r>
              <w:instrText xml:space="preserve"> PAGEREF _Toc142312743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4" w:anchor="_Toc142312744" w:history="1">
            <w:r>
              <w:rPr>
                <w:rStyle w:val="1267"/>
              </w:rPr>
              <w:t xml:space="preserve"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_Toc142312744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5" w:anchor="_Toc142312745" w:history="1">
            <w:r>
              <w:rPr>
                <w:rStyle w:val="1267"/>
              </w:rPr>
              <w:t xml:space="preserve">2.3.4. Результаты анализа гидравлических режимов и режимов работы элементов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_Toc142312745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6" w:anchor="_Toc142312746" w:history="1">
            <w:r>
              <w:rPr>
                <w:rStyle w:val="1267"/>
              </w:rPr>
              <w:t xml:space="preserve"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>
              <w:tab/>
            </w:r>
            <w:r>
              <w:fldChar w:fldCharType="begin"/>
            </w:r>
            <w:r>
              <w:instrText xml:space="preserve"> PAGEREF _Toc142312746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47" w:anchor="_Toc142312747" w:history="1">
            <w:r>
              <w:rPr>
                <w:rStyle w:val="1267"/>
              </w:rPr>
              <w:t xml:space="preserve">2.4.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_Toc142312747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8" w:anchor="_Toc142312748" w:history="1">
            <w:r>
              <w:rPr>
                <w:rStyle w:val="1267"/>
              </w:rPr>
              <w:t xml:space="preserve">2.4.1. Основные направления, принципы, задачи и плановые значения показателей развития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_Toc142312748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49" w:anchor="_Toc142312749" w:history="1">
            <w:r>
              <w:rPr>
                <w:rStyle w:val="1267"/>
              </w:rPr>
              <w:t xml:space="preserve"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>
              <w:tab/>
            </w:r>
            <w:r>
              <w:fldChar w:fldCharType="begin"/>
            </w:r>
            <w:r>
              <w:instrText xml:space="preserve"> PAGEREF _Toc142312749 \h </w:instrText>
            </w:r>
            <w:r>
              <w:fldChar w:fldCharType="separate"/>
            </w:r>
            <w:r>
              <w:t xml:space="preserve">172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0" w:anchor="_Toc142312750" w:history="1">
            <w:r>
              <w:rPr>
                <w:rStyle w:val="1267"/>
              </w:rPr>
              <w:t xml:space="preserve">2.4.3. Технические обоснования основных мероприятий по реализации схем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_Toc142312750 \h </w:instrText>
            </w:r>
            <w:r>
              <w:fldChar w:fldCharType="separate"/>
            </w:r>
            <w:r>
              <w:t xml:space="preserve">173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1" w:anchor="_Toc142312751" w:history="1">
            <w:r>
              <w:rPr>
                <w:rStyle w:val="1267"/>
              </w:rPr>
              <w:t xml:space="preserve">2.4.4. 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_Toc142312751 \h </w:instrText>
            </w:r>
            <w:r>
              <w:fldChar w:fldCharType="separate"/>
            </w:r>
            <w:r>
              <w:t xml:space="preserve">173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2" w:anchor="_Toc142312752" w:history="1">
            <w:r>
              <w:rPr>
                <w:rStyle w:val="1267"/>
              </w:rPr>
              <w:t xml:space="preserve"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  <w:r>
              <w:tab/>
            </w:r>
            <w:r>
              <w:fldChar w:fldCharType="begin"/>
            </w:r>
            <w:r>
              <w:instrText xml:space="preserve"> PAGEREF _Toc142312752 \h </w:instrText>
            </w:r>
            <w:r>
              <w:fldChar w:fldCharType="separate"/>
            </w:r>
            <w:r>
              <w:t xml:space="preserve">174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3" w:anchor="_Toc142312753" w:history="1">
            <w:r>
              <w:rPr>
                <w:rStyle w:val="1267"/>
              </w:rPr>
              <w:t xml:space="preserve">2.4.6. 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_Toc142312753 \h </w:instrText>
            </w:r>
            <w:r>
              <w:fldChar w:fldCharType="separate"/>
            </w:r>
            <w:r>
              <w:t xml:space="preserve">174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4" w:anchor="_Toc142312754" w:history="1">
            <w:r>
              <w:rPr>
                <w:rStyle w:val="1267"/>
              </w:rPr>
              <w:t xml:space="preserve">2.4.7. Границы и характеристики охранных зон сетей и сооружений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_Toc142312754 \h </w:instrText>
            </w:r>
            <w:r>
              <w:fldChar w:fldCharType="separate"/>
            </w:r>
            <w:r>
              <w:t xml:space="preserve">175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5" w:anchor="_Toc142312755" w:history="1">
            <w:r>
              <w:rPr>
                <w:rStyle w:val="1267"/>
              </w:rPr>
              <w:t xml:space="preserve">2.4.8. Границы планируемых зон размещения объектов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_Toc142312755 \h </w:instrText>
            </w:r>
            <w:r>
              <w:fldChar w:fldCharType="separate"/>
            </w:r>
            <w:r>
              <w:t xml:space="preserve">175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56" w:anchor="_Toc142312756" w:history="1">
            <w:r>
              <w:rPr>
                <w:rStyle w:val="1267"/>
              </w:rPr>
              <w:t xml:space="preserve">2.5.</w:t>
            </w:r>
            <w:r>
              <w:rPr>
                <w:rStyle w:val="1267"/>
              </w:rPr>
              <w:t xml:space="preserve"> Экологические аспекты мероприятий по строительству и реконструкции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_Toc142312756 \h </w:instrText>
            </w:r>
            <w:r>
              <w:fldChar w:fldCharType="separate"/>
            </w:r>
            <w:r>
              <w:t xml:space="preserve">175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7" w:anchor="_Toc142312757" w:history="1">
            <w:r>
              <w:rPr>
                <w:rStyle w:val="1267"/>
              </w:rPr>
              <w:t xml:space="preserve">2.5.1.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среды.</w:t>
            </w:r>
            <w:r>
              <w:tab/>
            </w:r>
            <w:r>
              <w:fldChar w:fldCharType="begin"/>
            </w:r>
            <w:r>
              <w:instrText xml:space="preserve"> PAGEREF _Toc142312757 \h </w:instrText>
            </w:r>
            <w:r>
              <w:fldChar w:fldCharType="separate"/>
            </w:r>
            <w:r>
              <w:t xml:space="preserve">175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58" w:anchor="_Toc142312758" w:history="1">
            <w:r>
              <w:rPr>
                <w:rStyle w:val="1267"/>
              </w:rPr>
              <w:t xml:space="preserve">2.5.2. Сведения о применении методов, безопасных для окружающей среды, при утилизации осадков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_Toc142312758 \h </w:instrText>
            </w:r>
            <w:r>
              <w:fldChar w:fldCharType="separate"/>
            </w:r>
            <w:r>
              <w:t xml:space="preserve">176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59" w:anchor="_Toc142312759" w:history="1">
            <w:r>
              <w:rPr>
                <w:rStyle w:val="1267"/>
              </w:rPr>
              <w:t xml:space="preserve">2.6.</w:t>
            </w:r>
            <w:r>
              <w:rPr>
                <w:rStyle w:val="1267"/>
              </w:rPr>
      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_Toc142312759 \h </w:instrText>
            </w:r>
            <w:r>
              <w:fldChar w:fldCharType="separate"/>
            </w:r>
            <w:r>
              <w:t xml:space="preserve">176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0" w:anchor="_Toc142312760" w:history="1">
            <w:r>
              <w:rPr>
                <w:rStyle w:val="1267"/>
              </w:rPr>
              <w:t xml:space="preserve">2.6.1. Оценка потребности в капитальных вложения</w:t>
            </w:r>
            <w:r>
              <w:rPr>
                <w:rStyle w:val="1267"/>
              </w:rPr>
              <w:t xml:space="preserve">х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</w:t>
            </w:r>
            <w:r>
              <w:rPr>
                <w:rStyle w:val="1267"/>
              </w:rPr>
              <w:t xml:space="preserve">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</w:t>
            </w:r>
            <w:r>
              <w:tab/>
            </w:r>
            <w:r>
              <w:fldChar w:fldCharType="begin"/>
            </w:r>
            <w:r>
              <w:instrText xml:space="preserve"> PAGEREF _Toc142312760 \h </w:instrText>
            </w:r>
            <w:r>
              <w:fldChar w:fldCharType="separate"/>
            </w:r>
            <w:r>
              <w:t xml:space="preserve">176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61" w:anchor="_Toc142312761" w:history="1">
            <w:r>
              <w:rPr>
                <w:rStyle w:val="1267"/>
              </w:rPr>
              <w:t xml:space="preserve">2.7.</w:t>
            </w:r>
            <w:r>
              <w:rPr>
                <w:rStyle w:val="1267"/>
              </w:rPr>
              <w:t xml:space="preserve"> Цены (тарифы)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_Toc142312761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2" w:anchor="_Toc142312762" w:history="1">
            <w:r>
              <w:rPr>
                <w:rStyle w:val="1267"/>
              </w:rPr>
              <w:t xml:space="preserve">2.7.1.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_Toc142312762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3" w:anchor="_Toc142312763" w:history="1">
            <w:r>
              <w:rPr>
                <w:rStyle w:val="1267"/>
              </w:rPr>
              <w:t xml:space="preserve">2.7.2. Структура цен (тарифов), установленных на момент актуализации схемы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_Toc142312763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4" w:anchor="_Toc142312764" w:history="1">
            <w:r>
              <w:rPr>
                <w:rStyle w:val="1267"/>
              </w:rPr>
              <w:t xml:space="preserve">2.7.3. Плата за подключение к системе водоотведения и поступление денежных средств от осуществления деятельности по водоотведению.</w:t>
            </w:r>
            <w:r>
              <w:tab/>
            </w:r>
            <w:r>
              <w:fldChar w:fldCharType="begin"/>
            </w:r>
            <w:r>
              <w:instrText xml:space="preserve"> PAGEREF _Toc142312764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65" w:anchor="_Toc142312765" w:history="1">
            <w:r>
              <w:rPr>
                <w:rStyle w:val="1267"/>
              </w:rPr>
              <w:t xml:space="preserve">2.8.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_Toc142312765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6" w:anchor="_Toc142312766" w:history="1">
            <w:r>
              <w:rPr>
                <w:rStyle w:val="1267"/>
              </w:rPr>
              <w:t xml:space="preserve">2.8.1. Показатели надежности и бесперебойности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_Toc142312766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7" w:anchor="_Toc142312767" w:history="1">
            <w:r>
              <w:rPr>
                <w:rStyle w:val="1267"/>
              </w:rPr>
              <w:t xml:space="preserve">2.8.2. Показатели качества обслуживания абонентов.</w:t>
            </w:r>
            <w:r>
              <w:tab/>
            </w:r>
            <w:r>
              <w:fldChar w:fldCharType="begin"/>
            </w:r>
            <w:r>
              <w:instrText xml:space="preserve"> PAGEREF _Toc142312767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8" w:anchor="_Toc142312768" w:history="1">
            <w:r>
              <w:rPr>
                <w:rStyle w:val="1267"/>
              </w:rPr>
              <w:t xml:space="preserve">2.8.3. Показатели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_Toc142312768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69" w:anchor="_Toc142312769" w:history="1">
            <w:r>
              <w:rPr>
                <w:rStyle w:val="1267"/>
              </w:rPr>
              <w:t xml:space="preserve">2.8.4. Показатели эффективности использования ресурсов при транспортировке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_Toc142312769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0" w:anchor="_Toc142312770" w:history="1">
            <w:r>
              <w:rPr>
                <w:rStyle w:val="1267"/>
              </w:rPr>
              <w:t xml:space="preserve">2.8.5. Соотношение цены реализации мероприятий инвестиционной программы и их эффективности - улучшение качества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_Toc142312770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1" w:anchor="_Toc142312771" w:history="1">
            <w:r>
              <w:rPr>
                <w:rStyle w:val="1267"/>
              </w:rPr>
              <w:t xml:space="preserve">2.8.6.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>
              <w:tab/>
            </w:r>
            <w:r>
              <w:fldChar w:fldCharType="begin"/>
            </w:r>
            <w:r>
              <w:instrText xml:space="preserve"> PAGEREF _Toc142312771 \h </w:instrText>
            </w:r>
            <w:r>
              <w:fldChar w:fldCharType="separate"/>
            </w:r>
            <w:r>
              <w:t xml:space="preserve">179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72" w:anchor="_Toc142312772" w:history="1">
            <w:r>
              <w:rPr>
                <w:rStyle w:val="1267"/>
              </w:rPr>
              <w:t xml:space="preserve">2.9.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_Toc142312772 \h </w:instrText>
            </w:r>
            <w:r>
              <w:fldChar w:fldCharType="separate"/>
            </w:r>
            <w:r>
              <w:t xml:space="preserve">180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3" w:anchor="_Toc142312773" w:history="1">
            <w:r>
              <w:rPr>
                <w:rStyle w:val="1267"/>
              </w:rPr>
              <w:t xml:space="preserve">2.9.1.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      </w:r>
            <w:r>
              <w:tab/>
            </w:r>
            <w:r>
              <w:fldChar w:fldCharType="begin"/>
            </w:r>
            <w:r>
              <w:instrText xml:space="preserve"> PAGEREF _Toc142312773 \h </w:instrText>
            </w:r>
            <w:r>
              <w:fldChar w:fldCharType="separate"/>
            </w:r>
            <w:r>
              <w:t xml:space="preserve">180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774" w:anchor="_Toc142312774" w:history="1">
            <w:r>
              <w:rPr>
                <w:rStyle w:val="1267"/>
              </w:rPr>
              <w:t xml:space="preserve">Том 3. СЕЛО РАТТА</w:t>
            </w:r>
            <w:r>
              <w:tab/>
            </w:r>
            <w:r>
              <w:fldChar w:fldCharType="begin"/>
            </w:r>
            <w:r>
              <w:instrText xml:space="preserve"> PAGEREF _Toc142312774 \h </w:instrText>
            </w:r>
            <w:r>
              <w:fldChar w:fldCharType="separate"/>
            </w:r>
            <w:r>
              <w:t xml:space="preserve">181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775" w:anchor="_Toc142312775" w:history="1">
            <w:r>
              <w:rPr>
                <w:rStyle w:val="1267"/>
              </w:rPr>
              <w:t xml:space="preserve">I. Схема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_Toc142312775 \h </w:instrText>
            </w:r>
            <w:r>
              <w:fldChar w:fldCharType="separate"/>
            </w:r>
            <w:r>
              <w:t xml:space="preserve">181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76" w:anchor="_Toc142312776" w:history="1">
            <w:r>
              <w:rPr>
                <w:rStyle w:val="1267"/>
              </w:rPr>
              <w:t xml:space="preserve">1.1.</w:t>
            </w:r>
            <w:r>
              <w:rPr>
                <w:rStyle w:val="1267"/>
              </w:rPr>
              <w:t xml:space="preserve"> Технико-экономическое состояние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_Toc142312776 \h </w:instrText>
            </w:r>
            <w:r>
              <w:fldChar w:fldCharType="separate"/>
            </w:r>
            <w:r>
              <w:t xml:space="preserve">181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7" w:anchor="_Toc142312777" w:history="1">
            <w:r>
              <w:rPr>
                <w:rStyle w:val="1267"/>
              </w:rPr>
              <w:t xml:space="preserve">1.1.1. Описание системы и структуры водоснабжения и деление территории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_Toc142312777 \h </w:instrText>
            </w:r>
            <w:r>
              <w:fldChar w:fldCharType="separate"/>
            </w:r>
            <w:r>
              <w:t xml:space="preserve">181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8" w:anchor="_Toc142312778" w:history="1">
            <w:r>
              <w:rPr>
                <w:rStyle w:val="1267"/>
              </w:rPr>
              <w:t xml:space="preserve">1.1.2. Описание территорий населенного пункта, не охваченных централизованными системами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_Toc142312778 \h </w:instrText>
            </w:r>
            <w:r>
              <w:fldChar w:fldCharType="separate"/>
            </w:r>
            <w:r>
              <w:t xml:space="preserve">182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79" w:anchor="_Toc142312779" w:history="1">
            <w:r>
              <w:rPr>
                <w:rStyle w:val="1267"/>
              </w:rPr>
              <w:t xml:space="preserve">1.1.3. 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_Toc142312779 \h </w:instrText>
            </w:r>
            <w:r>
              <w:fldChar w:fldCharType="separate"/>
            </w:r>
            <w:r>
              <w:t xml:space="preserve">183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0" w:anchor="_Toc142312780" w:history="1">
            <w:r>
              <w:rPr>
                <w:rStyle w:val="1267"/>
              </w:rPr>
              <w:t xml:space="preserve">1.1.4. Описание результатов технического обследования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_Toc142312780 \h </w:instrText>
            </w:r>
            <w:r>
              <w:fldChar w:fldCharType="separate"/>
            </w:r>
            <w:r>
              <w:t xml:space="preserve">183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1" w:anchor="_Toc142312781" w:history="1">
            <w:r>
              <w:rPr>
                <w:rStyle w:val="1267"/>
              </w:rPr>
              <w:t xml:space="preserve">1.1.4.1. Описание состояния существующих источников водоснабжения и водозаборных сооружений.</w:t>
            </w:r>
            <w:r>
              <w:tab/>
            </w:r>
            <w:r>
              <w:fldChar w:fldCharType="begin"/>
            </w:r>
            <w:r>
              <w:instrText xml:space="preserve"> PAGEREF _Toc142312781 \h </w:instrText>
            </w:r>
            <w:r>
              <w:fldChar w:fldCharType="separate"/>
            </w:r>
            <w:r>
              <w:t xml:space="preserve">184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2" w:anchor="_Toc142312782" w:history="1">
            <w:r>
              <w:rPr>
                <w:rStyle w:val="1267"/>
              </w:rPr>
              <w:t xml:space="preserve"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      </w:r>
            <w:r>
              <w:tab/>
            </w:r>
            <w:r>
              <w:fldChar w:fldCharType="begin"/>
            </w:r>
            <w:r>
              <w:instrText xml:space="preserve"> PAGEREF _Toc142312782 \h </w:instrText>
            </w:r>
            <w:r>
              <w:fldChar w:fldCharType="separate"/>
            </w:r>
            <w:r>
              <w:t xml:space="preserve">184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3" w:anchor="_Toc142312783" w:history="1">
            <w:r>
              <w:rPr>
                <w:rStyle w:val="1267"/>
              </w:rPr>
              <w:t xml:space="preserve">1.1.4.3. Описание состояния и функционирования существующих н</w:t>
            </w:r>
            <w:r>
              <w:rPr>
                <w:rStyle w:val="1267"/>
              </w:rPr>
              <w:t xml:space="preserve">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      </w:r>
            <w:r>
              <w:tab/>
            </w:r>
            <w:r>
              <w:fldChar w:fldCharType="begin"/>
            </w:r>
            <w:r>
              <w:instrText xml:space="preserve"> PAGEREF _Toc142312783 \h </w:instrText>
            </w:r>
            <w:r>
              <w:fldChar w:fldCharType="separate"/>
            </w:r>
            <w:r>
              <w:t xml:space="preserve">184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4" w:anchor="_Toc142312784" w:history="1">
            <w:r>
              <w:rPr>
                <w:rStyle w:val="1267"/>
              </w:rPr>
              <w:t xml:space="preserve"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      </w:r>
            <w:r>
              <w:tab/>
            </w:r>
            <w:r>
              <w:fldChar w:fldCharType="begin"/>
            </w:r>
            <w:r>
              <w:instrText xml:space="preserve"> PAGEREF _Toc142312784 \h </w:instrText>
            </w:r>
            <w:r>
              <w:fldChar w:fldCharType="separate"/>
            </w:r>
            <w:r>
              <w:t xml:space="preserve">184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5" w:anchor="_Toc142312785" w:history="1">
            <w:r>
              <w:rPr>
                <w:rStyle w:val="1267"/>
              </w:rPr>
              <w:t xml:space="preserve">1.1.4.5. Описание существующих технических технологических проблем, возникающих при водоснабжении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_Toc142312785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8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6" w:anchor="_Toc142312786" w:history="1">
            <w:r>
              <w:rPr>
                <w:rStyle w:val="1267"/>
              </w:rPr>
              <w:t xml:space="preserve"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_Toc142312786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7" w:anchor="_Toc142312787" w:history="1">
            <w:r>
              <w:rPr>
                <w:rStyle w:val="1267"/>
              </w:rPr>
              <w:t xml:space="preserve"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      </w:r>
            <w:r>
              <w:tab/>
            </w:r>
            <w:r>
              <w:fldChar w:fldCharType="begin"/>
            </w:r>
            <w:r>
              <w:instrText xml:space="preserve"> PAGEREF _Toc142312787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88" w:anchor="_Toc142312788" w:history="1">
            <w:r>
              <w:rPr>
                <w:rStyle w:val="1267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>
              <w:tab/>
            </w:r>
            <w:r>
              <w:fldChar w:fldCharType="begin"/>
            </w:r>
            <w:r>
              <w:instrText xml:space="preserve"> PAGEREF _Toc142312788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89" w:anchor="_Toc142312789" w:history="1">
            <w:r>
              <w:rPr>
                <w:rStyle w:val="1267"/>
              </w:rPr>
              <w:t xml:space="preserve">1.2.</w:t>
            </w:r>
            <w:r>
              <w:rPr>
                <w:rStyle w:val="1267"/>
              </w:rPr>
              <w:t xml:space="preserve"> Направления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_Toc142312789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0" w:anchor="_Toc142312790" w:history="1">
            <w:r>
              <w:rPr>
                <w:rStyle w:val="1267"/>
              </w:rPr>
              <w:t xml:space="preserve">1.2.1. Основные направления, принципы, задачи и плановые значения показателей развития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_Toc142312790 \h </w:instrText>
            </w:r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1" w:anchor="_Toc142312791" w:history="1">
            <w:r>
              <w:rPr>
                <w:rStyle w:val="1267"/>
              </w:rPr>
              <w:t xml:space="preserve">1.2.2. Различные сценарии развития централизованных систем водоснабжения в зависимости от различных сценариев развития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_Toc142312791 \h </w:instrText>
            </w:r>
            <w:r>
              <w:fldChar w:fldCharType="separate"/>
            </w:r>
            <w:r>
              <w:t xml:space="preserve">187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792" w:anchor="_Toc142312792" w:history="1">
            <w:r>
              <w:rPr>
                <w:rStyle w:val="1267"/>
              </w:rPr>
              <w:t xml:space="preserve">1.3.</w:t>
            </w:r>
            <w:r>
              <w:rPr>
                <w:rStyle w:val="1267"/>
              </w:rPr>
              <w:t xml:space="preserve"> Баланс водоснабжения и потребления горячей, питьевой, технической воды (при наличии)</w:t>
            </w:r>
            <w:r>
              <w:tab/>
            </w:r>
            <w:r>
              <w:fldChar w:fldCharType="begin"/>
            </w:r>
            <w:r>
              <w:instrText xml:space="preserve"> PAGEREF _Toc142312792 \h </w:instrText>
            </w:r>
            <w:r>
              <w:fldChar w:fldCharType="separate"/>
            </w:r>
            <w:r>
              <w:t xml:space="preserve">188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3" w:anchor="_Toc142312793" w:history="1">
            <w:r>
              <w:rPr>
                <w:rStyle w:val="1267"/>
              </w:rPr>
              <w:t xml:space="preserve">1.3.1. 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>
              <w:tab/>
            </w:r>
            <w:r>
              <w:fldChar w:fldCharType="begin"/>
            </w:r>
            <w:r>
              <w:instrText xml:space="preserve"> PAGEREF _Toc142312793 \h </w:instrText>
            </w:r>
            <w:r>
              <w:fldChar w:fldCharType="separate"/>
            </w:r>
            <w:r>
              <w:t xml:space="preserve">188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4" w:anchor="_Toc142312794" w:history="1">
            <w:r>
              <w:rPr>
                <w:rStyle w:val="1267"/>
              </w:rPr>
              <w:t xml:space="preserve">1.3.2.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водопотребления).</w:t>
            </w:r>
            <w:r>
              <w:tab/>
            </w:r>
            <w:r>
              <w:fldChar w:fldCharType="begin"/>
            </w:r>
            <w:r>
              <w:instrText xml:space="preserve"> PAGEREF _Toc142312794 \h </w:instrText>
            </w:r>
            <w:r>
              <w:fldChar w:fldCharType="separate"/>
            </w:r>
            <w:r>
              <w:t xml:space="preserve">189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5" w:anchor="_Toc142312795" w:history="1">
            <w:r>
              <w:rPr>
                <w:rStyle w:val="1267"/>
              </w:rPr>
              <w:t xml:space="preserve"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др.).</w:t>
            </w:r>
            <w:r>
              <w:tab/>
            </w:r>
            <w:r>
              <w:fldChar w:fldCharType="begin"/>
            </w:r>
            <w:r>
              <w:instrText xml:space="preserve"> PAGEREF _Toc142312795 \h </w:instrText>
            </w:r>
            <w:r>
              <w:fldChar w:fldCharType="separate"/>
            </w:r>
            <w:r>
              <w:t xml:space="preserve">189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6" w:anchor="_Toc142312796" w:history="1">
            <w:r>
              <w:rPr>
                <w:rStyle w:val="1267"/>
              </w:rPr>
              <w:t xml:space="preserve">1.3.4. Сведения о фактическом потреблении на</w:t>
            </w:r>
            <w:r>
              <w:rPr>
                <w:rStyle w:val="1267"/>
              </w:rPr>
              <w:t xml:space="preserve">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района.</w:t>
            </w:r>
            <w:r>
              <w:tab/>
            </w:r>
            <w:r>
              <w:fldChar w:fldCharType="begin"/>
            </w:r>
            <w:r>
              <w:instrText xml:space="preserve"> PAGEREF _Toc142312796 \h </w:instrText>
            </w:r>
            <w:r>
              <w:fldChar w:fldCharType="separate"/>
            </w:r>
            <w:r>
              <w:t xml:space="preserve">189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7" w:anchor="_Toc142312797" w:history="1">
            <w:r>
              <w:rPr>
                <w:rStyle w:val="1267"/>
              </w:rPr>
              <w:t xml:space="preserve">1.3.5. Описание существующей системы коммерческого учета горячей, питьевой, технической воды и планов по установке приборов учета.</w:t>
            </w:r>
            <w:r>
              <w:tab/>
            </w:r>
            <w:r>
              <w:fldChar w:fldCharType="begin"/>
            </w:r>
            <w:r>
              <w:instrText xml:space="preserve"> PAGEREF _Toc142312797 \h </w:instrText>
            </w:r>
            <w:r>
              <w:fldChar w:fldCharType="separate"/>
            </w:r>
            <w:r>
              <w:t xml:space="preserve">192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8" w:anchor="_Toc142312798" w:history="1">
            <w:r>
              <w:rPr>
                <w:rStyle w:val="1267"/>
              </w:rPr>
              <w:t xml:space="preserve">1.3.6. 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пункту).</w:t>
            </w:r>
            <w:r>
              <w:tab/>
            </w:r>
            <w:r>
              <w:fldChar w:fldCharType="begin"/>
            </w:r>
            <w:r>
              <w:instrText xml:space="preserve"> PAGEREF _Toc142312798 \h </w:instrText>
            </w:r>
            <w:r>
              <w:fldChar w:fldCharType="separate"/>
            </w:r>
            <w:r>
              <w:t xml:space="preserve">193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799" w:anchor="_Toc142312799" w:history="1">
            <w:r>
              <w:rPr>
                <w:rStyle w:val="1267"/>
              </w:rPr>
              <w:t xml:space="preserve">1.3.7. Прогнозные балансы потребления горячей, питьевой, технической воды на срок до 2038 года с учётом различных сценариев развития населенного пункта, рассчитанные на осн</w:t>
            </w:r>
            <w:r>
              <w:rPr>
                <w:rStyle w:val="1267"/>
              </w:rPr>
              <w:t xml:space="preserve">овании расхода горячей, питьевой, технической воды в соответствии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застройки.</w:t>
            </w:r>
            <w:r>
              <w:tab/>
            </w:r>
            <w:r>
              <w:fldChar w:fldCharType="begin"/>
            </w:r>
            <w:r>
              <w:instrText xml:space="preserve"> PAGEREF _Toc142312799 \h </w:instrText>
            </w:r>
            <w:r>
              <w:fldChar w:fldCharType="separate"/>
            </w:r>
            <w:r>
              <w:t xml:space="preserve">194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0" w:anchor="_Toc142312800" w:history="1">
            <w:r>
              <w:rPr>
                <w:rStyle w:val="1267"/>
              </w:rPr>
              <w:t xml:space="preserve"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>
              <w:tab/>
            </w:r>
            <w:r>
              <w:fldChar w:fldCharType="begin"/>
            </w:r>
            <w:r>
              <w:instrText xml:space="preserve"> PAGEREF _Toc142312800 \h </w:instrText>
            </w:r>
            <w:r>
              <w:fldChar w:fldCharType="separate"/>
            </w:r>
            <w:r>
              <w:t xml:space="preserve">194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1" w:anchor="_Toc142312801" w:history="1">
            <w:r>
              <w:rPr>
                <w:rStyle w:val="1267"/>
              </w:rPr>
              <w:t xml:space="preserve">1.3.9. Сведения о фактическом и ожидаемом потреблении горячей, питьевой, технической воды (годовое, среднесуточное, максимальное суточное).</w:t>
            </w:r>
            <w:r>
              <w:tab/>
            </w:r>
            <w:r>
              <w:fldChar w:fldCharType="begin"/>
            </w:r>
            <w:r>
              <w:instrText xml:space="preserve"> PAGEREF _Toc142312801 \h </w:instrText>
            </w:r>
            <w:r>
              <w:fldChar w:fldCharType="separate"/>
            </w:r>
            <w:r>
              <w:t xml:space="preserve">195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2" w:anchor="_Toc142312802" w:history="1">
            <w:r>
              <w:rPr>
                <w:rStyle w:val="1267"/>
              </w:rPr>
              <w:t xml:space="preserve">1.3.10.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>
              <w:tab/>
            </w:r>
            <w:r>
              <w:fldChar w:fldCharType="begin"/>
            </w:r>
            <w:r>
              <w:instrText xml:space="preserve"> PAGEREF _Toc142312802 \h </w:instrText>
            </w:r>
            <w:r>
              <w:fldChar w:fldCharType="separate"/>
            </w:r>
            <w:r>
              <w:t xml:space="preserve">195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3" w:anchor="_Toc142312803" w:history="1">
            <w:r>
              <w:rPr>
                <w:rStyle w:val="1267"/>
              </w:rPr>
              <w:t xml:space="preserve">1.3.11. Прогноз распределения расходов воды на водоснабжение по типам абонентов, в том числ</w:t>
            </w:r>
            <w:r>
              <w:rPr>
                <w:rStyle w:val="1267"/>
              </w:rPr>
              <w:t xml:space="preserve">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      </w:r>
            <w:r>
              <w:tab/>
            </w:r>
            <w:r>
              <w:fldChar w:fldCharType="begin"/>
            </w:r>
            <w:r>
              <w:instrText xml:space="preserve"> PAGEREF _Toc142312803 \h </w:instrText>
            </w:r>
            <w:r>
              <w:fldChar w:fldCharType="separate"/>
            </w:r>
            <w:r>
              <w:t xml:space="preserve">195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4" w:anchor="_Toc142312804" w:history="1">
            <w:r>
              <w:rPr>
                <w:rStyle w:val="1267"/>
              </w:rPr>
              <w:t xml:space="preserve">1.3.12. Сведения о фактических и планируемых потерях горячей, питьевой, технической воды при ее транспортировке (годовые, среднесуточные значения).</w:t>
            </w:r>
            <w:r>
              <w:tab/>
            </w:r>
            <w:r>
              <w:fldChar w:fldCharType="begin"/>
            </w:r>
            <w:r>
              <w:instrText xml:space="preserve"> PAGEREF _Toc142312804 \h </w:instrText>
            </w:r>
            <w:r>
              <w:fldChar w:fldCharType="separate"/>
            </w:r>
            <w:r>
              <w:t xml:space="preserve">195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5" w:anchor="_Toc142312805" w:history="1">
            <w:r>
              <w:rPr>
                <w:rStyle w:val="1267"/>
              </w:rPr>
              <w:t xml:space="preserve">1.3.13. Перспективные балансы водоснабжения и водоотведения (общий - баланс</w:t>
            </w:r>
            <w:r>
              <w:rPr>
                <w:rStyle w:val="1267"/>
              </w:rPr>
              <w:t xml:space="preserve">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      </w:r>
            <w:r>
              <w:tab/>
            </w:r>
            <w:r>
              <w:fldChar w:fldCharType="begin"/>
            </w:r>
            <w:r>
              <w:instrText xml:space="preserve"> PAGEREF _Toc142312805 \h </w:instrText>
            </w:r>
            <w:r>
              <w:fldChar w:fldCharType="separate"/>
            </w:r>
            <w:r>
              <w:t xml:space="preserve">195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6" w:anchor="_Toc142312806" w:history="1">
            <w:r>
              <w:rPr>
                <w:rStyle w:val="1267"/>
              </w:rPr>
              <w:t xml:space="preserve">1.3.14. Расчет требуемой мощности водозаборных и очистных сооружений исходя из данных о перспективном потреблении горячей, питьевой, т</w:t>
            </w:r>
            <w:r>
              <w:rPr>
                <w:rStyle w:val="1267"/>
              </w:rPr>
              <w:t xml:space="preserve">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_Toc142312806 \h </w:instrText>
            </w:r>
            <w:r>
              <w:fldChar w:fldCharType="separate"/>
            </w:r>
            <w:r>
              <w:t xml:space="preserve">196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7" w:anchor="_Toc142312807" w:history="1">
            <w:r>
              <w:rPr>
                <w:rStyle w:val="1267"/>
              </w:rPr>
              <w:t xml:space="preserve">1.3.15. Наименование организации, которая наделена статусом гарантирующей организации.</w:t>
            </w:r>
            <w:r>
              <w:tab/>
            </w:r>
            <w:r>
              <w:fldChar w:fldCharType="begin"/>
            </w:r>
            <w:r>
              <w:instrText xml:space="preserve"> PAGEREF _Toc142312807 \h </w:instrText>
            </w:r>
            <w:r>
              <w:fldChar w:fldCharType="separate"/>
            </w:r>
            <w:r>
              <w:t xml:space="preserve">196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08" w:anchor="_Toc142312808" w:history="1">
            <w:r>
              <w:rPr>
                <w:rStyle w:val="1267"/>
              </w:rPr>
              <w:t xml:space="preserve">1.4.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_Toc142312808 \h </w:instrText>
            </w:r>
            <w:r>
              <w:fldChar w:fldCharType="separate"/>
            </w:r>
            <w:r>
              <w:t xml:space="preserve">197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09" w:anchor="_Toc142312809" w:history="1">
            <w:r>
              <w:rPr>
                <w:rStyle w:val="1267"/>
              </w:rPr>
              <w:t xml:space="preserve">1.4.1. Перечень основных мероприятий по реализации схем водоснабжения с разбивкой по годам</w:t>
            </w:r>
            <w:r>
              <w:tab/>
            </w:r>
            <w:r>
              <w:fldChar w:fldCharType="begin"/>
            </w:r>
            <w:r>
              <w:instrText xml:space="preserve"> PAGEREF _Toc142312809 \h </w:instrText>
            </w:r>
            <w:r>
              <w:fldChar w:fldCharType="separate"/>
            </w:r>
            <w:r>
              <w:t xml:space="preserve">197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0" w:anchor="_Toc142312810" w:history="1">
            <w:r>
              <w:rPr>
                <w:rStyle w:val="1267"/>
              </w:rPr>
              <w:t xml:space="preserve">1.4.2. 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характерис</w:t>
            </w:r>
            <w:r>
              <w:rPr>
                <w:rStyle w:val="1267"/>
              </w:rPr>
              <w:t xml:space="preserve">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Схемами.</w:t>
            </w:r>
            <w:r>
              <w:tab/>
            </w:r>
            <w:r>
              <w:fldChar w:fldCharType="begin"/>
            </w:r>
            <w:r>
              <w:instrText xml:space="preserve"> PAGEREF _Toc142312810 \h </w:instrText>
            </w:r>
            <w:r>
              <w:fldChar w:fldCharType="separate"/>
            </w:r>
            <w:r>
              <w:t xml:space="preserve">197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1" w:anchor="_Toc142312811" w:history="1">
            <w:r>
              <w:rPr>
                <w:rStyle w:val="1267"/>
              </w:rPr>
              <w:t xml:space="preserve">1.4.3. Сведения о вновь строящихся, реконструируемых и предлагаемых к выводу из эксплуатации объектах системы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_Toc142312811 \h </w:instrText>
            </w:r>
            <w:r>
              <w:fldChar w:fldCharType="separate"/>
            </w:r>
            <w:r>
              <w:t xml:space="preserve">198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2" w:anchor="_Toc142312812" w:history="1">
            <w:r>
              <w:rPr>
                <w:rStyle w:val="1267"/>
              </w:rPr>
              <w:t xml:space="preserve"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>
              <w:tab/>
            </w:r>
            <w:r>
              <w:fldChar w:fldCharType="begin"/>
            </w:r>
            <w:r>
              <w:instrText xml:space="preserve"> PAGEREF _Toc142312812 \h </w:instrText>
            </w:r>
            <w:r>
              <w:fldChar w:fldCharType="separate"/>
            </w:r>
            <w:r>
              <w:t xml:space="preserve">199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3" w:anchor="_Toc142312813" w:history="1">
            <w:r>
              <w:rPr>
                <w:rStyle w:val="1267"/>
              </w:rPr>
              <w:t xml:space="preserve">1.4.5. Сведения об оснащенности зданий, строений, сооружений приборами учета воды и их применении при осуществлении расчетов за потребленную воду.</w:t>
            </w:r>
            <w:r>
              <w:tab/>
            </w:r>
            <w:r>
              <w:fldChar w:fldCharType="begin"/>
            </w:r>
            <w:r>
              <w:instrText xml:space="preserve"> PAGEREF _Toc142312813 \h </w:instrText>
            </w:r>
            <w:r>
              <w:fldChar w:fldCharType="separate"/>
            </w:r>
            <w:r>
              <w:t xml:space="preserve">201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4" w:anchor="_Toc142312814" w:history="1">
            <w:r>
              <w:rPr>
                <w:rStyle w:val="1267"/>
              </w:rPr>
              <w:t xml:space="preserve">1.4.6. Описание вариантов маршрутов прохождения трубопроводов (трасс) по территории населенного пункта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_Toc142312814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5" w:anchor="_Toc142312815" w:history="1">
            <w:r>
              <w:rPr>
                <w:rStyle w:val="1267"/>
              </w:rPr>
              <w:t xml:space="preserve">1.4.7. Рекомендации о месте размещения насосных станций, резервуаров, водонапорных башен.</w:t>
            </w:r>
            <w:r>
              <w:tab/>
            </w:r>
            <w:r>
              <w:fldChar w:fldCharType="begin"/>
            </w:r>
            <w:r>
              <w:instrText xml:space="preserve"> PAGEREF _Toc142312815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6" w:anchor="_Toc142312816" w:history="1">
            <w:r>
              <w:rPr>
                <w:rStyle w:val="1267"/>
              </w:rPr>
              <w:t xml:space="preserve">1.4.8. Границы планируемых зон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_Toc142312816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7" w:anchor="_Toc142312817" w:history="1">
            <w:r>
              <w:rPr>
                <w:rStyle w:val="1267"/>
              </w:rPr>
              <w:t xml:space="preserve">1.4.9. 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_Toc142312817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18" w:anchor="_Toc142312818" w:history="1">
            <w:r>
              <w:rPr>
                <w:rStyle w:val="1267"/>
              </w:rPr>
              <w:t xml:space="preserve">1.5.</w:t>
            </w:r>
            <w:r>
              <w:rPr>
                <w:rStyle w:val="1267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_Toc142312818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19" w:anchor="_Toc142312819" w:history="1">
            <w:r>
              <w:rPr>
                <w:rStyle w:val="1267"/>
              </w:rPr>
              <w:t xml:space="preserve"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    </w:r>
            <w:r>
              <w:tab/>
            </w:r>
            <w:r>
              <w:fldChar w:fldCharType="begin"/>
            </w:r>
            <w:r>
              <w:instrText xml:space="preserve"> PAGEREF _Toc142312819 \h </w:instrText>
            </w:r>
            <w:r>
              <w:fldChar w:fldCharType="separate"/>
            </w:r>
            <w:r>
              <w:t xml:space="preserve">202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0" w:anchor="_Toc142312820" w:history="1">
            <w:r>
              <w:rPr>
                <w:rStyle w:val="1267"/>
              </w:rPr>
              <w:t xml:space="preserve"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>
              <w:tab/>
            </w:r>
            <w:r>
              <w:fldChar w:fldCharType="begin"/>
            </w:r>
            <w:r>
              <w:instrText xml:space="preserve"> PAGEREF _Toc142312820 \h </w:instrText>
            </w:r>
            <w:r>
              <w:fldChar w:fldCharType="separate"/>
            </w:r>
            <w:r>
              <w:t xml:space="preserve">203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21" w:anchor="_Toc142312821" w:history="1">
            <w:r>
              <w:rPr>
                <w:rStyle w:val="1267"/>
              </w:rPr>
              <w:t xml:space="preserve">1.6.</w:t>
            </w:r>
            <w:r>
              <w:rPr>
                <w:rStyle w:val="1267"/>
              </w:rPr>
              <w:t xml:space="preserve">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_Toc142312821 \h </w:instrText>
            </w:r>
            <w:r>
              <w:fldChar w:fldCharType="separate"/>
            </w:r>
            <w:r>
              <w:t xml:space="preserve">203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2" w:anchor="_Toc142312822" w:history="1">
            <w:r>
              <w:rPr>
                <w:rStyle w:val="1267"/>
              </w:rPr>
              <w:t xml:space="preserve">1.6.1. Оценка стоимости основных мероприятий по реализации схем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_Toc142312822 \h </w:instrText>
            </w:r>
            <w:r>
              <w:fldChar w:fldCharType="separate"/>
            </w:r>
            <w:r>
              <w:t xml:space="preserve">203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3" w:anchor="_Toc142312823" w:history="1">
            <w:r>
              <w:rPr>
                <w:rStyle w:val="1267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финансирования.</w:t>
            </w:r>
            <w:r>
              <w:tab/>
            </w:r>
            <w:r>
              <w:fldChar w:fldCharType="begin"/>
            </w:r>
            <w:r>
              <w:instrText xml:space="preserve"> PAGEREF _Toc142312823 \h </w:instrText>
            </w:r>
            <w:r>
              <w:fldChar w:fldCharType="separate"/>
            </w:r>
            <w:r>
              <w:t xml:space="preserve">204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24" w:anchor="_Toc142312824" w:history="1">
            <w:r>
              <w:rPr>
                <w:rStyle w:val="1267"/>
              </w:rPr>
              <w:t xml:space="preserve">1.7.</w:t>
            </w:r>
            <w:r>
              <w:rPr>
                <w:rStyle w:val="1267"/>
              </w:rPr>
              <w:t xml:space="preserve"> Цены (тарифы) в сфере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_Toc142312824 \h </w:instrText>
            </w:r>
            <w:r>
              <w:fldChar w:fldCharType="separate"/>
            </w:r>
            <w:r>
              <w:t xml:space="preserve">206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5" w:anchor="_Toc142312825" w:history="1">
            <w:r>
              <w:rPr>
                <w:rStyle w:val="1267"/>
              </w:rPr>
              <w:t xml:space="preserve">1.7.1.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_Toc142312825 \h </w:instrText>
            </w:r>
            <w:r>
              <w:fldChar w:fldCharType="separate"/>
            </w:r>
            <w:r>
              <w:t xml:space="preserve">206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6" w:anchor="_Toc142312826" w:history="1">
            <w:r>
              <w:rPr>
                <w:rStyle w:val="1267"/>
              </w:rPr>
              <w:t xml:space="preserve">1.7.2. Структура цен (тарифов), установленных на момент актуализации схемы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_Toc142312826 \h </w:instrText>
            </w:r>
            <w:r>
              <w:fldChar w:fldCharType="separate"/>
            </w:r>
            <w:r>
              <w:t xml:space="preserve">207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7" w:anchor="_Toc142312827" w:history="1">
            <w:r>
              <w:rPr>
                <w:rStyle w:val="1267"/>
              </w:rPr>
              <w:t xml:space="preserve">1.7.3. Плата за подключение к системе водоснабжения и поступление денежных средств от осуществления деятельности по водоснабжению.</w:t>
            </w:r>
            <w:r>
              <w:tab/>
            </w:r>
            <w:r>
              <w:fldChar w:fldCharType="begin"/>
            </w:r>
            <w:r>
              <w:instrText xml:space="preserve"> PAGEREF _Toc142312827 \h </w:instrText>
            </w:r>
            <w:r>
              <w:fldChar w:fldCharType="separate"/>
            </w:r>
            <w:r>
              <w:t xml:space="preserve">208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28" w:anchor="_Toc142312828" w:history="1">
            <w:r>
              <w:rPr>
                <w:rStyle w:val="1267"/>
              </w:rPr>
              <w:t xml:space="preserve">1.8.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водоснабжения</w:t>
            </w:r>
            <w:r>
              <w:tab/>
            </w:r>
            <w:r>
              <w:fldChar w:fldCharType="begin"/>
            </w:r>
            <w:r>
              <w:instrText xml:space="preserve"> PAGEREF _Toc142312828 \h </w:instrText>
            </w:r>
            <w:r>
              <w:fldChar w:fldCharType="separate"/>
            </w:r>
            <w:r>
              <w:t xml:space="preserve">208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29" w:anchor="_Toc142312829" w:history="1">
            <w:r>
              <w:rPr>
                <w:rStyle w:val="1267"/>
              </w:rPr>
              <w:t xml:space="preserve">1.8.1. Показатели качества воды.</w:t>
            </w:r>
            <w:r>
              <w:tab/>
            </w:r>
            <w:r>
              <w:fldChar w:fldCharType="begin"/>
            </w:r>
            <w:r>
              <w:instrText xml:space="preserve"> PAGEREF _Toc142312829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0" w:anchor="_Toc142312830" w:history="1">
            <w:r>
              <w:rPr>
                <w:rStyle w:val="1267"/>
              </w:rPr>
              <w:t xml:space="preserve">1.8.2. Показатели надежности и бесперебойности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_Toc142312830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1" w:anchor="_Toc142312831" w:history="1">
            <w:r>
              <w:rPr>
                <w:rStyle w:val="1267"/>
              </w:rPr>
              <w:t xml:space="preserve">1.8.3. Показатели эффективности использования ресурсов, в том числе уровень потерь воды (тепловой энергии в составе горячей воды).</w:t>
            </w:r>
            <w:r>
              <w:tab/>
            </w:r>
            <w:r>
              <w:fldChar w:fldCharType="begin"/>
            </w:r>
            <w:r>
              <w:instrText xml:space="preserve"> PAGEREF _Toc142312831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2" w:anchor="_Toc142312832" w:history="1">
            <w:r>
              <w:rPr>
                <w:rStyle w:val="1267"/>
              </w:rPr>
              <w:t xml:space="preserve">1.8.4.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>
              <w:tab/>
            </w:r>
            <w:r>
              <w:fldChar w:fldCharType="begin"/>
            </w:r>
            <w:r>
              <w:instrText xml:space="preserve"> PAGEREF _Toc142312832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33" w:anchor="_Toc142312833" w:history="1">
            <w:r>
              <w:rPr>
                <w:rStyle w:val="1267"/>
              </w:rPr>
              <w:t xml:space="preserve">1.9.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_Toc142312833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4" w:anchor="_Toc142312834" w:history="1">
            <w:r>
              <w:rPr>
                <w:rStyle w:val="1267"/>
              </w:rPr>
              <w:t xml:space="preserve">1.9.1. Перечень выявленных бесхозяйных объектов централизованных систем водоснабжения.</w:t>
            </w:r>
            <w:r>
              <w:tab/>
            </w:r>
            <w:r>
              <w:fldChar w:fldCharType="begin"/>
            </w:r>
            <w:r>
              <w:instrText xml:space="preserve"> PAGEREF _Toc142312834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5" w:anchor="_Toc142312835" w:history="1">
            <w:r>
              <w:rPr>
                <w:rStyle w:val="1267"/>
              </w:rPr>
              <w:t xml:space="preserve">1.9.2. Перечень организаций, уполномоченных на эксплуатацию выявленных бесхозяйных объектов централизованных систем водоснабжения </w:t>
            </w:r>
            <w:r>
              <w:rPr>
                <w:rStyle w:val="1267"/>
                <w:rFonts w:cs="Liberation Serif"/>
              </w:rPr>
              <w:t xml:space="preserve">на территории с. Ратта</w:t>
            </w:r>
            <w:r>
              <w:rPr>
                <w:rStyle w:val="1267"/>
              </w:rPr>
              <w:t xml:space="preserve">.</w:t>
            </w:r>
            <w:r>
              <w:tab/>
            </w:r>
            <w:r>
              <w:fldChar w:fldCharType="begin"/>
            </w:r>
            <w:r>
              <w:instrText xml:space="preserve"> PAGEREF _Toc142312835 \h </w:instrText>
            </w:r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1259"/>
            <w:rPr>
              <w:rFonts w:asciiTheme="minorHAnsi" w:hAnsiTheme="minorHAnsi" w:eastAsiaTheme="minorEastAsia" w:cstheme="minorBidi"/>
              <w:b w:val="0"/>
              <w:caps w:val="0"/>
              <w:sz w:val="22"/>
              <w:szCs w:val="22"/>
            </w:rPr>
          </w:pPr>
          <w:r/>
          <w:hyperlink w:tooltip="#_Toc142312836" w:anchor="_Toc142312836" w:history="1">
            <w:r>
              <w:rPr>
                <w:rStyle w:val="1267"/>
              </w:rPr>
              <w:t xml:space="preserve">II. Схема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_Toc142312836 \h </w:instrText>
            </w:r>
            <w:r>
              <w:fldChar w:fldCharType="separate"/>
            </w:r>
            <w:r>
              <w:t xml:space="preserve">213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37" w:anchor="_Toc142312837" w:history="1">
            <w:r>
              <w:rPr>
                <w:rStyle w:val="1267"/>
              </w:rPr>
              <w:t xml:space="preserve">2.1.</w:t>
            </w:r>
            <w:r>
              <w:rPr>
                <w:rStyle w:val="1267"/>
              </w:rPr>
              <w:t xml:space="preserve"> Существующее положение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_Toc142312837 \h </w:instrText>
            </w:r>
            <w:r>
              <w:fldChar w:fldCharType="separate"/>
            </w:r>
            <w:r>
              <w:t xml:space="preserve">213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8" w:anchor="_Toc142312838" w:history="1">
            <w:r>
              <w:rPr>
                <w:rStyle w:val="1267"/>
              </w:rPr>
              <w:t xml:space="preserve">2.1.1. Описание структуры системы сбора, очистки и отведения сточных вод на территории населенного пункта на эксплуатационные зоны.</w:t>
            </w:r>
            <w:r>
              <w:tab/>
            </w:r>
            <w:r>
              <w:fldChar w:fldCharType="begin"/>
            </w:r>
            <w:r>
              <w:instrText xml:space="preserve"> PAGEREF _Toc142312838 \h </w:instrText>
            </w:r>
            <w:r>
              <w:fldChar w:fldCharType="separate"/>
            </w:r>
            <w:r>
              <w:t xml:space="preserve">213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39" w:anchor="_Toc142312839" w:history="1">
            <w:r>
              <w:rPr>
                <w:rStyle w:val="1267"/>
              </w:rPr>
              <w:t xml:space="preserve">2.1.2. Описание результатов технического обследован</w:t>
            </w:r>
            <w:r>
              <w:rPr>
                <w:rStyle w:val="1267"/>
              </w:rPr>
              <w:t xml:space="preserve">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</w:t>
            </w:r>
            <w:r>
              <w:rPr>
                <w:rStyle w:val="1267"/>
              </w:rPr>
              <w:t xml:space="preserve">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>
              <w:tab/>
            </w:r>
            <w:r>
              <w:fldChar w:fldCharType="begin"/>
            </w:r>
            <w:r>
              <w:instrText xml:space="preserve"> PAGEREF _Toc142312839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0" w:anchor="_Toc142312840" w:history="1">
            <w:r>
              <w:rPr>
                <w:rStyle w:val="1267"/>
              </w:rPr>
              <w:t xml:space="preserve">2.1.3. Описание технологических </w:t>
            </w:r>
            <w:r>
              <w:rPr>
                <w:rStyle w:val="1267"/>
              </w:rPr>
              <w:t xml:space="preserve">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_Toc142312840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1" w:anchor="_Toc142312841" w:history="1">
            <w:r>
              <w:rPr>
                <w:rStyle w:val="1267"/>
              </w:rPr>
              <w:t xml:space="preserve"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_Toc142312841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2" w:anchor="_Toc142312842" w:history="1">
            <w:r>
              <w:rPr>
                <w:rStyle w:val="1267"/>
              </w:rPr>
              <w:t xml:space="preserve">2</w:t>
            </w:r>
            <w:r>
              <w:rPr>
                <w:rStyle w:val="1267"/>
              </w:rPr>
              <w:t xml:space="preserve">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_Toc142312842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3" w:anchor="_Toc142312843" w:history="1">
            <w:r>
              <w:rPr>
                <w:rStyle w:val="1267"/>
              </w:rPr>
              <w:t xml:space="preserve">2.1.6. Оценка безопасности и надежности объектов централизованной системы водоотведения и их управляемости.</w:t>
            </w:r>
            <w:r>
              <w:tab/>
            </w:r>
            <w:r>
              <w:fldChar w:fldCharType="begin"/>
            </w:r>
            <w:r>
              <w:instrText xml:space="preserve"> PAGEREF _Toc142312843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4" w:anchor="_Toc142312844" w:history="1">
            <w:r>
              <w:rPr>
                <w:rStyle w:val="1267"/>
              </w:rPr>
              <w:t xml:space="preserve">2.1.7. Оценка воздействия сбросов сточных вод через централизованную систему водоотведения на окружающую среду.</w:t>
            </w:r>
            <w:r>
              <w:tab/>
            </w:r>
            <w:r>
              <w:fldChar w:fldCharType="begin"/>
            </w:r>
            <w:r>
              <w:instrText xml:space="preserve"> PAGEREF _Toc142312844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5" w:anchor="_Toc142312845" w:history="1">
            <w:r>
              <w:rPr>
                <w:rStyle w:val="1267"/>
              </w:rPr>
              <w:t xml:space="preserve">2.1.8. Описание территорий муниципального образования, не охваченных централизованной системой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_Toc142312845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6" w:anchor="_Toc142312846" w:history="1">
            <w:r>
              <w:rPr>
                <w:rStyle w:val="1267"/>
              </w:rPr>
              <w:t xml:space="preserve">2.1.9. Описание существующих технических и технологических проблем системы водоотведения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_Toc142312846 \h </w:instrText>
            </w:r>
            <w:r>
              <w:fldChar w:fldCharType="separate"/>
            </w:r>
            <w:r>
              <w:t xml:space="preserve">214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7" w:anchor="_Toc142312847" w:history="1">
            <w:r>
              <w:rPr>
                <w:rStyle w:val="1267"/>
              </w:rPr>
              <w:t xml:space="preserve">2.1.10. Сведения об отнесении централизованной системы водоотведения (канализации) к централизов</w:t>
            </w:r>
            <w:r>
              <w:rPr>
                <w:rStyle w:val="1267"/>
              </w:rPr>
              <w:t xml:space="preserve">анным системам водоотведения населенного пункта, включающие перечень и описание централизованных систем водоотведения (канализации), отнесенных к централизованным системам водоотведения населенного пункта, а также информацию об очистных сооружениях (при их</w:t>
            </w:r>
            <w:r>
              <w:rPr>
                <w:rStyle w:val="1267"/>
              </w:rPr>
              <w:t xml:space="preserve">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_Toc142312847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48" w:anchor="_Toc142312848" w:history="1">
            <w:r>
              <w:rPr>
                <w:rStyle w:val="1267"/>
              </w:rPr>
              <w:t xml:space="preserve">2.2.</w:t>
            </w:r>
            <w:r>
              <w:rPr>
                <w:rStyle w:val="1267"/>
              </w:rPr>
              <w:t xml:space="preserve"> Балансы сточных вод в системе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_Toc142312848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49" w:anchor="_Toc142312849" w:history="1">
            <w:r>
              <w:rPr>
                <w:rStyle w:val="1267"/>
              </w:rPr>
              <w:t xml:space="preserve">2.2.1. 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_Toc142312849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0" w:anchor="_Toc142312850" w:history="1">
            <w:r>
              <w:rPr>
                <w:rStyle w:val="1267"/>
              </w:rPr>
              <w:t xml:space="preserve">2.2.2. Оценка 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_Toc142312850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1" w:anchor="_Toc142312851" w:history="1">
            <w:r>
              <w:rPr>
                <w:rStyle w:val="1267"/>
              </w:rPr>
              <w:t xml:space="preserve"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      </w:r>
            <w:r>
              <w:tab/>
            </w:r>
            <w:r>
              <w:fldChar w:fldCharType="begin"/>
            </w:r>
            <w:r>
              <w:instrText xml:space="preserve"> PAGEREF _Toc142312851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2" w:anchor="_Toc142312852" w:history="1">
            <w:r>
              <w:rPr>
                <w:rStyle w:val="1267"/>
              </w:rPr>
              <w:t xml:space="preserve">2.2.4. Ре</w:t>
            </w:r>
            <w:r>
              <w:rPr>
                <w:rStyle w:val="1267"/>
              </w:rPr>
              <w:t xml:space="preserve">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пункту с выделением зон дефицитов и резервов производственных мощностей.</w:t>
            </w:r>
            <w:r>
              <w:tab/>
            </w:r>
            <w:r>
              <w:fldChar w:fldCharType="begin"/>
            </w:r>
            <w:r>
              <w:instrText xml:space="preserve"> PAGEREF _Toc142312852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3" w:anchor="_Toc142312853" w:history="1">
            <w:r>
              <w:rPr>
                <w:rStyle w:val="1267"/>
              </w:rPr>
              <w:t xml:space="preserve"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2038 года с учетом различных сценариев развития населенного пункта.</w:t>
            </w:r>
            <w:r>
              <w:tab/>
            </w:r>
            <w:r>
              <w:fldChar w:fldCharType="begin"/>
            </w:r>
            <w:r>
              <w:instrText xml:space="preserve"> PAGEREF _Toc142312853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54" w:anchor="_Toc142312854" w:history="1">
            <w:r>
              <w:rPr>
                <w:rStyle w:val="1267"/>
              </w:rPr>
              <w:t xml:space="preserve">2.3.</w:t>
            </w:r>
            <w:r>
              <w:rPr>
                <w:rStyle w:val="1267"/>
              </w:rPr>
              <w:t xml:space="preserve"> Прогноз объема сточных вод</w:t>
            </w:r>
            <w:r>
              <w:tab/>
            </w:r>
            <w:r>
              <w:fldChar w:fldCharType="begin"/>
            </w:r>
            <w:r>
              <w:instrText xml:space="preserve"> PAGEREF _Toc142312854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5" w:anchor="_Toc142312855" w:history="1">
            <w:r>
              <w:rPr>
                <w:rStyle w:val="1267"/>
              </w:rPr>
              <w:t xml:space="preserve">2.3.1. Сведения о фактическом и ожидаемом поступлении сточных вод в централизованную систему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_Toc142312855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6" w:anchor="_Toc142312856" w:history="1">
            <w:r>
              <w:rPr>
                <w:rStyle w:val="1267"/>
              </w:rPr>
              <w:t xml:space="preserve">2.3.2. Описание структуры централизованной системы водоотведения (эксплуатационные и технологические зоны).</w:t>
            </w:r>
            <w:r>
              <w:tab/>
            </w:r>
            <w:r>
              <w:fldChar w:fldCharType="begin"/>
            </w:r>
            <w:r>
              <w:instrText xml:space="preserve"> PAGEREF _Toc142312856 \h </w:instrText>
            </w:r>
            <w:r>
              <w:fldChar w:fldCharType="separate"/>
            </w:r>
            <w:r>
              <w:t xml:space="preserve">215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7" w:anchor="_Toc142312857" w:history="1">
            <w:r>
              <w:rPr>
                <w:rStyle w:val="1267"/>
              </w:rPr>
              <w:t xml:space="preserve"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годам.</w:t>
            </w:r>
            <w:r>
              <w:tab/>
            </w:r>
            <w:r>
              <w:fldChar w:fldCharType="begin"/>
            </w:r>
            <w:r>
              <w:instrText xml:space="preserve"> PAGEREF _Toc142312857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8" w:anchor="_Toc142312858" w:history="1">
            <w:r>
              <w:rPr>
                <w:rStyle w:val="1267"/>
              </w:rPr>
              <w:t xml:space="preserve">2.3.4. Результаты анализа гидравлических режимов и режимов работы элементов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_Toc142312858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59" w:anchor="_Toc142312859" w:history="1">
            <w:r>
              <w:rPr>
                <w:rStyle w:val="1267"/>
              </w:rPr>
              <w:t xml:space="preserve"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>
              <w:tab/>
            </w:r>
            <w:r>
              <w:fldChar w:fldCharType="begin"/>
            </w:r>
            <w:r>
              <w:instrText xml:space="preserve"> PAGEREF _Toc142312859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60" w:anchor="_Toc142312860" w:history="1">
            <w:r>
              <w:rPr>
                <w:rStyle w:val="1267"/>
              </w:rPr>
              <w:t xml:space="preserve">2.4.</w:t>
            </w:r>
            <w:r>
              <w:rPr>
                <w:rStyle w:val="1267"/>
              </w:rPr>
      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_Toc142312860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1" w:anchor="_Toc142312861" w:history="1">
            <w:r>
              <w:rPr>
                <w:rStyle w:val="1267"/>
              </w:rPr>
              <w:t xml:space="preserve">2.4.1. Основные направления, принципы, задачи и плановые значения показателей развития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_Toc142312861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2" w:anchor="_Toc142312862" w:history="1">
            <w:r>
              <w:rPr>
                <w:rStyle w:val="1267"/>
              </w:rPr>
              <w:t xml:space="preserve"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>
              <w:tab/>
            </w:r>
            <w:r>
              <w:fldChar w:fldCharType="begin"/>
            </w:r>
            <w:r>
              <w:instrText xml:space="preserve"> PAGEREF _Toc142312862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3" w:anchor="_Toc142312863" w:history="1">
            <w:r>
              <w:rPr>
                <w:rStyle w:val="1267"/>
              </w:rPr>
              <w:t xml:space="preserve">2.4.3. Технические обоснования основных мероприятий по реализации схем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_Toc142312863 \h </w:instrText>
            </w:r>
            <w:r>
              <w:fldChar w:fldCharType="separate"/>
            </w:r>
            <w:r>
              <w:t xml:space="preserve">216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4" w:anchor="_Toc142312864" w:history="1">
            <w:r>
              <w:rPr>
                <w:rStyle w:val="1267"/>
              </w:rPr>
              <w:t xml:space="preserve">2.4.4. Сведения о вновь строящихся, реконструируемых и предлагаемых к выводу из эксплуатации объектах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_Toc142312864 \h </w:instrText>
            </w:r>
            <w:r>
              <w:fldChar w:fldCharType="separate"/>
            </w:r>
            <w:r>
              <w:t xml:space="preserve">217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5" w:anchor="_Toc142312865" w:history="1">
            <w:r>
              <w:rPr>
                <w:rStyle w:val="1267"/>
              </w:rPr>
              <w:t xml:space="preserve"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  <w:r>
              <w:tab/>
            </w:r>
            <w:r>
              <w:fldChar w:fldCharType="begin"/>
            </w:r>
            <w:r>
              <w:instrText xml:space="preserve"> PAGEREF _Toc142312865 \h </w:instrText>
            </w:r>
            <w:r>
              <w:fldChar w:fldCharType="separate"/>
            </w:r>
            <w:r>
              <w:t xml:space="preserve">217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6" w:anchor="_Toc142312866" w:history="1">
            <w:r>
              <w:rPr>
                <w:rStyle w:val="1267"/>
              </w:rPr>
              <w:t xml:space="preserve">2.4.6. 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обоснование.</w:t>
            </w:r>
            <w:r>
              <w:tab/>
            </w:r>
            <w:r>
              <w:fldChar w:fldCharType="begin"/>
            </w:r>
            <w:r>
              <w:instrText xml:space="preserve"> PAGEREF _Toc142312866 \h </w:instrText>
            </w:r>
            <w:r>
              <w:fldChar w:fldCharType="separate"/>
            </w:r>
            <w:r>
              <w:t xml:space="preserve">217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7" w:anchor="_Toc142312867" w:history="1">
            <w:r>
              <w:rPr>
                <w:rStyle w:val="1267"/>
              </w:rPr>
              <w:t xml:space="preserve">2.4.7. Границы и характеристики охранных зон сетей и сооружений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_Toc142312867 \h </w:instrText>
            </w:r>
            <w:r>
              <w:fldChar w:fldCharType="separate"/>
            </w:r>
            <w:r>
              <w:t xml:space="preserve">218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68" w:anchor="_Toc142312868" w:history="1">
            <w:r>
              <w:rPr>
                <w:rStyle w:val="1267"/>
              </w:rPr>
              <w:t xml:space="preserve">2.4.8. Границы планируемых зон размещения объектов централизованной системы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_Toc142312868 \h </w:instrText>
            </w:r>
            <w:r>
              <w:fldChar w:fldCharType="separate"/>
            </w:r>
            <w:r>
              <w:t xml:space="preserve">218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69" w:anchor="_Toc142312869" w:history="1">
            <w:r>
              <w:rPr>
                <w:rStyle w:val="1267"/>
              </w:rPr>
              <w:t xml:space="preserve">2.5.</w:t>
            </w:r>
            <w:r>
              <w:rPr>
                <w:rStyle w:val="1267"/>
              </w:rPr>
              <w:t xml:space="preserve"> Экологические аспекты мероприятий по строительству и реконструкции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_Toc142312869 \h </w:instrText>
            </w:r>
            <w:r>
              <w:fldChar w:fldCharType="separate"/>
            </w:r>
            <w:r>
              <w:t xml:space="preserve">218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0" w:anchor="_Toc142312870" w:history="1">
            <w:r>
              <w:rPr>
                <w:rStyle w:val="1267"/>
              </w:rPr>
              <w:t xml:space="preserve">2.5.1.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среды.</w:t>
            </w:r>
            <w:r>
              <w:tab/>
            </w:r>
            <w:r>
              <w:fldChar w:fldCharType="begin"/>
            </w:r>
            <w:r>
              <w:instrText xml:space="preserve"> PAGEREF _Toc142312870 \h </w:instrText>
            </w:r>
            <w:r>
              <w:fldChar w:fldCharType="separate"/>
            </w:r>
            <w:r>
              <w:t xml:space="preserve">219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1" w:anchor="_Toc142312871" w:history="1">
            <w:r>
              <w:rPr>
                <w:rStyle w:val="1267"/>
              </w:rPr>
              <w:t xml:space="preserve">2.5.2. Сведения о применении методов, безопасных для окружающей среды, при утилизации осадков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_Toc142312871 \h </w:instrText>
            </w:r>
            <w:r>
              <w:fldChar w:fldCharType="separate"/>
            </w:r>
            <w:r>
              <w:t xml:space="preserve">219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72" w:anchor="_Toc142312872" w:history="1">
            <w:r>
              <w:rPr>
                <w:rStyle w:val="1267"/>
              </w:rPr>
              <w:t xml:space="preserve">2.6.</w:t>
            </w:r>
            <w:r>
              <w:rPr>
                <w:rStyle w:val="1267"/>
              </w:rPr>
      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_Toc142312872 \h </w:instrText>
            </w:r>
            <w:r>
              <w:fldChar w:fldCharType="separate"/>
            </w:r>
            <w:r>
              <w:t xml:space="preserve">219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3" w:anchor="_Toc142312873" w:history="1">
            <w:r>
              <w:rPr>
                <w:rStyle w:val="1267"/>
              </w:rPr>
              <w:t xml:space="preserve">2.6.1. Оценка потребности в капитальных вложениях в строительство и реконструкцию объектов централизованных систем водоотве</w:t>
            </w:r>
            <w:r>
              <w:rPr>
                <w:rStyle w:val="1267"/>
              </w:rPr>
              <w:t xml:space="preserve">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</w:t>
            </w:r>
            <w:r>
              <w:rPr>
                <w:rStyle w:val="1267"/>
              </w:rPr>
              <w:t xml:space="preserve">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финансирования.</w:t>
            </w:r>
            <w:r>
              <w:tab/>
            </w:r>
            <w:r>
              <w:fldChar w:fldCharType="begin"/>
            </w:r>
            <w:r>
              <w:instrText xml:space="preserve"> PAGEREF _Toc142312873 \h </w:instrText>
            </w:r>
            <w:r>
              <w:fldChar w:fldCharType="separate"/>
            </w:r>
            <w:r>
              <w:t xml:space="preserve">219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74" w:anchor="_Toc142312874" w:history="1">
            <w:r>
              <w:rPr>
                <w:rStyle w:val="1267"/>
              </w:rPr>
              <w:t xml:space="preserve">2.7.</w:t>
            </w:r>
            <w:r>
              <w:rPr>
                <w:rStyle w:val="1267"/>
              </w:rPr>
              <w:t xml:space="preserve"> Цены (тарифы) в сфере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_Toc142312874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5" w:anchor="_Toc142312875" w:history="1">
            <w:r>
              <w:rPr>
                <w:rStyle w:val="1267"/>
              </w:rPr>
              <w:t xml:space="preserve">2.7.1. Динамика утвержд</w:t>
            </w:r>
            <w:r>
              <w:rPr>
                <w:rStyle w:val="1267"/>
              </w:rPr>
      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лет.</w:t>
            </w:r>
            <w:r>
              <w:tab/>
            </w:r>
            <w:r>
              <w:fldChar w:fldCharType="begin"/>
            </w:r>
            <w:r>
              <w:instrText xml:space="preserve"> PAGEREF _Toc142312875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6" w:anchor="_Toc142312876" w:history="1">
            <w:r>
              <w:rPr>
                <w:rStyle w:val="1267"/>
              </w:rPr>
              <w:t xml:space="preserve">2.7.2. Структура цен (тарифов), установленных на момент актуализации схемы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_Toc142312876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7" w:anchor="_Toc142312877" w:history="1">
            <w:r>
              <w:rPr>
                <w:rStyle w:val="1267"/>
              </w:rPr>
              <w:t xml:space="preserve">2.7.3. Плата за подключение к системе водоотведения и поступление денежных средств от осуществления деятельности по водоотведению.</w:t>
            </w:r>
            <w:r>
              <w:tab/>
            </w:r>
            <w:r>
              <w:fldChar w:fldCharType="begin"/>
            </w:r>
            <w:r>
              <w:instrText xml:space="preserve"> PAGEREF _Toc142312877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78" w:anchor="_Toc142312878" w:history="1">
            <w:r>
              <w:rPr>
                <w:rStyle w:val="1267"/>
              </w:rPr>
              <w:t xml:space="preserve">2.8.</w:t>
            </w:r>
            <w:r>
              <w:rPr>
                <w:rStyle w:val="1267"/>
              </w:rPr>
              <w:t xml:space="preserve"> Плановые значения показателей развития централизованных систем водоотведения</w:t>
            </w:r>
            <w:r>
              <w:tab/>
            </w:r>
            <w:r>
              <w:fldChar w:fldCharType="begin"/>
            </w:r>
            <w:r>
              <w:instrText xml:space="preserve"> PAGEREF _Toc142312878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79" w:anchor="_Toc142312879" w:history="1">
            <w:r>
              <w:rPr>
                <w:rStyle w:val="1267"/>
              </w:rPr>
              <w:t xml:space="preserve">2.8.1. Показатели надежности и бесперебойности водоотведения.</w:t>
            </w:r>
            <w:r>
              <w:tab/>
            </w:r>
            <w:r>
              <w:fldChar w:fldCharType="begin"/>
            </w:r>
            <w:r>
              <w:instrText xml:space="preserve"> PAGEREF _Toc142312879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0" w:anchor="_Toc142312880" w:history="1">
            <w:r>
              <w:rPr>
                <w:rStyle w:val="1267"/>
              </w:rPr>
              <w:t xml:space="preserve">2.8.2. Показатели качества обслуживания абонентов.</w:t>
            </w:r>
            <w:r>
              <w:tab/>
            </w:r>
            <w:r>
              <w:fldChar w:fldCharType="begin"/>
            </w:r>
            <w:r>
              <w:instrText xml:space="preserve"> PAGEREF _Toc142312880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1" w:anchor="_Toc142312881" w:history="1">
            <w:r>
              <w:rPr>
                <w:rStyle w:val="1267"/>
              </w:rPr>
              <w:t xml:space="preserve">2.8.3. Показатели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_Toc142312881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2" w:anchor="_Toc142312882" w:history="1">
            <w:r>
              <w:rPr>
                <w:rStyle w:val="1267"/>
              </w:rPr>
              <w:t xml:space="preserve">2.8.4. Показатели эффективности использования ресурсов при транспортировке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_Toc142312882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3" w:anchor="_Toc142312883" w:history="1">
            <w:r>
              <w:rPr>
                <w:rStyle w:val="1267"/>
              </w:rPr>
              <w:t xml:space="preserve">2.8.5. Соотношение цены реализации мероприятий инвестиционной программы и их эффективности - улучшение качества очистки сточных вод.</w:t>
            </w:r>
            <w:r>
              <w:tab/>
            </w:r>
            <w:r>
              <w:fldChar w:fldCharType="begin"/>
            </w:r>
            <w:r>
              <w:instrText xml:space="preserve"> PAGEREF _Toc142312883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4" w:anchor="_Toc142312884" w:history="1">
            <w:r>
              <w:rPr>
                <w:rStyle w:val="1267"/>
              </w:rPr>
              <w:t xml:space="preserve">2.8.6.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>
              <w:tab/>
            </w:r>
            <w:r>
              <w:fldChar w:fldCharType="begin"/>
            </w:r>
            <w:r>
              <w:instrText xml:space="preserve"> PAGEREF _Toc142312884 \h </w:instrText>
            </w:r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1260"/>
            <w:rPr>
              <w:rFonts w:asciiTheme="minorHAnsi" w:hAnsiTheme="minorHAnsi" w:eastAsiaTheme="minorEastAsia" w:cstheme="minorBidi"/>
              <w:b w:val="0"/>
              <w:sz w:val="22"/>
              <w:szCs w:val="22"/>
            </w:rPr>
          </w:pPr>
          <w:r/>
          <w:hyperlink w:tooltip="#_Toc142312885" w:anchor="_Toc142312885" w:history="1">
            <w:r>
              <w:rPr>
                <w:rStyle w:val="1267"/>
              </w:rPr>
              <w:t xml:space="preserve">2.9.</w:t>
            </w:r>
            <w:r>
              <w:rPr>
                <w:rStyle w:val="1267"/>
              </w:rPr>
      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>
              <w:tab/>
            </w:r>
            <w:r>
              <w:fldChar w:fldCharType="begin"/>
            </w:r>
            <w:r>
              <w:instrText xml:space="preserve"> PAGEREF _Toc142312885 \h </w:instrText>
            </w:r>
            <w:r>
              <w:fldChar w:fldCharType="separate"/>
            </w:r>
            <w:r>
              <w:t xml:space="preserve">224</w:t>
            </w:r>
            <w:r>
              <w:fldChar w:fldCharType="end"/>
            </w:r>
          </w:hyperlink>
          <w:r/>
          <w:r/>
        </w:p>
        <w:p>
          <w:pPr>
            <w:pStyle w:val="1261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142312886" w:anchor="_Toc142312886" w:history="1">
            <w:r>
              <w:rPr>
                <w:rStyle w:val="1267"/>
              </w:rPr>
              <w:t xml:space="preserve">2.9.1.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      </w:r>
            <w:r>
              <w:tab/>
            </w:r>
            <w:r>
              <w:fldChar w:fldCharType="begin"/>
            </w:r>
            <w:r>
              <w:instrText xml:space="preserve"> PAGEREF _Toc142312886 \h </w:instrText>
            </w:r>
            <w:r>
              <w:fldChar w:fldCharType="separate"/>
            </w:r>
            <w:r>
              <w:t xml:space="preserve">224</w:t>
            </w:r>
            <w:r>
              <w:fldChar w:fldCharType="end"/>
            </w:r>
          </w:hyperlink>
          <w:r/>
          <w:r/>
        </w:p>
        <w:p>
          <w:pPr>
            <w:pStyle w:val="1259"/>
          </w:pPr>
          <w:r>
            <w:rPr>
              <w:b w:val="0"/>
            </w:rPr>
            <w:fldChar w:fldCharType="end"/>
          </w:r>
          <w:r/>
        </w:p>
      </w:sdtContent>
    </w:sdt>
    <w:p>
      <w:pPr>
        <w:pStyle w:val="1340"/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2167"/>
        <w:spacing w:afterAutospacing="1"/>
        <w:rPr>
          <w:rFonts w:eastAsia="Liberation Serif" w:cs="Liberation Serif"/>
          <w:color w:val="000000"/>
        </w:rPr>
      </w:pPr>
      <w:r/>
      <w:bookmarkStart w:id="3" w:name="_Toc142312544"/>
      <w:r>
        <w:rPr>
          <w:rFonts w:eastAsia="Liberation Serif" w:cs="Liberation Serif"/>
          <w:color w:val="000000" w:themeColor="text1"/>
        </w:rPr>
        <w:t xml:space="preserve">Перечень использованных нормативных правовых актов</w:t>
      </w:r>
      <w:bookmarkEnd w:id="3"/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6432"/>
        <w:gridCol w:w="2703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Mar>
              <w:left w:w="28" w:type="dxa"/>
              <w:right w:w="28" w:type="dxa"/>
            </w:tcMar>
            <w:tcW w:w="643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Полное наименование нормативного правового акта</w:t>
            </w:r>
            <w:r/>
          </w:p>
        </w:tc>
        <w:tc>
          <w:tcPr>
            <w:shd w:val="clear" w:color="auto" w:fill="bfbfbf" w:themeFill="background1" w:themeFillShade="BF"/>
            <w:tcMar>
              <w:left w:w="28" w:type="dxa"/>
              <w:right w:w="28" w:type="dxa"/>
            </w:tcMar>
            <w:tcW w:w="27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Сокращение наименования нормативного правового акта по тексту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Федеральный закон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 РФ от 23.11.2009 № 261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Федеральный закон Российской Федерации от 07.12.2011 № 416-ФЗ «О водоснабжении и водоотведении»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Постановление Правительства Российской Федерации от 13.08.2006 № 491 «Об утверждении Правил содержания общего имущества в многоквартирном доме и Правил изменени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 от 13.08.2006 № 491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Постановление Правительства Российской Федерации от 05.09.2013 № 782 «О схемах водоснабжения и водоотведения»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 от 05.09.2013 № 782</w:t>
            </w:r>
            <w:r/>
          </w:p>
        </w:tc>
      </w:tr>
      <w:tr>
        <w:trPr>
          <w:trHeight w:val="953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Постановление Правительства Российской Федерации от 31.05.2019 № 691 «Об у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N 782»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 от 31.05.2019 № 691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Государственного комитета Российской Федерации по строительству и жилищно-коммунальному хозяйству от 30.12.1999 № 168 «Об утверждении Правил технической эксплуатации систем и сооружений коммунального водоснабжения и канализации» 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МДК 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02.2001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Министерства строительства и жилищно-коммунального хозяйства Российской Федерации от 04.04.2014 № 162/пр «Об утверждении перечня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 Минстроя РФ от 04.04.2014 № 162/пр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Министерства строительства и жилищно-коммунального хозяйства Российской Федерации от 05.08.2014 № 437/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водоотведения, включая показатели физического износа и эн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 Минстроя РФ от 05.08.2014 № 437/пр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Министерства строительства и жилищно-коммунального хозяйства Российской Федерации от 29.05.2019 № 314/пр «Об утверждении Методики разработки и применения укрупненных нормативов цены строительства, а также порядка их утверждения»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 Минстроя РФ от 29.05.2019 № 314/пр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Министерства строительства и жилищно-коммунального хозяйства Российской Федерации от 06.03.2023 № 159/пр «Об утверждении укрупненных нормативов цены строительства. НЦС 81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02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14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2023. Сборник № 14. Наружные сети водоснабжения и канализации» 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НЦС 81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02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14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Приказ Министерства строительства и жилищно-коммунального хозяйства Российской Федерации от 14.03.2023 № 183/пр «Об утверждении укрупненных нормативов цены строительства «Укрупненные нормативы цены строительства. НЦС 81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02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19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2023. Здания и сооружения городской инфраструктуры» 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НЦС 81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02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19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СП 32.13330.2018 «СНиП 2.04.03-85 Кана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лизация. Наружные сети и сооружения», утвержденный приказом Министерства строительства и жилищно-коммунального хозяйства Российской Федерации от 25.12.2018 № 860/пр «Об утверждении СП 32.13330.2018 «СНиП 2.04.03-85. Канализация. Наружные сети и сооружения»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СП 32.13330.2018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СП 31.13330.2021 «СНиП 2.04.02-84* Водоснабж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ение. Наружные сети и сооружения», утвержденный приказом Министерства строительства и жилищно-коммунального хозяйства Российской Федерации от 27.12.2021 № 1016/пр «Об утверждении СП 31.13330.2021 «СНиП 2.04.02-84* Водоснабжение. Наружные сети и сооружения»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СП 31.13330.2021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Санитарные правила и нормы СанПиН 2.1.4.1110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02 «Зоны санитарной охраны источников водоснабжения и водопроводов питьевого назначения», утвержденные постановлением Главного государственного санитарного врача Российской Федерации от 14.03.2002 № 10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</w:rPr>
              <w:t xml:space="preserve">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«О введении в действие санитарных правил и норм «Зоны санитарной охраны источников водоснабжения и водопроводов питьевого назначения. СанПиН 2.1.4.1110-02»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СанПиН 2.1.4.1110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Санитарно-эпидемиологические правила и нормативы СанПиН 2.2.1/2.1.1.1200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03 «Санитарно-защитные зоны и санитарная классификация предприятий, сооружений и иных объектов», утвержденные постановлением Главного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государственного санитарного врача Российской Федерации от 25.09.2007 № 74</w:t>
            </w:r>
            <w:r>
              <w:rPr>
                <w:rFonts w:ascii="Liberation Serif" w:hAnsi="Liberation Serif" w:eastAsia="Liberation Serif" w:cs="Liberation Serif"/>
                <w:color w:val="000000" w:themeColor="text1"/>
              </w:rPr>
              <w:t xml:space="preserve">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«О введении в действие новой редакции санитарно-эпидемиологических правил и нормативов СанПиН 2.2.1/2.1.1.1200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03 «Санитарно-защитные зоны и санитарная классификация предприятий, сооружений и иных объектов»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СанПиН 2.2.1/2.1.1.1200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Санитарные правила и нормы СанПиН 1.2.3685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21 «Гигиенические нормативы и требовани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 28.01.2021 № 2 «Об утверждении санитарных правил и норм СанПиН 1.2.3685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21 «Гигиенические нормативы и требования к обеспечению безопасности и (или) безвредности для человека факторов среды обитания»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СанПиН 1.2.3685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Санитарные правила и нормы СанПиН 2.1.3684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21«Санитарно-эпидемиологические требования к содержанию территорий городских и сельских поселений, к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утверж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денные постановлением Главного государственного санитарного врача Российской Федерации от 28.01.2021 № 3 «Об утверждении санитарных правил и норм СанПиН 2.1.3684-21 «Санитарно-эпидемиологические требования к содержанию территорий городских и сельских посел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СанПиН 2.1.3684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Нац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иональный стандарт Российской Федерации ГОСТ Р 59053-2020 «Охрана окружающей среды. Охрана и рациональное использование вод. Термины и определения», утвержденный приказом Федерального агентства по техническому регулированию и метрологии от 30.09.2020 № 705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ст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Р 59053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2020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19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Государственный стандарт Союза ССР ГОСТ 19179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73 «Гидрология суши. Термины и определения», утвержденный постановлением Государственного комитета стандартов Совета Министров СССР от 29.10.1973 № 2394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19179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73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Национальный стандарт Российской Федерации ГОСТ Р 70214-2022 «Гидротехника. Основные понятия», утвержденный Приказом Федерального агентства по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техническому регулированию и метрологии от 13 июля 2022 г. № 619-ст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Р 70214-2022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Государственный стандарт Союза ССР ГОСТ 25150-82 «Канализация. Термины и определения», утвержденный постановлением Государственного комитета СССР по стандартам от 24.02.1982 № 805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25150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22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Государственный стандарт Союза ССР ГОСТ 25151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 «Водоснабжение. Термины и определения», утвержденный постановлением Государственного комитета СССР по стандартам от 25.02.1982 № 830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25151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23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Красноселькупского района село Красноселькуп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с. Красноселькуп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 ООО ЭК «ТВЭС» по развитию системы водоснабжения в селе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Красноселькуп МО Красноселькупский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район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с. Красноселькуп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Красноселькупского района село Толька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с. Толька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26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 ООО «Ямал-энерго» по развитию системы водоснабжения в с. Толька Красноселькупского района на 2022-2025 годы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 с. Толька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27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Красноселькупского района село Ратта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Генеральный план с. Ратта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28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6432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 ООО «Ямал-энерго» по развитию системы водоснабжения в с. Ратта Красноселькупского района на 2022-2025 годы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2703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Инвестиционная программа с. Ратта</w:t>
            </w:r>
            <w:r/>
          </w:p>
        </w:tc>
      </w:tr>
    </w:tbl>
    <w:p>
      <w:pPr>
        <w:pStyle w:val="2167"/>
        <w:spacing w:afterAutospacing="1"/>
        <w:rPr>
          <w:rFonts w:eastAsia="Liberation Serif" w:cs="Liberation Serif"/>
          <w:color w:val="000000"/>
        </w:rPr>
      </w:pPr>
      <w:r/>
      <w:bookmarkStart w:id="4" w:name="_Toc142312545"/>
      <w:r>
        <w:rPr>
          <w:rFonts w:eastAsia="Liberation Serif" w:cs="Liberation Serif"/>
          <w:color w:val="000000" w:themeColor="text1"/>
        </w:rPr>
        <w:t xml:space="preserve">Термины, определения, сокращения</w:t>
      </w:r>
      <w:bookmarkEnd w:id="4"/>
      <w:r/>
      <w:r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5"/>
        <w:gridCol w:w="1967"/>
        <w:gridCol w:w="4081"/>
        <w:gridCol w:w="1689"/>
        <w:gridCol w:w="1436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Термин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Определение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Нормативный правовой акт, в соответствии с которым дано определение термину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Сокращение термина по тексту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Абонент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Авария на водопроводной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Повреждения трубопроводов, сооружений и оборудования на сети или нарушение их эксплуатации, вызывающие полное или частичное прекращение подачи воды абонентам, затопление территории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МДК 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02.2001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Авария на канализационной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Внезапные разрушения труб и сооружений или их закупорка с прекращением отведения сточных вод и изливом их на территорию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МДК 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02.2001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Водный объект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Сосредоточение природных вод из поверхности суши либо в горных породах, имеющее характерные формы распространения и черты режима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19179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Гидротехническое сооружение для подвода и отвода воды в заданном направлении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Р 70214-2022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Водозабор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Забор воды из водоема, водотока или подземного водоисточника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Р 70214-2022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Водозаборная скважина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Скважина для забора подземных вод, оборудованная, как правило, обсадными трубами и фильтром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Водозаборное сооружение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Гидротехническое сооружение для забора воды в водовод из водоема, водотока или подземного водоисточника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Р 70214-2022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Водонапорная башня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Напорный резервуар для воды на искусственной опорной конструкции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Водоотведение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Прием, транспортировка и очистка сточных вод с использованием централизованной системы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Водоподготовка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Технологические процессы обработки воды для приведения ее качества в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соответствие с требованиями водопотребителей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Водопользование (использование водных объектов)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Р 59053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Водопровод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сооружений, включающий водозабор, водопроводные насосные станции, станцию очистки воды или водоподготовки, водопроводную сеть и резервуары для обеспечения водой определенного качества потребителей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Водопроводная насосная станция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Сооружение водопровода, оборудованное насосно-силовой установкой для подъема и подачи воды в водоводы и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ВНС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Водопроводная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Система трубопроводов с сооружениями на них для подачи воды к местам ее потребления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Водопроводный колодец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Сооружение на водопроводной сети, предназначенное для установки арматуры и эксплуатации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Водоснабжение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Водоподготовка, транспортировка и подача питьевой или технической воды абонентам с использованием централизованных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Гарантирующая организация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Организация, осуществляющая холодное водоснабжение и (или) водоотведение, определенная решением органа местного самоуправления (за исключением случаев, предусмотренных настоящим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Федеральным законом), которая обязана заключить договор холодн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Горячая вода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Выпуск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Трубопровод, отводящий очищенные сточные воды в водный объект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25150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Зона санитарной охраны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Территория и акватория, на которых устанавливается особый санитарно-эпидемиологический режим для предотвращения ухудшения качества воды источников централизованного хозяйственно-питьевого водоснабжения и для охраны водопроводных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Р 59053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ЗСО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Источник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Природный или антропогенный поверхностный водоем (река, море, озеро, океан, водохранилище и т.д.) или подземные воды, обеспечивающие забор необходимого потребителю количества воды в течение длительного времени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Исходная вода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Вода, поступающая из водного объекта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Канализационная насосная станция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Сооружение канализации, оборудованное насосно-силовой установкой для подъема и подачи сточных вод по канализационной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КНС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Канализационная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Система трубопроводов, каналов или лотков и сооружений на них для сбора и отведения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25150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Канализационные очистные сооружения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зданий, сооружений и устройств, предназначенных для обработки сточных вод с целью разрушения или удаления из них определенных веществ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КОС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Канализационный выпуск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Трубопровод, отводящий сточные воды из зданий и сооружений в канализацию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25150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Канализационный колодец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Сооружение на канализационной сети, предназначенное для установки арматуры и эксплуатации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Канализация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Отведение бытовых, промышленных и ливневых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Р 70214-2022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Объект централизованной системы горячего водоснабжения, холодного водоснабжения и (или)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Инженерное сооружени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е, входящее в состав централизованной системы горячего водоснабжения (в том числе центральные тепловые 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Объект ЦС ГВС, ХВС и (или) ВО соответственно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Очистка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Обработка сточных вод с целью разрушения или удаления из них определенных веществ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Р 59053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Организация, осуществляющая холодное водоснабжение и (или) водоотведение (организация водопроводно-канализационного хозяйства)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Юридическое лицо, осуществляющее эксплуатацию централизованных систем холодного водоснабжения и (или) водоотведения, отдельных объектов таких систем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Организация ВКХ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Питьевая вода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Резервуар для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Закрытое сооружение для хранения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РдВ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Санитарно-защитная зона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Специальная территория с особым режимом использования, размер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которой обеспечивает уменьшение воздействия загрязнения на атмосферный воздух (х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имического, биологического, физического) до значений, установленных гигиеническими нормативами, а для предприятий I и II класса опасности – как до значений, установленных гигиеническими нормативами, так и до величин приемлемого риска для здоровья населения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СанПиН 2.2.1/2.1.1.1200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СЗЗ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Станция водоподготовки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зданий, сооружений и устройств для водоподготовки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 25151-82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СВП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Сточные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Дождевые, т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алые, инфильтрационные, поливомоечные, дренажные воды, сточные воды централизованной системы водоотведения и другие воды, отведение (сброс) которых в водные объекты осуществляется после их использования или сток которых осуществляется с водосборной площади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ГОСТ Р 59053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Схема водоснабжения и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Совокупность графического (схемы, чертежи, планы подземных коммуникаций 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 основе топографо-геодезической подосновы, космо- и аэрофотосъемочные материалы) и текстового описания технико-экономического состояния централизованных систем горячего водоснабжения, холодного водоснабжения и (или) водоотведения и направлений их развития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 от 05.09.2013 № 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Схема ВСиВО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Техническая вода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Технологическая зона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Часть централизованной системы водоотведения (канализации), отведение сточных вод из которой осуществляется в водный объект через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одно инженерное сооружение, пред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назначенное для сброса сточных вод в водный объект (выпуск сточных вод в водный объект), или несколько технологически связанных между собой инженерных сооружений, предназначенных для сброса сточных вод в водный объект (выпусков сточных вод в водный объект)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 от 05.09.2013 № 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Технологическая зона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Часть в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 от 05.09.2013 № 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Централизованная система водоотведения (канализации)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технологически связанных между собой инженерных сооружений, предназначенных для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ЦС ВО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Централизованная система водоотведения поселения или городского округа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технологически связанных между собой инженерных сооружений, предназначенных для водоотведения с территории поселения или городского округа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Централизованная система горячего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алее –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а (далее – закрытая система горячего водоснабжения)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ЦС ГВС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Централизованная система холодного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Комплекс технологически связанных между собой инженерных сооружений, предназначенных для водоподготовки, транспортировки и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подачи питьевой и (или) технической воды абонентам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ФЗ РФ от 07.12.2011 № 416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noBreakHyphen/>
              <w:t xml:space="preserve">ФЗ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ЦС ХВС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Эксплуатационная зона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Зона эксплуатационной отв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 от 05.09.2013 № 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55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967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Электронная модель систем водоснабжения и (или)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4081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Информационная система, включающая в себя базы данных, программное и техническое обеспечение, предназначенная для хранения, мониторинга и актуализации информации о технико-экономиче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ском состоянии централизованных систем горячего водоснабжения, холодного водоснабжения и (или) водоотведения, осуществления механизма оперативно-диспетчерского управления в указанных централизованных системах, обеспечения проведения гидравлических расчетов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689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ПП РФ от 05.09.2013 № 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436" w:type="dxa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-</w:t>
            </w:r>
            <w:r/>
          </w:p>
        </w:tc>
      </w:tr>
    </w:tbl>
    <w:p>
      <w:pPr>
        <w:pStyle w:val="2167"/>
        <w:spacing w:afterAutospacing="1"/>
        <w:rPr>
          <w:rFonts w:eastAsia="Liberation Serif" w:cs="Liberation Serif"/>
          <w:color w:val="000000"/>
        </w:rPr>
      </w:pPr>
      <w:r/>
      <w:bookmarkStart w:id="5" w:name="_Toc142312546"/>
      <w:r>
        <w:rPr>
          <w:rFonts w:eastAsia="Liberation Serif" w:cs="Liberation Serif"/>
          <w:color w:val="000000" w:themeColor="text1"/>
        </w:rPr>
        <w:t xml:space="preserve">Общие положения</w:t>
      </w:r>
      <w:bookmarkEnd w:id="5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Настоящая актуализация Схемы ВСиВО муниципального округа Красноселькупский район Ямало-Ненецкого автономного округа (далее – Схемы ВСиВО Красноселькупского района), произведена в соответствии с требованиями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 и ПП РФ от 05.09.2013 № 782.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Состав и содержание отчётной технической документации актуализированной Схемы ВСиВО Красноселькупского района соответствуют Требованиям к содержанию схем водоснабжения и водоотведения, утверждённым ПП РФ от 05.09.2013 № 782.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Настоящая актуализация Схемы ВСиВО Красноселькупского района в соответствии с пунктом 6 Правил разработки и утверждения схем водоснабжения и водоотведения, утверждённых ПП РФ от 05.09.2013 № 782 произведена на перспективный период до 203</w:t>
      </w:r>
      <w:r>
        <w:t xml:space="preserve">8</w:t>
      </w:r>
      <w:r>
        <w:rPr>
          <w:rFonts w:eastAsia="Liberation Serif" w:cs="Liberation Serif"/>
          <w:color w:val="000000" w:themeColor="text1"/>
        </w:rPr>
        <w:t xml:space="preserve">г.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качестве исходных данных в рамках настоящей актуализации Схемы ВСиВО Красноселькупского района использованы актуальные на 01.06.202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 редакции (версии) нормативных правовых актов, документов и материалов, указанных в п. 7 Правил разработки и утверждения схем водоснабжения и водоотведения, утверждённых ПП РФ от 05.09.2013 № 782.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Полный состав работ приведен в разделе «Состав отчетной технической документации».</w:t>
      </w:r>
      <w:r/>
    </w:p>
    <w:p>
      <w:pPr>
        <w:pStyle w:val="2167"/>
        <w:spacing w:afterAutospacing="1"/>
        <w:rPr>
          <w:rFonts w:eastAsia="Liberation Serif" w:cs="Liberation Serif"/>
          <w:color w:val="000000"/>
        </w:rPr>
      </w:pPr>
      <w:r/>
      <w:bookmarkStart w:id="6" w:name="_Toc142312547"/>
      <w:r>
        <w:rPr>
          <w:rFonts w:eastAsia="Liberation Serif" w:cs="Liberation Serif"/>
          <w:color w:val="000000" w:themeColor="text1"/>
        </w:rPr>
        <w:t xml:space="preserve">Краткая характеристика Красноселькупского района</w:t>
      </w:r>
      <w:bookmarkEnd w:id="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Сводная характеристика Красноселькупского района приведена в таблице 1.</w:t>
      </w:r>
      <w:r/>
    </w:p>
    <w:p>
      <w:pPr>
        <w:pStyle w:val="1340"/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 – Краткая характеристика Красноселькупского района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254"/>
        <w:gridCol w:w="1760"/>
        <w:gridCol w:w="2162"/>
        <w:gridCol w:w="620"/>
        <w:gridCol w:w="778"/>
        <w:gridCol w:w="1656"/>
        <w:gridCol w:w="1398"/>
      </w:tblGrid>
      <w:tr>
        <w:trPr>
          <w:trHeight w:val="20"/>
        </w:trPr>
        <w:tc>
          <w:tcPr>
            <w:gridSpan w:val="2"/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5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Административная принадлежность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12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Административный центр</w:t>
            </w:r>
            <w:r/>
          </w:p>
        </w:tc>
        <w:tc>
          <w:tcPr>
            <w:gridSpan w:val="2"/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7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Кол-во населенных пунктов, шт.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8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Общая площадь земель в установленных границах, га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7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Численность постоянного населения (на 01.01.2022), чел.</w:t>
            </w:r>
            <w:r/>
          </w:p>
        </w:tc>
      </w:tr>
      <w:tr>
        <w:trPr>
          <w:cantSplit/>
          <w:trHeight w:val="1212"/>
        </w:trPr>
        <w:tc>
          <w:tcPr>
            <w:shd w:val="clear" w:color="auto" w:fill="bfbfbf" w:themeFill="background1" w:themeFillShade="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6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Субъект Российской Федерации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91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Муниципальное образование верхнего уровня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322" w:type="pct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городские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404" w:type="pct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сельские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6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cantSplit/>
          <w:trHeight w:val="20"/>
        </w:trPr>
        <w:tc>
          <w:tcPr>
            <w:shd w:val="clear" w:color="auto" w:fill="bfbfbf" w:themeFill="background1" w:themeFillShade="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6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91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6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6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ЯНАО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91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Муниципальный округ Красноселькупский район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12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с. Красноселькуп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8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highlight w:val="white"/>
              </w:rPr>
              <w:t xml:space="preserve">10 659 969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7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5 789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Устав Красноселькупского района утвержден Решением Думы Красноселькупского района от 02.11.2021 № 25 «О принятии Устава муниципального округа Красноселькупский район Ямало-Ненецкого автономного округа».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Красноселькупский район является муниципальным образованием, входящим в состав </w:t>
      </w:r>
      <w:bookmarkStart w:id="7" w:name="_Hlk108607058"/>
      <w:r>
        <w:rPr>
          <w:rFonts w:eastAsia="Liberation Serif" w:cs="Liberation Serif"/>
          <w:color w:val="000000" w:themeColor="text1"/>
        </w:rPr>
        <w:t xml:space="preserve">Ямало-Ненецкого автономного округа</w:t>
      </w:r>
      <w:bookmarkEnd w:id="7"/>
      <w:r>
        <w:rPr>
          <w:rFonts w:eastAsia="Liberation Serif" w:cs="Liberation Serif"/>
          <w:color w:val="000000" w:themeColor="text1"/>
        </w:rPr>
        <w:t xml:space="preserve">. Красноселькупский район расположен в юго-западной части Ямало-Ненецкого автономного округа, в 600 км от административного центра – г. Салехарда.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Административным центром Красноселькупского района является с. Красноселькуп.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состав Красноселькупского района входит 4 населенных пункта (все сельского типа), включая:</w:t>
      </w:r>
      <w:r/>
    </w:p>
    <w:p>
      <w:pPr>
        <w:pStyle w:val="1245"/>
        <w:numPr>
          <w:ilvl w:val="0"/>
          <w:numId w:val="18"/>
        </w:numPr>
        <w:ind w:left="0" w:firstLine="709"/>
        <w:tabs>
          <w:tab w:val="left" w:pos="992" w:leader="none"/>
          <w:tab w:val="left" w:pos="1276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с. Киккиакки,</w:t>
      </w:r>
      <w:r/>
    </w:p>
    <w:p>
      <w:pPr>
        <w:pStyle w:val="1245"/>
        <w:numPr>
          <w:ilvl w:val="0"/>
          <w:numId w:val="18"/>
        </w:numPr>
        <w:ind w:left="0" w:firstLine="709"/>
        <w:tabs>
          <w:tab w:val="left" w:pos="992" w:leader="none"/>
          <w:tab w:val="left" w:pos="1276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с. Красноселькуп,</w:t>
      </w:r>
      <w:r/>
    </w:p>
    <w:p>
      <w:pPr>
        <w:pStyle w:val="1245"/>
        <w:numPr>
          <w:ilvl w:val="0"/>
          <w:numId w:val="18"/>
        </w:numPr>
        <w:ind w:left="0" w:firstLine="709"/>
        <w:tabs>
          <w:tab w:val="left" w:pos="992" w:leader="none"/>
          <w:tab w:val="left" w:pos="1276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с. Ратта,</w:t>
      </w:r>
      <w:r/>
    </w:p>
    <w:p>
      <w:pPr>
        <w:pStyle w:val="1245"/>
        <w:numPr>
          <w:ilvl w:val="0"/>
          <w:numId w:val="18"/>
        </w:numPr>
        <w:ind w:left="0" w:firstLine="709"/>
        <w:tabs>
          <w:tab w:val="left" w:pos="992" w:leader="none"/>
          <w:tab w:val="left" w:pos="1276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с. Толька.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Статус и границы Красноселькупского района установлены Законом Ямало-Ненецкого автономного округа от 23.04.2021 № 30</w:t>
      </w:r>
      <w:r>
        <w:rPr>
          <w:rFonts w:eastAsia="Liberation Serif" w:cs="Liberation Serif"/>
          <w:color w:val="000000" w:themeColor="text1"/>
        </w:rPr>
        <w:noBreakHyphen/>
        <w:t xml:space="preserve">ЗАО «О преобразовании муниципальных образований, входящих в состав Красноселькупского р</w:t>
      </w:r>
      <w:r>
        <w:rPr>
          <w:rFonts w:eastAsia="Liberation Serif" w:cs="Liberation Serif"/>
          <w:color w:val="000000" w:themeColor="text1"/>
        </w:rPr>
        <w:t xml:space="preserve">айона Красноселькупский район, и создании вновь образованного Красноселькупского района муниципальный округ Красноселькупский район Ямало-Ненецкого автономного округа». Площадь территории внутри административных границ Красноселькупского района составляет </w:t>
      </w:r>
      <w:r>
        <w:rPr>
          <w:rFonts w:eastAsia="Liberation Serif" w:cs="Liberation Serif"/>
          <w:color w:val="000000" w:themeColor="text1"/>
          <w:highlight w:val="white"/>
        </w:rPr>
        <w:t xml:space="preserve">10 659 969</w:t>
      </w:r>
      <w:r>
        <w:rPr>
          <w:rFonts w:eastAsia="Liberation Serif" w:cs="Liberation Serif"/>
          <w:color w:val="000000" w:themeColor="text1"/>
          <w:sz w:val="20"/>
        </w:rPr>
        <w:t xml:space="preserve"> </w:t>
      </w:r>
      <w:r>
        <w:rPr>
          <w:rFonts w:eastAsia="Liberation Serif" w:cs="Liberation Serif"/>
          <w:color w:val="000000" w:themeColor="text1"/>
        </w:rPr>
        <w:t xml:space="preserve">га.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Численность постоянного населения Красноселькупского района на 01.01.2022 составила 5 789 чел.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Картосхема административных границ Красноселькупского района приведена на рисунке 1.</w:t>
      </w:r>
      <w:r/>
    </w:p>
    <w:p>
      <w:pPr>
        <w:pStyle w:val="1245"/>
        <w:ind w:firstLine="0"/>
        <w:jc w:val="left"/>
        <w:keepNext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4590" cy="8361302"/>
                <wp:effectExtent l="6350" t="6350" r="6350" b="6350"/>
                <wp:docPr id="4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64589" cy="83613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7.5pt;height:658.4pt;mso-wrap-distance-left:0.0pt;mso-wrap-distance-top:0.0pt;mso-wrap-distance-right:0.0pt;mso-wrap-distance-bottom:0.0pt;" strokecolor="#000000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1245"/>
        <w:ind w:firstLine="0"/>
        <w:jc w:val="center"/>
        <w:keepLines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 w:themeColor="text1"/>
        </w:rPr>
        <w:t xml:space="preserve">Рисунок 1 – Картосхема административных границ Красноселькупского района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Территория Красноселькупского района характеризуется суровым резко континентальным климатом с продолжительной снежной зимой и сравнительно жарким коротким летом. Смена сезонов происходит дост</w:t>
      </w:r>
      <w:r>
        <w:rPr>
          <w:rFonts w:eastAsia="Liberation Serif" w:cs="Liberation Serif"/>
          <w:color w:val="000000" w:themeColor="text1"/>
        </w:rPr>
        <w:t xml:space="preserve">аточно интенсивно. Зимний период с температурой ниже нуля длится с октября до начала мая месяца, устойчивые морозы держатся до 190-200 дней в году. Самыми холодными месяцами года являются декабрь-январь, когда абсолютный минимум может достигать минус 60-63</w:t>
      </w:r>
      <w:r>
        <w:rPr>
          <w:rFonts w:eastAsia="Liberation Serif" w:cs="Liberation Serif"/>
          <w:color w:val="000000" w:themeColor="text1"/>
          <w:vertAlign w:val="superscript"/>
        </w:rPr>
        <w:t xml:space="preserve">0</w:t>
      </w:r>
      <w:r>
        <w:rPr>
          <w:rFonts w:eastAsia="Liberation Serif" w:cs="Liberation Serif"/>
          <w:color w:val="000000" w:themeColor="text1"/>
        </w:rPr>
        <w:t xml:space="preserve">С, при средней температуре зимнего периода минус 24-28</w:t>
      </w:r>
      <w:r>
        <w:rPr>
          <w:rFonts w:eastAsia="Liberation Serif" w:cs="Liberation Serif"/>
          <w:color w:val="000000" w:themeColor="text1"/>
          <w:vertAlign w:val="superscript"/>
        </w:rPr>
        <w:t xml:space="preserve">0</w:t>
      </w:r>
      <w:r>
        <w:rPr>
          <w:rFonts w:eastAsia="Liberation Serif" w:cs="Liberation Serif"/>
          <w:color w:val="000000" w:themeColor="text1"/>
        </w:rPr>
        <w:t xml:space="preserve">С. Длительность безморозного периода составляет 80-90 дней. Продолжительная и холодная зима благоприятствует накоплению сне</w:t>
      </w:r>
      <w:r>
        <w:rPr>
          <w:rFonts w:eastAsia="Liberation Serif" w:cs="Liberation Serif"/>
          <w:color w:val="000000" w:themeColor="text1"/>
        </w:rPr>
        <w:t xml:space="preserve">га и образованию устойчивого зимнего покрова, что происходит в первой половине октября. Первые снегопады начинаются в конце сентября, устойчивый снежный покров образуется в декабре и держится до 180-200 дней в году. Высота снежного покрова достигает 1,0 м.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Территория Красноселькупского р</w:t>
      </w:r>
      <w:r>
        <w:rPr>
          <w:rFonts w:eastAsia="Liberation Serif" w:cs="Liberation Serif"/>
          <w:color w:val="000000" w:themeColor="text1"/>
        </w:rPr>
        <w:t xml:space="preserve">айона приурочена к Северной области Тазовской провинции Западно-Сибирской низменности, которая представляет собой эрозионно-аккумулятивную равнину. Для нее характерно развитие морских и речных террас. Абсолютные высоты в большинстве случаев не превышают 50</w:t>
      </w:r>
      <w:r>
        <w:rPr>
          <w:rFonts w:eastAsia="Liberation Serif" w:cs="Liberation Serif"/>
          <w:color w:val="000000" w:themeColor="text1"/>
        </w:rPr>
        <w:t xml:space="preserve">-100 м. В пределах северной области выделяются две поверхности выравнивания и комплекс аллювиальных, озерно-аллювиальных и морских террас. Большие площади занимают бугристые торфяники и термокарстовые озера. Речная сеть довольно густая. В целом территория </w:t>
      </w:r>
      <w:r>
        <w:rPr>
          <w:rFonts w:eastAsia="Liberation Serif" w:cs="Liberation Serif"/>
          <w:color w:val="000000" w:themeColor="text1"/>
        </w:rPr>
        <w:br/>
        <w:t xml:space="preserve">Красноселькупского района характеризуется плоским рельефом местности, с крайне малыми уклонами поверхности, что обуславливает</w:t>
      </w:r>
      <w:r>
        <w:rPr>
          <w:rFonts w:eastAsia="Liberation Serif" w:cs="Liberation Serif"/>
          <w:color w:val="000000" w:themeColor="text1"/>
        </w:rPr>
        <w:t xml:space="preserve"> слабое развитие процессов эрозии и практически полное отсутствие поверхностного стока. Последнее приводит к накоплению почвенно-грунтовых вод и неглубокому их залеганию от поверхности земли, а также к интенсивному поверхностному заболачиванию и заторфовыв</w:t>
      </w:r>
      <w:r>
        <w:rPr>
          <w:rFonts w:eastAsia="Liberation Serif" w:cs="Liberation Serif"/>
          <w:color w:val="000000" w:themeColor="text1"/>
        </w:rPr>
        <w:t xml:space="preserve">анию местности. К локальным понижениям рельефа приурочены озера и болота. Озера, как правило, округлой формы и небольшой площади. На поверхности террас широко развиты мерзлотные формы рельефа – морозобойное трещинообразование, пучение грунтов и термокарст.</w:t>
      </w:r>
      <w:r/>
    </w:p>
    <w:p>
      <w:pPr>
        <w:pStyle w:val="1245"/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Гидрографическая сеть Красноселькупского района представлена р. Таз. Река берет начало в северо-восточной части Сибирских Увалов, главной возвышенности Западно-Сибирской рав</w:t>
      </w:r>
      <w:r>
        <w:rPr>
          <w:rFonts w:eastAsia="Liberation Serif" w:cs="Liberation Serif"/>
          <w:color w:val="000000" w:themeColor="text1"/>
        </w:rPr>
        <w:t xml:space="preserve">нины, из небольших соединяющихся между собой озер Тынильту и Кулыту, истоки р. Таз находятся на высоте 200м. Река впадает в Тазовскую губу (залив Обской губы Карского моря) несколькими рукавами. Длина р. Таз составляет 1401км, площадь водосбора – 150000 км</w:t>
      </w:r>
      <w:r>
        <w:rPr>
          <w:rFonts w:eastAsia="Liberation Serif" w:cs="Liberation Serif"/>
          <w:color w:val="000000" w:themeColor="text1"/>
          <w:vertAlign w:val="superscript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. Основные притоки – реки Дындовский</w:t>
      </w:r>
      <w:r>
        <w:rPr>
          <w:rFonts w:eastAsia="Liberation Serif" w:cs="Liberation Serif"/>
          <w:color w:val="000000" w:themeColor="text1"/>
        </w:rPr>
        <w:t xml:space="preserve"> Таз, Кондый-Кы, Ратта, Поколька, Большая Ширта, Малая Ширта, Ватылька, Кыпа-Кыталь-Кы, Толька и др. Долина реки в основном трапецеидальная, шириной около 20км. Левый склон пологий, слабо изрезанный, правый берег более крутой с прирусловой террасой, рассеч</w:t>
      </w:r>
      <w:r>
        <w:rPr>
          <w:rFonts w:eastAsia="Liberation Serif" w:cs="Liberation Serif"/>
          <w:color w:val="000000" w:themeColor="text1"/>
        </w:rPr>
        <w:t xml:space="preserve">ен балками. Долина заболочена, присутствуют торфяники, характерно обилие мелких и крупных озер, которые, располагаясь группами, образуют целые системы сообщающихся между собой водоемов. Наиболее крупные озера имеют вытянутую форму и достигают в длину 3 км.</w:t>
      </w:r>
      <w:r/>
    </w:p>
    <w:p>
      <w:pPr>
        <w:pStyle w:val="2167"/>
        <w:spacing w:afterAutospacing="1"/>
        <w:rPr>
          <w:rFonts w:eastAsia="Liberation Serif" w:cs="Liberation Serif"/>
          <w:color w:val="000000"/>
        </w:rPr>
      </w:pPr>
      <w:r/>
      <w:bookmarkStart w:id="8" w:name="_Toc142312548"/>
      <w:r>
        <w:rPr>
          <w:rFonts w:eastAsia="Liberation Serif" w:cs="Liberation Serif"/>
          <w:color w:val="000000" w:themeColor="text1"/>
        </w:rPr>
        <w:t xml:space="preserve">Состав отчетной технической документации</w:t>
      </w:r>
      <w:bookmarkEnd w:id="8"/>
      <w:r/>
      <w:r/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8212"/>
      </w:tblGrid>
      <w:tr>
        <w:trPr>
          <w:trHeight w:val="561"/>
          <w:tblHeader/>
        </w:trPr>
        <w:tc>
          <w:tcPr>
            <w:shd w:val="clear" w:color="ffffff" w:fill="bfbfbf" w:themeFill="background1" w:themeFillShade="BF"/>
            <w:tcMar>
              <w:left w:w="28" w:type="dxa"/>
              <w:top w:w="0" w:type="dxa"/>
              <w:right w:w="28" w:type="dxa"/>
              <w:bottom w:w="0" w:type="dxa"/>
            </w:tcMar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№ тома</w:t>
            </w:r>
            <w:r/>
          </w:p>
        </w:tc>
        <w:tc>
          <w:tcPr>
            <w:shd w:val="clear" w:color="ffffff" w:fill="bfbfbf" w:themeFill="background1" w:themeFillShade="BF"/>
            <w:tcMar>
              <w:left w:w="28" w:type="dxa"/>
              <w:top w:w="0" w:type="dxa"/>
              <w:right w:w="28" w:type="dxa"/>
              <w:bottom w:w="0" w:type="dxa"/>
            </w:tcMar>
            <w:tcW w:w="821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Cs w:val="20"/>
              </w:rPr>
              <w:t xml:space="preserve">Наименование документа</w:t>
            </w:r>
            <w:r/>
          </w:p>
        </w:tc>
      </w:tr>
      <w:tr>
        <w:trPr>
          <w:trHeight w:val="294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1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</w:r>
            <w:r/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8212" w:type="dxa"/>
            <w:vAlign w:val="center"/>
            <w:textDirection w:val="lrTb"/>
            <w:noWrap w:val="false"/>
          </w:tcPr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ктуализированная схема водоснабжения и водоотведения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муниципального округа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расноселькупский район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мало-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енецкого автономного округа</w:t>
            </w:r>
            <w:r/>
          </w:p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 период до 2038 года (с. Красноселькуп)</w:t>
            </w:r>
            <w:r>
              <w:rPr>
                <w:rFonts w:ascii="Liberation Serif" w:hAnsi="Liberation Serif" w:eastAsia="Liberation Serif" w:cs="Liberation Serif"/>
                <w:color w:val="000000"/>
              </w:rPr>
            </w:r>
            <w:r/>
          </w:p>
        </w:tc>
      </w:tr>
      <w:tr>
        <w:trPr>
          <w:trHeight w:val="226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4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</w:rPr>
              <w:t xml:space="preserve">2</w:t>
            </w:r>
            <w:r/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8212" w:type="dxa"/>
            <w:vAlign w:val="center"/>
            <w:vMerge w:val="restart"/>
            <w:textDirection w:val="lrTb"/>
            <w:noWrap w:val="false"/>
          </w:tcPr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ктуализированная схема водоснабжения и водоотведения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муниципального округа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расноселькупский район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мало-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енецкого автономного округа</w:t>
            </w:r>
            <w:r>
              <w:rPr>
                <w:rFonts w:ascii="Liberation Serif" w:hAnsi="Liberation Serif" w:eastAsia="Liberation Serif" w:cs="Liberation Serif"/>
                <w:color w:val="000000"/>
                <w:szCs w:val="20"/>
              </w:rPr>
            </w:r>
            <w:r/>
          </w:p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 период до 2038 года (с. Толька)</w:t>
            </w:r>
            <w:r>
              <w:rPr>
                <w:rFonts w:ascii="Liberation Serif" w:hAnsi="Liberation Serif" w:eastAsia="Liberation Serif" w:cs="Liberation Serif"/>
                <w:color w:val="000000"/>
              </w:rPr>
            </w:r>
            <w:r/>
          </w:p>
        </w:tc>
      </w:tr>
      <w:tr>
        <w:trPr>
          <w:trHeight w:val="273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4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</w:rPr>
              <w:t xml:space="preserve">3</w:t>
            </w:r>
            <w:r/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8212" w:type="dxa"/>
            <w:vAlign w:val="center"/>
            <w:vMerge w:val="restart"/>
            <w:textDirection w:val="lrTb"/>
            <w:noWrap w:val="false"/>
          </w:tcPr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А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ктуализированная схема водоснабжения и водоотведения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муниципального округа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К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расноселькупский район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Я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мало-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енецкого автономного округа</w:t>
            </w:r>
            <w:r>
              <w:rPr>
                <w:rFonts w:ascii="Liberation Serif" w:hAnsi="Liberation Serif" w:eastAsia="Liberation Serif" w:cs="Liberation Serif"/>
                <w:color w:val="000000"/>
                <w:szCs w:val="20"/>
              </w:rPr>
            </w:r>
            <w:r/>
          </w:p>
          <w:p>
            <w:pPr>
              <w:ind w:left="142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0"/>
              </w:rPr>
              <w:t xml:space="preserve">на период до 2038 года (с. Раттта)</w:t>
            </w:r>
            <w:r>
              <w:rPr>
                <w:rFonts w:ascii="Liberation Serif" w:hAnsi="Liberation Serif" w:eastAsia="Liberation Serif" w:cs="Liberation Serif"/>
                <w:color w:val="000000"/>
              </w:rPr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spacing w:after="200" w:line="276" w:lineRule="auto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</w:rPr>
        <w:br w:type="page" w:clear="all"/>
      </w:r>
      <w:r/>
    </w:p>
    <w:p>
      <w:pPr>
        <w:pStyle w:val="2167"/>
        <w:rPr>
          <w:rFonts w:eastAsia="Liberation Serif"/>
          <w:b w:val="0"/>
          <w:bCs/>
          <w:color w:val="000000"/>
          <w:szCs w:val="28"/>
        </w:rPr>
      </w:pPr>
      <w:r/>
      <w:bookmarkStart w:id="9" w:name="_Toc142312549"/>
      <w:r>
        <w:rPr>
          <w:rStyle w:val="2169"/>
          <w:b/>
          <w:bCs/>
        </w:rPr>
        <w:t xml:space="preserve">Том 1. </w:t>
      </w:r>
      <w:r>
        <w:rPr>
          <w:rFonts w:eastAsia="Liberation Serif"/>
        </w:rPr>
        <w:t xml:space="preserve">СЕЛО КРАСНОСЕЛЬКУП</w:t>
      </w:r>
      <w:bookmarkEnd w:id="9"/>
      <w:r/>
      <w:r/>
    </w:p>
    <w:p>
      <w:pPr>
        <w:jc w:val="center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1073"/>
        <w:numPr>
          <w:ilvl w:val="0"/>
          <w:numId w:val="109"/>
        </w:numPr>
        <w:rPr>
          <w:rFonts w:eastAsia="Liberation Serif" w:asciiTheme="minorHAnsi" w:hAnsiTheme="minorHAnsi"/>
        </w:rPr>
      </w:pPr>
      <w:r/>
      <w:bookmarkStart w:id="10" w:name="_Toc142312550"/>
      <w:r>
        <w:rPr>
          <w:rFonts w:eastAsia="Liberation Serif"/>
        </w:rPr>
        <w:t xml:space="preserve">Схема водоснабжения</w:t>
      </w:r>
      <w:bookmarkEnd w:id="10"/>
      <w:r/>
      <w:r/>
    </w:p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4"/>
      </w:pPr>
      <w:r/>
      <w:bookmarkStart w:id="11" w:name="_Toc142312551"/>
      <w:r>
        <w:t xml:space="preserve">Технико-экономическое состояние централизованных систем водоснабжения</w:t>
      </w:r>
      <w:bookmarkEnd w:id="11"/>
      <w:r/>
      <w:r/>
    </w:p>
    <w:p>
      <w:pPr>
        <w:pStyle w:val="1464"/>
        <w:jc w:val="center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p>
      <w:pPr>
        <w:pStyle w:val="1075"/>
      </w:pPr>
      <w:r/>
      <w:bookmarkStart w:id="12" w:name="_Описание_системы_и"/>
      <w:r/>
      <w:bookmarkStart w:id="13" w:name="_Toc142312552"/>
      <w:r/>
      <w:bookmarkEnd w:id="12"/>
      <w:r>
        <w:t xml:space="preserve">Описание системы и структуры водоснабжения и деление территории на эксплуатационные зоны.</w:t>
      </w:r>
      <w:bookmarkEnd w:id="1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Перечень организаций ВКХ, осуществляющих эксплуатацию объектов централизованных систем водоснабжения на территории с. Красноселькуп, приведен в таблице 1.1.1.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1.1.1 – Перечень организаций ВКХ, осуществляющих эксплуатацию объектов централизованных систем водоснабжения на территории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51"/>
        <w:gridCol w:w="2298"/>
        <w:gridCol w:w="1431"/>
        <w:gridCol w:w="2175"/>
        <w:gridCol w:w="1114"/>
        <w:gridCol w:w="2159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Полное наименование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Сокращенное наименование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Юридический адрес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1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ИНН</w:t>
            </w: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br/>
              <w:t xml:space="preserve">КПП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Виды осуществляемой регулируемой деятельности в сфере водоснабжения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1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Liberation Serif" w:cs="Liberation Serif" w:asciiTheme="minorHAnsi" w:hAnsiTheme="minorHAnsi"/>
                <w:bCs/>
                <w:color w:val="000000" w:themeColor="text1"/>
                <w:sz w:val="20"/>
                <w:szCs w:val="20"/>
                <w:lang w:val="en-US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Общество с ограниченной ответственностью Энергетическая Компания «Тепло-Водо-Электро-Сервис»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ООО ЭК «ТВЭС»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629380, Ямало-Ненецкий автономный округ, Красноселькупский р-н,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br/>
              <w:t xml:space="preserve">с. Красноселькуп,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br/>
              <w:t xml:space="preserve">ул. Энтузиастов, д. 8, кабинет 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1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8912002592</w:t>
            </w:r>
            <w:r/>
          </w:p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891201001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Холодное водоснабжение, горячее водоснабжение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</w:rPr>
              <w:t xml:space="preserve">(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highlight w:val="white"/>
              </w:rPr>
              <w:t xml:space="preserve">из открытой системы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</w:rPr>
              <w:t xml:space="preserve">теплоснабжения)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highlight w:val="none"/>
        </w:rPr>
      </w:pPr>
      <w:r>
        <w:rPr>
          <w:rFonts w:ascii="Liberation Serif" w:hAnsi="Liberation Serif" w:eastAsia="Liberation Serif" w:cs="Liberation Serif"/>
          <w:b/>
          <w:spacing w:val="-1"/>
          <w:sz w:val="24"/>
          <w:szCs w:val="24"/>
          <w:highlight w:val="none"/>
          <w:lang w:eastAsia="ru-RU"/>
        </w:rPr>
      </w:r>
      <w:r>
        <w:rPr>
          <w:rFonts w:eastAsia="Liberation Serif" w:cs="Liberation Serif"/>
          <w:color w:val="000000" w:themeColor="text1"/>
        </w:rPr>
        <w:t xml:space="preserve">Структурная схема централизованного водоснабжения с. Красноселькуп приведена на рисунке 1.1.1.</w:t>
      </w:r>
      <w:r>
        <w:rPr>
          <w:rFonts w:eastAsia="Liberation Serif" w:cs="Liberation Serif"/>
          <w:color w:val="000000"/>
          <w:highlight w:val="none"/>
        </w:rPr>
      </w:r>
      <w:r/>
    </w:p>
    <w:p>
      <w:pPr>
        <w:pStyle w:val="1245"/>
        <w:rPr>
          <w:rFonts w:eastAsia="Liberation Serif" w:cs="Liberation Serif"/>
          <w:color w:val="000000"/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245"/>
        <w:ind w:firstLine="0"/>
        <w:jc w:val="center"/>
        <w:keepNext/>
        <w:rPr>
          <w:rFonts w:eastAsia="Liberation Serif" w:cs="Liberation Serif"/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3482" cy="4059836"/>
                <wp:effectExtent l="0" t="0" r="0" b="0"/>
                <wp:docPr id="5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8282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6003482" cy="4059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2.7pt;height:319.7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1230"/>
        <w:jc w:val="center"/>
        <w:keepNext w:val="0"/>
        <w:spacing w:before="0"/>
        <w:rPr>
          <w:rFonts w:eastAsia="Liberation Serif" w:cs="Liberation Serif"/>
          <w:color w:val="000000"/>
          <w:sz w:val="28"/>
        </w:rPr>
      </w:pPr>
      <w:r>
        <w:rPr>
          <w:rFonts w:eastAsia="Liberation Serif" w:cs="Liberation Serif"/>
          <w:color w:val="000000" w:themeColor="text1"/>
          <w:sz w:val="28"/>
        </w:rPr>
        <w:t xml:space="preserve">Рисунок 1.1.1 – Структурная схема централизованного водоснабжения с. Красноселькуп</w:t>
      </w:r>
      <w:r>
        <w:rPr>
          <w:sz w:val="28"/>
        </w:rPr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Водозаборная скважина Г-4 обеспечивает подачу холодной воды без предварительной водоподготовки на нужды электростанции с. Красноселькуп.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Регулируемые виды деятельности в сфере водоснабжения на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</w:t>
      </w:r>
      <w:r>
        <w:rPr>
          <w:rFonts w:eastAsia="Liberation Serif" w:cs="Liberation Serif"/>
          <w:color w:val="000000" w:themeColor="text1"/>
        </w:rPr>
        <w:t xml:space="preserve">уп осуществляет единственная организация – ООО ЭК «ТВЭС», которая осуществляет цикл операций по водоснабжению питьевой водой, включая транспортировку и подачу воды абонентам. ООО ЭК «ТВЭС» образует на территории с. Красноселькуп одну эксплуатационную зону.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14" w:name="_Hlk106177729"/>
      <w:r>
        <w:rPr>
          <w:rFonts w:eastAsia="Liberation Serif" w:cs="Liberation Serif"/>
          <w:color w:val="000000" w:themeColor="text1"/>
        </w:rPr>
        <w:t xml:space="preserve">В эксплуатационной зоне ООО ЭК «ТВЭС» находятся все объекты ЦС ХВС, посредством которых обеспечивается водоснабжение питьевой водой абонентов на территории с. Красноселькуп.</w:t>
      </w:r>
      <w:bookmarkEnd w:id="1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Эксплуатационная зона ООО ЭК «ТВЭС» представлена на рисунке 1.1.2.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1171" cy="4895850"/>
                <wp:effectExtent l="19050" t="19050" r="15875" b="19050"/>
                <wp:docPr id="6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73641" cy="49059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7.3pt;height:385.5pt;mso-wrap-distance-left:0.0pt;mso-wrap-distance-top:0.0pt;mso-wrap-distance-right:0.0pt;mso-wrap-distance-bottom:0.0pt;" strokecolor="#000000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1245"/>
        <w:ind w:firstLine="0"/>
        <w:jc w:val="center"/>
        <w:rPr>
          <w:rFonts w:eastAsia="Liberation Serif" w:cs="Liberation Serif"/>
          <w:b/>
          <w:bCs/>
          <w:color w:val="000000"/>
          <w:sz w:val="28"/>
        </w:rPr>
      </w:pPr>
      <w:r>
        <w:rPr>
          <w:rFonts w:eastAsia="Liberation Serif" w:cs="Liberation Serif"/>
          <w:b/>
          <w:bCs/>
          <w:color w:val="000000" w:themeColor="text1"/>
          <w:sz w:val="28"/>
        </w:rPr>
        <w:t xml:space="preserve">Рисунок 1.1.2 – Эксплуатационная зона ООО ЭК «ТВЭС»</w:t>
      </w:r>
      <w:r>
        <w:rPr>
          <w:sz w:val="28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Объекты ЦС ХВС на территории с. Красноселькуп относятся к:</w:t>
      </w:r>
      <w:r/>
    </w:p>
    <w:p>
      <w:pPr>
        <w:pStyle w:val="1245"/>
        <w:numPr>
          <w:ilvl w:val="0"/>
          <w:numId w:val="113"/>
        </w:numPr>
        <w:ind w:left="1134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ТЗ ВС с. Красноселькуп.</w:t>
      </w:r>
      <w:r/>
    </w:p>
    <w:p>
      <w:pPr>
        <w:pStyle w:val="1245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Описание ТЗ ВС с. Красноселькуп представлено в под</w:t>
      </w:r>
      <w:hyperlink w:tooltip="#_Описание_технологических_зон_1" w:anchor="_Описание_технологических_зон_1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разделе 1.1.3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Вода из водозаборных скважин Г-2, Г-6, Г-8, Г-13, Г-24 с помощью установленных насосных агрегатов поступает на станции водоподготовки, где проходит предварительная очистка воды перед</w:t>
      </w:r>
      <w:r>
        <w:rPr>
          <w:rFonts w:eastAsia="Liberation Serif" w:cs="Liberation Serif"/>
          <w:color w:val="000000" w:themeColor="text1"/>
        </w:rPr>
        <w:t xml:space="preserve"> подачей в водопроводную сеть. Далее очищенная вода подается в распределительную водопроводную сеть для обеспечения хозяйственно-бытовых нужд населения с. Красноселькуп. Водозаборная скважина Г-4 подает техническую воду без очистки на нужды электростанции.</w:t>
      </w:r>
      <w:r/>
    </w:p>
    <w:p>
      <w:pPr>
        <w:pStyle w:val="1075"/>
      </w:pPr>
      <w:r/>
      <w:bookmarkStart w:id="15" w:name="_Toc142312553"/>
      <w:r>
        <w:t xml:space="preserve">Описание территорий населенного пункта, не охваченных централизованными системами водоснабжения.</w:t>
      </w:r>
      <w:bookmarkEnd w:id="15"/>
      <w:r/>
      <w:r/>
    </w:p>
    <w:p>
      <w:pPr>
        <w:ind w:firstLine="709"/>
        <w:jc w:val="both"/>
      </w:pPr>
      <w:r>
        <w:rPr>
          <w:rFonts w:ascii="Liberation Serif" w:hAnsi="Liberation Serif" w:eastAsia="Liberation Serif" w:cs="Liberation Serif"/>
          <w:sz w:val="28"/>
        </w:rPr>
        <w:t xml:space="preserve">Территории с. Красноселькуп, не охваченные централизованными системами водоснабжения, отсутствуют.</w:t>
      </w:r>
      <w:r/>
    </w:p>
    <w:p>
      <w:pPr>
        <w:pStyle w:val="1075"/>
      </w:pPr>
      <w:r/>
      <w:bookmarkStart w:id="16" w:name="_Описание_технологических_зон_1"/>
      <w:r/>
      <w:bookmarkStart w:id="17" w:name="_Toc142312554"/>
      <w:r/>
      <w:bookmarkEnd w:id="16"/>
      <w:r>
        <w:t xml:space="preserve">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водоснабжения.</w:t>
      </w:r>
      <w:bookmarkEnd w:id="17"/>
      <w:r/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со статьей 2 главы 1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ФЗ: </w:t>
      </w:r>
      <w:r/>
    </w:p>
    <w:p>
      <w:pPr>
        <w:pStyle w:val="1245"/>
        <w:numPr>
          <w:ilvl w:val="0"/>
          <w:numId w:val="19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централизованная система холодного водоснабжения –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  <w:r/>
    </w:p>
    <w:p>
      <w:pPr>
        <w:pStyle w:val="1245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2 Требований к содержанию схем водоснабжения и водоотведения, утверждённых ПП РФ от 05.09.2013 № 782: </w:t>
      </w:r>
      <w:r/>
    </w:p>
    <w:p>
      <w:pPr>
        <w:pStyle w:val="1245"/>
        <w:numPr>
          <w:ilvl w:val="0"/>
          <w:numId w:val="19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технологическая зона водоснабжен</w:t>
      </w:r>
      <w:r>
        <w:rPr>
          <w:rFonts w:eastAsia="Liberation Serif" w:cs="Liberation Serif"/>
          <w:color w:val="000000" w:themeColor="text1"/>
        </w:rPr>
        <w:t xml:space="preserve">ия – часть водопроводной сети, принадлежащая организации, осуществляющей горячее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Исходя из указанных выше</w:t>
      </w:r>
      <w:r>
        <w:rPr>
          <w:rFonts w:eastAsia="Liberation Serif" w:cs="Liberation Serif"/>
          <w:color w:val="000000" w:themeColor="text1"/>
        </w:rPr>
        <w:t xml:space="preserve"> определений, следует сделать вывод о том, что в границах действия одной ЦС ХВС может быть выделено как несколько технологических зон водоснабжения, разграничиваемых по признаку принадлежности (эксплуатационной ответственности) объектов централизованных си</w:t>
      </w:r>
      <w:r>
        <w:rPr>
          <w:rFonts w:eastAsia="Liberation Serif" w:cs="Liberation Serif"/>
          <w:color w:val="000000" w:themeColor="text1"/>
        </w:rPr>
        <w:t xml:space="preserve">стем водоснабжения к той или иной организации ВКХ, так и одна технологическая зона в том случае, если все входящие в ЦС ХВС объекты централизованных систем водоснабжения принадлежат (находятся в зоне эксплуатационной ответственности) одной организации ВКХ.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Таким образом, на территории с. Красноселькуп выделены следующие технологические зоны водоснабжения: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ТЗ ВС с. Красноселькуп.</w:t>
      </w:r>
      <w:r/>
    </w:p>
    <w:p>
      <w:pPr>
        <w:pStyle w:val="1245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границах выделенной ТЗ ВС обеспечиваются нормативные значения напора (давления) воды при ее подаче в соответствии с расчетным расходом воды.</w:t>
      </w:r>
      <w:r/>
    </w:p>
    <w:p>
      <w:pPr>
        <w:pStyle w:val="1245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состав ТЗ ВС с. Красноселькуп входит:</w:t>
      </w:r>
      <w:r/>
    </w:p>
    <w:p>
      <w:pPr>
        <w:pStyle w:val="1245"/>
        <w:numPr>
          <w:ilvl w:val="1"/>
          <w:numId w:val="35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сооружения из подземного источника, представленные одиннадцатью водозаборными скважинами (Г-2, Г-4, Г-6, Г-8, Г-13, Г-24 – действующие, Г-14, Г-20, Г-21 – наблюдательные, Г-3, Г-7 – в резерве), расположенные на территории села</w:t>
      </w:r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45"/>
        <w:numPr>
          <w:ilvl w:val="1"/>
          <w:numId w:val="35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одна СВП (СКПВ 500), расположенная в с. Красноселькуп по </w:t>
      </w:r>
      <w:r>
        <w:rPr>
          <w:rFonts w:eastAsia="Liberation Serif" w:cs="Liberation Serif"/>
          <w:color w:val="000000" w:themeColor="text1"/>
        </w:rPr>
        <w:br/>
        <w:t xml:space="preserve">ул. Мамонова, территория котельной № 5 и представляющая собой комплекс технологического оборудования, предназначенного для водоподготовки питьевой воды. В составе СВП находится ВНС </w:t>
      </w:r>
      <w:r>
        <w:rPr>
          <w:rFonts w:eastAsia="Liberation Serif" w:cs="Liberation Serif"/>
          <w:color w:val="000000" w:themeColor="text1"/>
          <w:lang w:val="en-US"/>
        </w:rPr>
        <w:t xml:space="preserve">II</w:t>
      </w:r>
      <w:r>
        <w:rPr>
          <w:rFonts w:eastAsia="Liberation Serif" w:cs="Liberation Serif"/>
          <w:color w:val="000000" w:themeColor="text1"/>
        </w:rPr>
        <w:t xml:space="preserve">-го подъема, осуществляющая подачу питьевой воды в распределительные сети села;</w:t>
      </w:r>
      <w:r/>
    </w:p>
    <w:p>
      <w:pPr>
        <w:pStyle w:val="1245"/>
        <w:numPr>
          <w:ilvl w:val="1"/>
          <w:numId w:val="35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одна СВП (СКПВ 500), расположенная в с. Красноселькуп по </w:t>
      </w:r>
      <w:r>
        <w:rPr>
          <w:rFonts w:eastAsia="Liberation Serif" w:cs="Liberation Serif"/>
          <w:color w:val="000000" w:themeColor="text1"/>
        </w:rPr>
        <w:br/>
        <w:t xml:space="preserve">ул. Огнеборцев, 16 и представляющая собой комплекс технологического оборудования, предназначенного для водоподготовки питьевой воды. В составе </w:t>
      </w:r>
      <w:r>
        <w:rPr>
          <w:rFonts w:eastAsia="Liberation Serif" w:cs="Liberation Serif"/>
          <w:color w:val="000000" w:themeColor="text1"/>
        </w:rPr>
        <w:t xml:space="preserve">СВП находится ВНС </w:t>
      </w:r>
      <w:r>
        <w:rPr>
          <w:rFonts w:eastAsia="Liberation Serif" w:cs="Liberation Serif"/>
          <w:color w:val="000000" w:themeColor="text1"/>
          <w:lang w:val="en-US"/>
        </w:rPr>
        <w:t xml:space="preserve">II</w:t>
      </w:r>
      <w:r>
        <w:rPr>
          <w:rFonts w:eastAsia="Liberation Serif" w:cs="Liberation Serif"/>
          <w:color w:val="000000" w:themeColor="text1"/>
        </w:rPr>
        <w:t xml:space="preserve">-го подъема, осуществляющая подачу питьевой воды в распределительные сети села;</w:t>
      </w:r>
      <w:r/>
    </w:p>
    <w:p>
      <w:pPr>
        <w:pStyle w:val="1245"/>
        <w:numPr>
          <w:ilvl w:val="1"/>
          <w:numId w:val="35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одна СВП (СКПВ 300), расположенная в с. Красноселькуп по </w:t>
      </w:r>
      <w:r>
        <w:rPr>
          <w:rFonts w:eastAsia="Liberation Serif" w:cs="Liberation Serif"/>
          <w:color w:val="000000" w:themeColor="text1"/>
        </w:rPr>
        <w:br/>
        <w:t xml:space="preserve">ул. Строителей, 1а и представляющая собой комплекс технологического оборудования, предназначенного для водоподготовки питьевой воды. В составе СВП находится ВНС </w:t>
      </w:r>
      <w:r>
        <w:rPr>
          <w:rFonts w:eastAsia="Liberation Serif" w:cs="Liberation Serif"/>
          <w:color w:val="000000" w:themeColor="text1"/>
          <w:lang w:val="en-US"/>
        </w:rPr>
        <w:t xml:space="preserve">II</w:t>
      </w:r>
      <w:r>
        <w:rPr>
          <w:rFonts w:eastAsia="Liberation Serif" w:cs="Liberation Serif"/>
          <w:color w:val="000000" w:themeColor="text1"/>
        </w:rPr>
        <w:t xml:space="preserve">-го подъема, осуществляющая подачу питьевой воды в распределительные сети села;</w:t>
      </w:r>
      <w:r/>
    </w:p>
    <w:p>
      <w:pPr>
        <w:pStyle w:val="1245"/>
        <w:numPr>
          <w:ilvl w:val="1"/>
          <w:numId w:val="35"/>
        </w:numPr>
        <w:ind w:left="0" w:firstLine="709"/>
        <w:tabs>
          <w:tab w:val="left" w:pos="992" w:leader="none"/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водопроводные сети суммарной протяженностью 23,8 км.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Границы ТЗ ВС с. Красноселькуп совпадает с эксплуатационной зоной ответственности ООО ЭК «ТВЭС», указанной в подраздел</w:t>
      </w:r>
      <w:hyperlink w:tooltip="#_Описание_системы_и" w:anchor="_Описание_системы_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1.1.1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18" w:name="_Toc142312555"/>
      <w:r>
        <w:t xml:space="preserve">Описание результатов технического обследования централизованных систем водоснабжения.</w:t>
      </w:r>
      <w:bookmarkEnd w:id="18"/>
      <w:r/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Техническое обследование объектов централизованных сис</w:t>
      </w:r>
      <w:r>
        <w:rPr>
          <w:rFonts w:eastAsia="Liberation Serif" w:cs="Liberation Serif"/>
          <w:color w:val="000000" w:themeColor="text1"/>
        </w:rPr>
        <w:t xml:space="preserve">тем водоснабжения в соответствии с Требованиями к проведению технического обследования централизованных систем горячего водоснабжения, холодного водоснабжения и (или) водоотведения, утвержденными Приказом Минстроя РФ от 05.08.2014 № 437/пр, организациями В</w:t>
      </w:r>
      <w:r>
        <w:rPr>
          <w:rFonts w:eastAsia="Liberation Serif" w:cs="Liberation Serif"/>
          <w:color w:val="000000" w:themeColor="text1"/>
        </w:rPr>
        <w:t xml:space="preserve">КХ, осуществляющими эксплуатацию объектов централизованных систем водоснабжения на территории с. Красноселькуп, проводилось в 2017 году, что подтверждено Актом технического обследования централизованных систем водоснабжения с. Красноселькуп от 27.02.2017г.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Ниже в пунктах 1.1.4.1-1.1.4.6 приведено описание и характеристики объектов централизованных систем водоснабжения, дейст</w:t>
      </w:r>
      <w:r>
        <w:rPr>
          <w:rFonts w:eastAsia="Liberation Serif" w:cs="Liberation Serif"/>
          <w:color w:val="000000" w:themeColor="text1"/>
        </w:rPr>
        <w:t xml:space="preserve">вующих на территории с. Красноселькуп, составленное на основании материалов (исходных данных), предоставленных Заказчиком работ и организациями ВКХ, осуществляющими эксплуатацию объектов централизованных систем водоснабжения на территории с. Красноселькуп.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19" w:name="_Toc142312556"/>
      <w:r>
        <w:rPr>
          <w:rFonts w:eastAsia="Liberation Serif"/>
        </w:rPr>
        <w:t xml:space="preserve">Описание</w:t>
      </w:r>
      <w:r>
        <w:rPr>
          <w:rFonts w:eastAsia="Liberation Serif"/>
        </w:rPr>
        <w:t xml:space="preserve"> состояния существующих источников водоснабжения и водозаборных сооружений.</w:t>
      </w:r>
      <w:bookmarkEnd w:id="19"/>
      <w:r/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Источником водоснабжения на территории с. Красноселькуп являются подземные воды, представленные водозаборными скважинами. Водозаборные сооружения состоят из одиннадцати водозабор</w:t>
      </w:r>
      <w:r>
        <w:rPr>
          <w:rFonts w:eastAsia="Liberation Serif" w:cs="Liberation Serif"/>
          <w:color w:val="000000" w:themeColor="text1"/>
        </w:rPr>
        <w:t xml:space="preserve">ных скважин, каптирующих верхнемеловый-палеоценовый комплекс. В постоянной эксплуатации находится 7 скважин. Скважины Г-2, Г-6, Г-8, Г-13, Г-24 равномерно расположены в жилой зоне села и осуществляют централизованное хозяйственно-питьевое и производственно</w:t>
      </w:r>
      <w:r>
        <w:rPr>
          <w:rFonts w:eastAsia="Liberation Serif" w:cs="Liberation Serif"/>
          <w:color w:val="000000" w:themeColor="text1"/>
        </w:rPr>
        <w:t xml:space="preserve">е водоснабжение. Скважина Г-4 расположена в производственной зоне, осуществляет технологическое водоснабжение электростанции с. Красноселькуп и не применяется для питьевых целей. Скважины Г-14, Г-20, Г-21 – не эксплуатируются, Г-3, Г-7 – выведены в резерв.</w:t>
      </w:r>
      <w:r/>
    </w:p>
    <w:p>
      <w:pPr>
        <w:pStyle w:val="1245"/>
        <w:tabs>
          <w:tab w:val="left" w:pos="1560" w:leader="none"/>
          <w:tab w:val="left" w:pos="1843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Суммарные эксплуатационные запасы подземной воды категории А, В всех водозаборных скважин составляют 1700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/сут. Перечень водозаборных скважин на территории с. Красноселькуп приведен в таблице 1.1.2.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1.1.2 – Перечень водозаборных скважин на территории с. Красноселькуп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963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6"/>
        <w:gridCol w:w="1312"/>
        <w:gridCol w:w="1732"/>
        <w:gridCol w:w="832"/>
        <w:gridCol w:w="973"/>
        <w:gridCol w:w="1566"/>
        <w:gridCol w:w="1892"/>
        <w:gridCol w:w="797"/>
      </w:tblGrid>
      <w:tr>
        <w:trPr>
          <w:jc w:val="center"/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№ </w:t>
            </w:r>
            <w:r/>
          </w:p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Наименование скважины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Назначение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Год бурения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Глубина скважины, м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Марка установленного насосного агрегата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Фактическая производительность, м</w:t>
            </w: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  <w:vertAlign w:val="superscript"/>
              </w:rPr>
              <w:t xml:space="preserve">3</w:t>
            </w: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 за 2021г.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Износ, %</w:t>
            </w:r>
            <w:r/>
          </w:p>
        </w:tc>
      </w:tr>
      <w:tr>
        <w:trPr>
          <w:jc w:val="center"/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ind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ind w:left="-142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ind w:left="-113" w:right="-111"/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8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питьевой воды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1981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6-10-140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413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51,67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технической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6-10-140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1257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92,47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8-16-140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113 776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51,67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Наблюдательная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35,00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Наблюдательная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36,11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Наблюдательная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6-10-140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87,70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В резерве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8-25-100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9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86,46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В резерве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6-10-140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84,64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75,8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8-16-140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61470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56,67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8-25-100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22673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28,89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Г-24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Добыча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ЭЦВ 8-16-140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41 246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28,89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Все водозаборны</w:t>
      </w:r>
      <w:r>
        <w:rPr>
          <w:rFonts w:eastAsia="Liberation Serif" w:cs="Liberation Serif"/>
          <w:color w:val="000000" w:themeColor="text1"/>
        </w:rPr>
        <w:t xml:space="preserve">е скважины оборудованы деревянными павильонами, в которых располагается, в том числе оборудование для регулирования напора подаваемой в распределительную сеть водопроводной воды. Давление на выходе с водозаборных скважин поддерживается в диапазоне 3–5кг/см</w:t>
      </w:r>
      <w:r>
        <w:rPr>
          <w:rFonts w:eastAsia="Liberation Serif" w:cs="Liberation Serif"/>
          <w:color w:val="000000" w:themeColor="text1"/>
          <w:vertAlign w:val="superscript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водозаборные скважины Г-8, Г-14 разработан проект ЗСО. Водозаборные скважины находят</w:t>
      </w:r>
      <w:r>
        <w:rPr>
          <w:rFonts w:eastAsia="Liberation Serif" w:cs="Liberation Serif"/>
          <w:color w:val="000000" w:themeColor="text1"/>
        </w:rPr>
        <w:t xml:space="preserve">ся на расстоянии 15м друг от друга, в непосредственной близости от СКПВ-300. Территория скважин ограждена и находится под охраной. Подземные воды эксплуатируемого горизонта являются напорными и характеризируются как защищенные. Границы первого и второго по</w:t>
      </w:r>
      <w:r>
        <w:rPr>
          <w:rFonts w:eastAsia="Liberation Serif" w:cs="Liberation Serif"/>
          <w:color w:val="000000" w:themeColor="text1"/>
        </w:rPr>
        <w:t xml:space="preserve">яса ЗСО совмещены и установлены радиусом 30м от центра скважин. Учитывая значительную защищенность водозаборных скважин, с северной стороны сокращена граница первого и второго пояса ЗСО до 16м. Радиус ЗСО третьего пояса составляет 460м. Территория водозабо</w:t>
      </w:r>
      <w:r>
        <w:rPr>
          <w:rFonts w:eastAsia="Liberation Serif" w:cs="Liberation Serif"/>
          <w:color w:val="000000" w:themeColor="text1"/>
        </w:rPr>
        <w:t xml:space="preserve">рных скважин в санитарном отношении благополучна и отвечает установленным требованиям по охране подземных вод. Отсутствуют источники загрязнения и предусмотрены все необходимые мероприятия, предотвращающие случайно и умышленное загрязнение подземных вод. 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Границы ЗСО водозаборных скважин Г-8, Г-14 представлены на рисунке 1.1.3.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309745"/>
                <wp:effectExtent l="19050" t="19050" r="13970" b="14604"/>
                <wp:docPr id="7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20130" cy="4309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pt;height:339.3pt;mso-wrap-distance-left:0.0pt;mso-wrap-distance-top:0.0pt;mso-wrap-distance-right:0.0pt;mso-wrap-distance-bottom:0.0pt;" strokecolor="#000000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1245"/>
        <w:jc w:val="center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1.1.3 – Границы ЗСО водозаборных скважин Г-8, Г-14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водозаборную скважину Г-20 разработан проект ЗСО. Подземные воды эксплуатируемого горизонта являются напорными и характеризируются как защищенные. Границы первого и в</w:t>
      </w:r>
      <w:r>
        <w:rPr>
          <w:rFonts w:eastAsia="Liberation Serif" w:cs="Liberation Serif"/>
          <w:color w:val="000000" w:themeColor="text1"/>
        </w:rPr>
        <w:t xml:space="preserve">торого пояса ЗСО совмещены и установлены в границах отведенного земельного участка от устья скважины до ограждения территории: с южной стороны 7м, с восточной 15м, с северной 50м, западной 38м. Радиус ЗСО третьего пояса составляет 460м. Территория водозабо</w:t>
      </w:r>
      <w:r>
        <w:rPr>
          <w:rFonts w:eastAsia="Liberation Serif" w:cs="Liberation Serif"/>
          <w:color w:val="000000" w:themeColor="text1"/>
        </w:rPr>
        <w:t xml:space="preserve">рных скважин в санитарном отношении благополучна и отвечает установленным требованиям по охране подземных вод. Отсутствуют источники загрязнения и предусмотрены все необходимые мероприятия, предотвращающие случайно и умышленное загрязнение подземных вод. 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Границы ЗСО водозаборной скважины Г-20 представлен на рисунке 1.1.4.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663950"/>
                <wp:effectExtent l="19050" t="19050" r="13970" b="12700"/>
                <wp:docPr id="8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20130" cy="3663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9pt;height:288.5pt;mso-wrap-distance-left:0.0pt;mso-wrap-distance-top:0.0pt;mso-wrap-distance-right:0.0pt;mso-wrap-distance-bottom:0.0pt;" strokecolor="#000000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1245"/>
        <w:ind w:firstLine="0"/>
        <w:jc w:val="center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1.1.4 – Границы ЗСО водозаборной скважины Г-20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водозаборные скважины Г-13, Г-24 разработан проект ЗСО. Водозаборные скважины находятся на расстоянии 15м друг от друга. Территори</w:t>
      </w:r>
      <w:r>
        <w:rPr>
          <w:rFonts w:eastAsia="Liberation Serif" w:cs="Liberation Serif"/>
          <w:color w:val="000000" w:themeColor="text1"/>
        </w:rPr>
        <w:t xml:space="preserve">я скважин не благоустроена, без охраны, с частичным ограждением 45м с южной стороны. Границы первого и второго пояса ЗСО совмещены и установлены в границах отведенного земельного участка под водозаборные скважины. Радиус ЗСО третьего пояса составляет 570м.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Границы ЗСО водозаборных скважин Г-13, Г-24 представлены на рисунке 1.1.5.</w:t>
      </w:r>
      <w:r/>
    </w:p>
    <w:p>
      <w:pPr>
        <w:pStyle w:val="1245"/>
        <w:ind w:firstLine="0"/>
        <w:jc w:val="center"/>
        <w:rPr>
          <w:rFonts w:eastAsia="Liberation Serif" w:cs="Liberation Serif"/>
          <w:bCs/>
          <w:color w:val="000000"/>
        </w:rPr>
      </w:pPr>
      <w:r>
        <w:rPr>
          <w:rFonts w:eastAsia="Liberation Serif" w:cs="Liberation Serif"/>
          <w:bCs/>
          <w:color w:val="000000" w:themeColor="text1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5172075"/>
                <wp:effectExtent l="19050" t="19050" r="19050" b="28575"/>
                <wp:docPr id="9" name="Рисунок 1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15050" cy="5172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5pt;height:407.2pt;mso-wrap-distance-left:0.0pt;mso-wrap-distance-top:0.0pt;mso-wrap-distance-right:0.0pt;mso-wrap-distance-bottom:0.0pt;" strokecolor="#000000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1245"/>
        <w:jc w:val="center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1.1.5 – Границы ЗСО водозаборных скважин Г-13, Г-24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Разработанные проекты ЗСО в соответствии с</w:t>
      </w:r>
      <w:r>
        <w:rPr>
          <w:rFonts w:eastAsia="Liberation Serif" w:cs="Liberation Serif"/>
          <w:color w:val="000000" w:themeColor="text1"/>
        </w:rPr>
        <w:t xml:space="preserve"> экспертными заключениями о соответствии (несоответствии) государственным санитарно-эпидемиологическим правилам и нормативам, разработанные ФБУЗ «Центр гигиены и эпидемиологии в Ямало-Ненецком автономном округе», не соответствуют действующим требованиям. 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Добыча подземных вод осуществляется на основании Лицензии на право пользования недрами от 05.12.2008 СЛХ 02204 ВЭ, срок действия до 2033г.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20" w:name="_Hlk118118682"/>
      <w:r>
        <w:rPr>
          <w:rFonts w:eastAsia="Liberation Serif" w:cs="Liberation Serif"/>
          <w:color w:val="000000" w:themeColor="text1"/>
        </w:rPr>
        <w:t xml:space="preserve">Действующие водозаборные скважины </w:t>
      </w:r>
      <w:r>
        <w:rPr>
          <w:rFonts w:eastAsia="Liberation Serif" w:cs="Liberation Serif"/>
          <w:color w:val="000000" w:themeColor="text1"/>
          <w:highlight w:val="white"/>
        </w:rPr>
        <w:t xml:space="preserve">Г-8, Г-13, Г-24</w:t>
      </w:r>
      <w:r>
        <w:rPr>
          <w:rFonts w:eastAsia="Liberation Serif" w:cs="Liberation Serif"/>
          <w:color w:val="000000" w:themeColor="text1"/>
        </w:rPr>
        <w:t xml:space="preserve"> оборудованы резервными источниками электроснабжения, представленные в виде стационарных дизельных генераторов.</w:t>
      </w:r>
      <w:bookmarkEnd w:id="20"/>
      <w:r>
        <w:rPr>
          <w:rFonts w:eastAsia="Liberation Serif" w:cs="Liberation Serif"/>
          <w:color w:val="000000" w:themeColor="text1"/>
        </w:rPr>
        <w:t xml:space="preserve"> Водозаборные </w:t>
      </w:r>
      <w:r>
        <w:rPr>
          <w:rFonts w:eastAsia="Liberation Serif" w:cs="Liberation Serif"/>
          <w:color w:val="000000" w:themeColor="text1"/>
          <w:highlight w:val="white"/>
        </w:rPr>
        <w:t xml:space="preserve">скважины </w:t>
      </w:r>
      <w:r>
        <w:rPr>
          <w:rFonts w:eastAsia="Liberation Serif" w:cs="Liberation Serif"/>
          <w:color w:val="000000" w:themeColor="text1"/>
        </w:rPr>
        <w:t xml:space="preserve">Г-2, Г-4, Г-6</w:t>
      </w:r>
      <w:r>
        <w:rPr>
          <w:rFonts w:eastAsia="Liberation Serif" w:cs="Liberation Serif"/>
          <w:color w:val="000000" w:themeColor="text1"/>
          <w:highlight w:val="white"/>
        </w:rPr>
        <w:t xml:space="preserve">, а </w:t>
      </w:r>
      <w:r>
        <w:rPr>
          <w:rFonts w:eastAsia="Liberation Serif" w:cs="Liberation Serif"/>
          <w:color w:val="000000" w:themeColor="text1"/>
          <w:highlight w:val="white"/>
        </w:rPr>
        <w:t xml:space="preserve">также</w:t>
      </w:r>
      <w:r>
        <w:rPr>
          <w:rFonts w:eastAsia="Liberation Serif" w:cs="Liberation Serif"/>
          <w:color w:val="000000" w:themeColor="text1"/>
          <w:highlight w:val="white"/>
        </w:rPr>
        <w:t xml:space="preserve"> СКПВ-500.1 и СКПВ-500.2 – не оборудованы </w:t>
      </w:r>
      <w:r>
        <w:rPr>
          <w:rFonts w:eastAsia="Liberation Serif" w:cs="Liberation Serif"/>
          <w:color w:val="000000" w:themeColor="text1"/>
        </w:rPr>
        <w:t xml:space="preserve">резервными источниками электроснабжения</w:t>
      </w:r>
      <w:r>
        <w:rPr>
          <w:rFonts w:eastAsia="Liberation Serif" w:cs="Liberation Serif"/>
          <w:color w:val="000000" w:themeColor="text1"/>
          <w:highlight w:val="white"/>
        </w:rPr>
        <w:t xml:space="preserve">. Подключение по II категории надежности </w:t>
      </w:r>
      <w:r>
        <w:rPr>
          <w:rFonts w:eastAsia="Liberation Serif" w:cs="Liberation Serif"/>
          <w:color w:val="000000" w:themeColor="text1"/>
        </w:rPr>
        <w:t xml:space="preserve">водозаборных </w:t>
      </w:r>
      <w:r>
        <w:rPr>
          <w:rFonts w:eastAsia="Liberation Serif" w:cs="Liberation Serif"/>
          <w:color w:val="000000" w:themeColor="text1"/>
          <w:highlight w:val="white"/>
        </w:rPr>
        <w:t xml:space="preserve">скважин </w:t>
      </w:r>
      <w:r>
        <w:rPr>
          <w:rFonts w:eastAsia="Liberation Serif" w:cs="Liberation Serif"/>
          <w:color w:val="000000" w:themeColor="text1"/>
        </w:rPr>
        <w:t xml:space="preserve">Г-2, Г-4, Г-6</w:t>
      </w:r>
      <w:r>
        <w:rPr>
          <w:rFonts w:eastAsia="Liberation Serif" w:cs="Liberation Serif"/>
          <w:color w:val="000000" w:themeColor="text1"/>
          <w:highlight w:val="white"/>
        </w:rPr>
        <w:t xml:space="preserve">, СКПВ-500.1 и СКПВ-500.2 будет осуществлено в рамках исполнения инвестиционной программы по развитию системы электроснабжения с. Красноселькуп</w:t>
      </w:r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21" w:name="_Toc142312557"/>
      <w:r>
        <w:rPr>
          <w:rFonts w:eastAsia="Liberation Serif"/>
        </w:rPr>
        <w:t xml:space="preserve">Описание</w:t>
      </w:r>
      <w:r>
        <w:rPr>
          <w:rFonts w:eastAsia="Liberation Serif"/>
        </w:rPr>
        <w:t xml:space="preserve">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bookmarkEnd w:id="2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Перед подачей воды в распределительную водопроводную сеть осуществляется ее водоподготовка на трех СВП. СВП представлены в виде двух установок СКПВ 500, производительностью 500м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/сут и СКПВ 300, производительностью 300м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/сут. Все СВП введены в эксплуатацию в 2010г. 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22" w:name="_Hlk118118136"/>
      <w:r>
        <w:rPr>
          <w:rFonts w:eastAsia="Liberation Serif" w:cs="Liberation Serif"/>
          <w:color w:val="000000" w:themeColor="text1"/>
        </w:rPr>
        <w:t xml:space="preserve">Технологическая схема очистки питьевой воды на СВП представлена на рисунке 1.1.6.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center"/>
        <w:rPr>
          <w:rFonts w:eastAsia="Liberation Serif" w:cs="Liberation Serif"/>
          <w:bCs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352290"/>
                <wp:effectExtent l="19050" t="19050" r="13970" b="10160"/>
                <wp:docPr id="10" name="Рисунок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20130" cy="43522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1.9pt;height:342.7pt;mso-wrap-distance-left:0.0pt;mso-wrap-distance-top:0.0pt;mso-wrap-distance-right:0.0pt;mso-wrap-distance-bottom:0.0pt;" strokecolor="#000000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1245"/>
        <w:jc w:val="center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1.1.6 – Технологическая схема очистки питьевой воды на СВП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состав СВП входят следующие основные элементы: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гидроциклон;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блок эжекционной обработки;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узел дозирования реагента;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блок электрокоагуляторов;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камера взвешенного слоя;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резервуар буферный;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блок тонкослойного отстаивания;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механический фильтр;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сорбционный фильтр;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резервуар сгуститель;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камерный фильтр-пресс;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установка бактерицидной обработки;</w:t>
      </w:r>
      <w:r/>
    </w:p>
    <w:p>
      <w:pPr>
        <w:pStyle w:val="1245"/>
        <w:numPr>
          <w:ilvl w:val="0"/>
          <w:numId w:val="5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усреднительно-накопительный резервуар.</w:t>
      </w:r>
      <w:bookmarkEnd w:id="22"/>
      <w:r/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/>
      <w:bookmarkStart w:id="23" w:name="_Hlk118197866"/>
      <w:r/>
      <w:bookmarkStart w:id="24" w:name="_Hlk118122260"/>
      <w:r>
        <w:rPr>
          <w:rFonts w:eastAsia="Liberation Serif" w:cs="Liberation Serif"/>
          <w:color w:val="000000" w:themeColor="text1"/>
        </w:rPr>
        <w:t xml:space="preserve">Начальная стадия очистки предусматривает удаление твердых частицы из воды в виде песка, окалин. Для этого предусмотрена установка гидроциклона-песколовки, работающая по принципу центробежной сепарации. После удаления твёрдых частиц обр</w:t>
      </w:r>
      <w:r>
        <w:rPr>
          <w:rFonts w:eastAsia="Liberation Serif" w:cs="Liberation Serif"/>
          <w:color w:val="000000" w:themeColor="text1"/>
        </w:rPr>
        <w:t xml:space="preserve">абатываемая вода поступает на блок гравитационно-эжекционной обработки. Данный блок предназначен для объединения молекул и ионов в агрегаты коллоидных размеров. Молекулярные и ионные растворы переходят в коллоидные путем перехода растворенных веществ в нер</w:t>
      </w:r>
      <w:r>
        <w:rPr>
          <w:rFonts w:eastAsia="Liberation Serif" w:cs="Liberation Serif"/>
          <w:color w:val="000000" w:themeColor="text1"/>
        </w:rPr>
        <w:t xml:space="preserve">астворимое состояние. Для этого применяется конденсационный метод получения коллоидных растворов, в основе которого лежит явление конденсации паров. Водовоздушная смесь в блоке образуется с помощью электродвигателя, вращающихся форсунок и применении эффект</w:t>
      </w:r>
      <w:r>
        <w:rPr>
          <w:rFonts w:eastAsia="Liberation Serif" w:cs="Liberation Serif"/>
          <w:color w:val="000000" w:themeColor="text1"/>
        </w:rPr>
        <w:t xml:space="preserve">а эжекции для интенсификации процесса. Затем по технологической схеме вода насосом подается на блок электрообработки где происходит ряд электрохимических реакций восстановления и окисления, сопровождающиеся образованием твёрдых или газообразных продуктов. 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Далее вода поступает в камеру взвешенного слоя, при движении воды через взвешенный слой осадка происходит ее осветление. Затем по технологической схеме вода поступает в блок тонкослойного отстаивания, где происходит процесс осаждения примесей. Процесс оса</w:t>
      </w:r>
      <w:r>
        <w:rPr>
          <w:rFonts w:eastAsia="Liberation Serif" w:cs="Liberation Serif"/>
          <w:color w:val="000000" w:themeColor="text1"/>
        </w:rPr>
        <w:t xml:space="preserve">ждения примесей происходит в малом по толщине слое воды внутри тонкослойного модуля с наклонными элементами. Такая конструкция позволяет быстрее осаждать взвесь, а собранные примеси самотеком сползают по уклону в зону хлопьеобразование и уплотнения осадка.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Далее вода поступает в буферную емкость, откуда насосом подается на механический и сорбционный фильтры, которые предназначены для доочистки обрабатываемой воды. В конечной стадии очистки производится УФ обеззараживание.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Накопивши</w:t>
      </w:r>
      <w:r>
        <w:rPr>
          <w:rFonts w:eastAsia="Liberation Serif" w:cs="Liberation Serif"/>
          <w:color w:val="000000" w:themeColor="text1"/>
        </w:rPr>
        <w:t xml:space="preserve">йся осадок в камере взвешенного слоя сбрасывается периодически в дренажный трубопровод, промывная вода от фильтров при промывках также сбрасывается в дренажный трубопровод, по которому осадок поступает в дренажную систему накопительной емкости (септик 25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З</w:t>
      </w:r>
      <w:r>
        <w:rPr>
          <w:rFonts w:eastAsia="Liberation Serif" w:cs="Liberation Serif"/>
          <w:color w:val="000000" w:themeColor="text1"/>
        </w:rPr>
        <w:t xml:space="preserve">).</w:t>
      </w:r>
      <w:bookmarkEnd w:id="23"/>
      <w:r/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качестве реагентов на СВП применяются:</w:t>
      </w:r>
      <w:r/>
    </w:p>
    <w:p>
      <w:pPr>
        <w:pStyle w:val="1245"/>
        <w:numPr>
          <w:ilvl w:val="0"/>
          <w:numId w:val="5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гидрокс хлорид алюминия и щелочь, вводимые в блок коагуляции;</w:t>
      </w:r>
      <w:r/>
    </w:p>
    <w:p>
      <w:pPr>
        <w:pStyle w:val="1245"/>
        <w:numPr>
          <w:ilvl w:val="0"/>
          <w:numId w:val="5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цеолит, используемый в качестве загрузки в механических и сорбционных фильтрах.</w:t>
      </w:r>
      <w:bookmarkEnd w:id="24"/>
      <w:r/>
      <w:r/>
    </w:p>
    <w:p>
      <w:pPr>
        <w:pStyle w:val="1245"/>
        <w:ind w:left="709" w:firstLine="0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Для накопления очищенной питьевой воды на каждой СВП установлены:</w:t>
      </w:r>
      <w:r/>
    </w:p>
    <w:p>
      <w:pPr>
        <w:pStyle w:val="1245"/>
        <w:numPr>
          <w:ilvl w:val="0"/>
          <w:numId w:val="105"/>
        </w:numPr>
        <w:ind w:left="0" w:firstLine="709"/>
        <w:shd w:val="clear" w:color="ffffff" w:themeColor="background1" w:fill="ffffff" w:themeFill="background1"/>
        <w:tabs>
          <w:tab w:val="left" w:pos="992" w:leader="none"/>
        </w:tabs>
        <w:rPr>
          <w:rFonts w:eastAsia="Liberation Serif" w:cs="Liberation Serif"/>
          <w:highlight w:val="white"/>
        </w:rPr>
      </w:pPr>
      <w:r>
        <w:rPr>
          <w:rFonts w:eastAsia="Liberation Serif" w:cs="Liberation Serif"/>
          <w:highlight w:val="white"/>
        </w:rPr>
        <w:t xml:space="preserve">СКПВ-500.1 – 75м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  <w:highlight w:val="white"/>
        </w:rPr>
        <w:t xml:space="preserve"> внутренний РЧВ, 2 наружных РГС по 100 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  <w:highlight w:val="white"/>
        </w:rPr>
        <w:t xml:space="preserve"> каждый</w:t>
      </w:r>
      <w:r>
        <w:rPr>
          <w:rFonts w:eastAsia="Liberation Serif" w:cs="Liberation Serif"/>
        </w:rPr>
        <w:t xml:space="preserve">;</w:t>
      </w:r>
      <w:r/>
    </w:p>
    <w:p>
      <w:pPr>
        <w:pStyle w:val="1245"/>
        <w:numPr>
          <w:ilvl w:val="0"/>
          <w:numId w:val="105"/>
        </w:numPr>
        <w:ind w:left="0" w:firstLine="709"/>
        <w:shd w:val="clear" w:color="ffffff" w:themeColor="background1" w:fill="ffffff" w:themeFill="background1"/>
        <w:tabs>
          <w:tab w:val="left" w:pos="992" w:leader="none"/>
        </w:tabs>
        <w:rPr>
          <w:rFonts w:eastAsia="Liberation Serif" w:cs="Liberation Serif"/>
          <w:highlight w:val="white"/>
        </w:rPr>
      </w:pPr>
      <w:r>
        <w:rPr>
          <w:rFonts w:eastAsia="Liberation Serif" w:cs="Liberation Serif"/>
          <w:highlight w:val="white"/>
        </w:rPr>
        <w:t xml:space="preserve">СКПВ-500.2 – 75м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  <w:highlight w:val="white"/>
        </w:rPr>
        <w:t xml:space="preserve"> внутренний РЧВ, 1 наружный РГС 100 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  <w:highlight w:val="white"/>
        </w:rPr>
        <w:t xml:space="preserve">;</w:t>
      </w:r>
      <w:r/>
    </w:p>
    <w:p>
      <w:pPr>
        <w:pStyle w:val="1245"/>
        <w:numPr>
          <w:ilvl w:val="0"/>
          <w:numId w:val="105"/>
        </w:numPr>
        <w:ind w:left="0" w:firstLine="709"/>
        <w:shd w:val="clear" w:color="ffffff" w:themeColor="background1" w:fill="ffffff" w:themeFill="background1"/>
        <w:tabs>
          <w:tab w:val="left" w:pos="992" w:leader="none"/>
        </w:tabs>
        <w:rPr>
          <w:rFonts w:eastAsia="Liberation Serif" w:cs="Liberation Serif"/>
          <w:highlight w:val="white"/>
        </w:rPr>
      </w:pPr>
      <w:r>
        <w:rPr>
          <w:rFonts w:eastAsia="Liberation Serif" w:cs="Liberation Serif"/>
          <w:highlight w:val="white"/>
        </w:rPr>
        <w:t xml:space="preserve">СКПВ-300 </w:t>
      </w:r>
      <w:r>
        <w:rPr>
          <w:rFonts w:eastAsia="Liberation Serif" w:cs="Liberation Serif"/>
          <w:highlight w:val="white"/>
        </w:rPr>
        <w:t xml:space="preserve">–</w:t>
      </w:r>
      <w:r>
        <w:rPr>
          <w:rFonts w:eastAsia="Liberation Serif" w:cs="Liberation Serif"/>
          <w:highlight w:val="white"/>
        </w:rPr>
        <w:t xml:space="preserve"> 75м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  <w:highlight w:val="white"/>
        </w:rPr>
        <w:t xml:space="preserve"> внутренний РЧВ, 3 наружных РГС 100 м</w:t>
      </w:r>
      <w:r>
        <w:rPr>
          <w:rFonts w:eastAsia="Liberation Serif" w:cs="Liberation Serif"/>
          <w:highlight w:val="white"/>
          <w:vertAlign w:val="superscript"/>
        </w:rPr>
        <w:t xml:space="preserve">3</w:t>
      </w:r>
      <w:r>
        <w:rPr>
          <w:rFonts w:eastAsia="Liberation Serif" w:cs="Liberation Serif"/>
        </w:rPr>
        <w:t xml:space="preserve">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Согласно анализам проб питьевой воды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на выходе с СВП наблюдаются превышения по следующим показателям качества воды: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марганец;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аммиак и ионы аммония;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железо.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 учетом имеющих превышений показателей качества питьевой воды действующая технология водоподготовки не отвечает требованиям обеспечения нормативов качества воды СанПиН 1.2.3685-21. 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составляет 7,02%, что в свою очередь подтверждает несоответствие качества подаваемой в сеть воды.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25" w:name="_Toc142312558"/>
      <w:r>
        <w:rPr>
          <w:rFonts w:eastAsia="Liberation Serif"/>
        </w:rPr>
        <w:t xml:space="preserve">Описание состояния и функционирования существующих н</w:t>
      </w:r>
      <w:r>
        <w:rPr>
          <w:rFonts w:eastAsia="Liberation Serif"/>
        </w:rPr>
        <w:t xml:space="preserve">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bookmarkEnd w:id="25"/>
      <w:r/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составе ЦС ХВС с. Красноселькуп отсутствуют отдельные насосные централизованные станции, обеспечивающие поддержания необходимого давления в распределительной водопроводной сети. В составе СВП имеются ВНС </w:t>
      </w:r>
      <w:r>
        <w:rPr>
          <w:rFonts w:eastAsia="Liberation Serif" w:cs="Liberation Serif"/>
          <w:color w:val="000000" w:themeColor="text1"/>
          <w:lang w:val="en-US"/>
        </w:rPr>
        <w:t xml:space="preserve">II</w:t>
      </w:r>
      <w:r>
        <w:rPr>
          <w:rFonts w:eastAsia="Liberation Serif" w:cs="Liberation Serif"/>
          <w:color w:val="000000" w:themeColor="text1"/>
        </w:rPr>
        <w:t xml:space="preserve">-го подъема, осуществляющие подачу воды в распределительную водопроводную сеть после водоподготовки. Удельный расход электрической энергии на водоподготовку и транспортировку питьевой воды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составил 3,45 кВт·ч/м³.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26" w:name="_Toc142312559"/>
      <w:r>
        <w:rPr>
          <w:rFonts w:eastAsia="Liberation Serif"/>
        </w:rPr>
        <w:t xml:space="preserve"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  <w:bookmarkEnd w:id="26"/>
      <w:r/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Общая протяженность водопроводных сетей на территории с. Красноселькуп составляет 23,8 км. Трубопроводы проложены надземно, на низких опорах и в непроходных каналах. В качестве теплового сопровождения трубопроводы проложены в совместной конструкции т</w:t>
      </w:r>
      <w:r>
        <w:rPr>
          <w:rFonts w:eastAsia="Liberation Serif" w:cs="Liberation Serif"/>
          <w:color w:val="000000" w:themeColor="text1"/>
        </w:rPr>
        <w:t xml:space="preserve">епловой изоляции с обратным трубопроводом тепловой сети. Трубопроводы преимущественно выполнены из стали, незначительное количество участков представлены в виде полиэтилена. Диаметр трубопроводов варьируется от 15 до 100мм. Год постройки трубопроводов 1975</w:t>
      </w:r>
      <w:r>
        <w:rPr>
          <w:rFonts w:eastAsia="Liberation Serif" w:cs="Liberation Serif"/>
          <w:color w:val="000000" w:themeColor="text1"/>
        </w:rPr>
        <w:t xml:space="preserve">-</w:t>
      </w:r>
      <w:r>
        <w:rPr>
          <w:rFonts w:eastAsia="Liberation Serif" w:cs="Liberation Serif"/>
          <w:color w:val="000000" w:themeColor="text1"/>
        </w:rPr>
        <w:t xml:space="preserve">2014гг., средний износ трубопроводов составляет 40%.</w:t>
      </w:r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проб питьевой воды в распределительной водопроводной сети, не соответствующих установленным требованиям,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составила 25,71%, что в свою очередь свидетельствует о невозможности о</w:t>
      </w:r>
      <w:r>
        <w:rPr>
          <w:rFonts w:eastAsia="Liberation Serif" w:cs="Liberation Serif"/>
          <w:color w:val="000000" w:themeColor="text1"/>
        </w:rPr>
        <w:t xml:space="preserve">беспечения качества воды в процессе транспортировки. Стоит отметить, что для повышения качества воды в распределительной сети возможно достичь при соответствии показателей качества питьевой воды на выходе с источников водоснабжения, станций водоподготовки.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27" w:name="_Toc142312560"/>
      <w:r>
        <w:rPr>
          <w:rFonts w:eastAsia="Liberation Serif"/>
        </w:rPr>
        <w:t xml:space="preserve">Описание существующих технических технологических проблем, возникающих при водоснабжении населенного пункта.</w:t>
      </w:r>
      <w:bookmarkEnd w:id="27"/>
      <w:r>
        <w:rPr>
          <w:rFonts w:eastAsia="Liberation Serif"/>
        </w:rPr>
        <w:t xml:space="preserve"> </w:t>
      </w:r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Основными техническими и технологическими проблемами централизованной системы водоснабжения с. Красноселькуп являются:</w:t>
      </w:r>
      <w:r/>
    </w:p>
    <w:p>
      <w:pPr>
        <w:pStyle w:val="1245"/>
        <w:numPr>
          <w:ilvl w:val="0"/>
          <w:numId w:val="36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несоответствие качества питьевой воды на выходе с СВП требованиям СанПиН 1.2.3685-21;</w:t>
      </w:r>
      <w:r/>
    </w:p>
    <w:p>
      <w:pPr>
        <w:pStyle w:val="1245"/>
        <w:numPr>
          <w:ilvl w:val="0"/>
          <w:numId w:val="36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несоответствии проектов ЗСО действующим требованиям; </w:t>
      </w:r>
      <w:r/>
    </w:p>
    <w:p>
      <w:pPr>
        <w:pStyle w:val="1245"/>
        <w:numPr>
          <w:ilvl w:val="0"/>
          <w:numId w:val="36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отсутствие систем управления (автоматизации и диспетчеризации) на части основных объектах ЦС ХВС;</w:t>
      </w:r>
      <w:r/>
    </w:p>
    <w:p>
      <w:pPr>
        <w:pStyle w:val="1245"/>
        <w:numPr>
          <w:ilvl w:val="0"/>
          <w:numId w:val="36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высокий физический износ водопроводных сетей, вызывающий значительные потери питьевой воды при транспортировке;</w:t>
      </w:r>
      <w:r/>
    </w:p>
    <w:p>
      <w:pPr>
        <w:pStyle w:val="1245"/>
        <w:numPr>
          <w:ilvl w:val="0"/>
          <w:numId w:val="36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вторичное загрязнение водопроводной воды при транспортировке в следствие высокой степени коррозии сетей водоснабжения, наличия различного рода примесей и взвесей.</w:t>
      </w:r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отношении ООО «ТВЭС» была проведена проверка территориальным отделом Управления Роспотребнадзора по ЯНАО в Пуровском, Красноселькупском районах. По итогам проверки были выявлены следующие недостатки:</w:t>
      </w:r>
      <w:r/>
    </w:p>
    <w:p>
      <w:pPr>
        <w:pStyle w:val="1245"/>
        <w:numPr>
          <w:ilvl w:val="0"/>
          <w:numId w:val="51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отсутствует санитарно-эпидемиологическое заключение о соответствии санитарным правилам и</w:t>
      </w:r>
      <w:r>
        <w:rPr>
          <w:rFonts w:eastAsia="Liberation Serif" w:cs="Liberation Serif"/>
          <w:color w:val="000000" w:themeColor="text1"/>
        </w:rPr>
        <w:t xml:space="preserve">спользования водного объекта в целях питьевого и (или) бытового водоснабжения, что не соответствует требованиям пункта 3 статьи 18 закона от 30.03.1999 № 52- ФЗ «О санитарно-эпидемиологическом благополучии соответствии хозяйственно-федерального населения»;</w:t>
      </w:r>
      <w:r/>
    </w:p>
    <w:p>
      <w:pPr>
        <w:pStyle w:val="1245"/>
        <w:numPr>
          <w:ilvl w:val="0"/>
          <w:numId w:val="51"/>
        </w:numPr>
        <w:ind w:left="0" w:firstLine="709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несоответствии качества питьевой воды требованиям СанПиН 2.1.3684-21 по показателю марганец.</w:t>
      </w:r>
      <w:r/>
    </w:p>
    <w:p>
      <w:pPr>
        <w:pStyle w:val="1076"/>
        <w:rPr>
          <w:rFonts w:eastAsia="Liberation Serif"/>
          <w:color w:val="000000"/>
        </w:rPr>
      </w:pPr>
      <w:r/>
      <w:bookmarkStart w:id="28" w:name="_Описание_централизованной_системы"/>
      <w:r/>
      <w:bookmarkStart w:id="29" w:name="_Toc142312561"/>
      <w:r/>
      <w:bookmarkEnd w:id="28"/>
      <w:r>
        <w:rPr>
          <w:rFonts w:eastAsia="Liberation Serif"/>
        </w:rP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29"/>
      <w:r/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Централизованная система горячего водоснабжения с использованием закрытых систем горячего водоснабжения на территории с. Красноселькуп отсутствует.</w:t>
      </w:r>
      <w:r/>
    </w:p>
    <w:p>
      <w:pPr>
        <w:pStyle w:val="1075"/>
      </w:pPr>
      <w:r/>
      <w:bookmarkStart w:id="30" w:name="_Toc142312562"/>
      <w:r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bookmarkEnd w:id="30"/>
      <w:r/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территории с. Красн</w:t>
      </w:r>
      <w:r>
        <w:rPr>
          <w:rFonts w:eastAsia="Liberation Serif" w:cs="Liberation Serif"/>
          <w:color w:val="000000" w:themeColor="text1"/>
        </w:rPr>
        <w:t xml:space="preserve">оселькуп присутствуют зоны распространения вечномерзлых грунтов. Территория с. Красноселькуп находится во 2-ой зоне морозостойкости, глубина промерзания грунта может доходить до 3м. С учетом расположения с. Красноселькуп возможно замерзание воды в ЦС ХВС. </w:t>
      </w:r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Для предотвращения замерзания воды в сетях в</w:t>
      </w:r>
      <w:r>
        <w:rPr>
          <w:rFonts w:eastAsia="Liberation Serif" w:cs="Liberation Serif"/>
          <w:color w:val="000000" w:themeColor="text1"/>
        </w:rPr>
        <w:t xml:space="preserve">одоснабжения в качестве технического решения предусматривается прокладка трубопроводов водоснабжения совместно с сетями теплоснабжения, организация закольцовок на тупиковых участка распределительной сети, организация контролируемых спусков воды из системы.</w:t>
      </w:r>
      <w:r/>
    </w:p>
    <w:p>
      <w:pPr>
        <w:pStyle w:val="1075"/>
      </w:pPr>
      <w:r/>
      <w:bookmarkStart w:id="31" w:name="_Toc142312563"/>
      <w: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bookmarkEnd w:id="31"/>
      <w:r/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Все объекты ЦС ХВС, относящиеся к ТЗ ВС с. Красноселькуп на территории с. Красноселькуп, являются объектами недвижимого имущества и находятся в собственности администрации К</w:t>
      </w:r>
      <w:r>
        <w:rPr>
          <w:rFonts w:eastAsia="Liberation Serif" w:cs="Liberation Serif"/>
          <w:color w:val="000000" w:themeColor="text1"/>
        </w:rPr>
        <w:t xml:space="preserve">расноселькупского района. В целях осуществления эксплуатации, поддержания и развития объектов ЦС ХВС было заключено концессионное соглашение от 15.11.2021г. № 89-14/03-02/83 с ООО ЭК «ТВЭС», предусматривающее передачу данных объектов во временное владение.</w:t>
      </w:r>
      <w:r/>
    </w:p>
    <w:p>
      <w:pPr>
        <w:pStyle w:val="1245"/>
        <w:tabs>
          <w:tab w:val="left" w:pos="993" w:leader="none"/>
          <w:tab w:val="left" w:pos="1134" w:leader="none"/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rFonts w:asciiTheme="minorHAnsi" w:hAnsiTheme="minorHAnsi"/>
        </w:rPr>
      </w:pPr>
      <w:r/>
      <w:bookmarkStart w:id="32" w:name="_Toc142312564"/>
      <w:r>
        <w:t xml:space="preserve">Направления развития централизованных систем водоснабжения</w:t>
      </w:r>
      <w:bookmarkEnd w:id="32"/>
      <w:r/>
      <w:r/>
    </w:p>
    <w:p>
      <w:pPr>
        <w:pStyle w:val="2207"/>
        <w:numPr>
          <w:ilvl w:val="0"/>
          <w:numId w:val="0"/>
        </w:numPr>
        <w:ind w:left="1069"/>
      </w:pPr>
      <w:r/>
      <w:r/>
    </w:p>
    <w:p>
      <w:pPr>
        <w:pStyle w:val="1075"/>
      </w:pPr>
      <w:r/>
      <w:bookmarkStart w:id="33" w:name="_Toc142312565"/>
      <w:r>
        <w:t xml:space="preserve">Основные направления, принципы, задачи и плановые значения показателей развития централизованных систем водоснабжения.</w:t>
      </w:r>
      <w:bookmarkEnd w:id="33"/>
      <w:r/>
      <w:r/>
    </w:p>
    <w:p>
      <w:pPr>
        <w:pStyle w:val="1245"/>
        <w:keepNext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1 статьи 3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 государственная политика в сфере водоснабжения и водоотведения направлена на достижение следующих целей:</w:t>
      </w:r>
      <w:r/>
    </w:p>
    <w:p>
      <w:pPr>
        <w:pStyle w:val="1245"/>
        <w:numPr>
          <w:ilvl w:val="0"/>
          <w:numId w:val="21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  <w:r/>
    </w:p>
    <w:p>
      <w:pPr>
        <w:pStyle w:val="1245"/>
        <w:numPr>
          <w:ilvl w:val="0"/>
          <w:numId w:val="21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повышения энергетической эффективности путем экономного потребления воды;</w:t>
      </w:r>
      <w:r/>
    </w:p>
    <w:p>
      <w:pPr>
        <w:pStyle w:val="1245"/>
        <w:numPr>
          <w:ilvl w:val="0"/>
          <w:numId w:val="21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снижения негативного воздействия на водные объекты путем повышения качества очистки сточных вод;</w:t>
      </w:r>
      <w:r/>
    </w:p>
    <w:p>
      <w:pPr>
        <w:pStyle w:val="1245"/>
        <w:numPr>
          <w:ilvl w:val="0"/>
          <w:numId w:val="21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обеспечения доступности водоснабжения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 водоотведение;</w:t>
      </w:r>
      <w:r/>
    </w:p>
    <w:p>
      <w:pPr>
        <w:pStyle w:val="1245"/>
        <w:numPr>
          <w:ilvl w:val="0"/>
          <w:numId w:val="21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обеспечения развития централизованных систем горячего водоснабже</w:t>
      </w:r>
      <w:r>
        <w:rPr>
          <w:rFonts w:eastAsia="Liberation Serif" w:cs="Liberation Serif"/>
          <w:color w:val="000000" w:themeColor="text1"/>
        </w:rPr>
        <w:t xml:space="preserve">ния,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  <w:r/>
    </w:p>
    <w:p>
      <w:pPr>
        <w:pStyle w:val="1245"/>
        <w:keepNext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2 статьи 3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 общими принципами государственной политики в сфере водоснабжения и водоотведения являются: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приоритетность обеспечения населения питьевой водой, горячей водой и услугами по водоотведению;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создание условий для привлечения инвестиций в сферу водоснабжения и водоотведения, обеспечение гарантий возврата частных инвестиций;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технологического и организационного единства и целостности централизованных систем горячего водоснабжения, холодного водоснабжения и (или) водоотведения;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достижение и соблюдение баланса экономических интересов организаций, осуществляющих горячее водоснабжение, холодное водоснабжение и (или) водоотведение, и их абонентов;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установлени</w:t>
      </w:r>
      <w:r>
        <w:rPr>
          <w:rFonts w:eastAsia="Liberation Serif" w:cs="Liberation Serif"/>
          <w:color w:val="000000" w:themeColor="text1"/>
        </w:rPr>
        <w:t xml:space="preserve">е тарифов в сфере водоснабжения и водоотведения исходя из экономически обоснованных расходов организаций, осуществляющих горячее водоснабжение, холодное водоснабжение и (или) водоотведение, необходимых для осуществления водоснабжения и (или) водоотведения;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стабильных и недискриминационных условий для осуществления предпринимательской деятельности в сфере водоснабжения и водоотведения;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равных условий доступа абонентов к водоснабжению и водоотведению;</w:t>
      </w:r>
      <w:r/>
    </w:p>
    <w:p>
      <w:pPr>
        <w:pStyle w:val="1245"/>
        <w:numPr>
          <w:ilvl w:val="0"/>
          <w:numId w:val="24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открытость деятельности организаций, осуществляющих горячее водоснабжение, холодно</w:t>
      </w:r>
      <w:r>
        <w:rPr>
          <w:rFonts w:eastAsia="Liberation Serif" w:cs="Liberation Serif"/>
          <w:color w:val="000000" w:themeColor="text1"/>
        </w:rPr>
        <w:t xml:space="preserve">е водоснабжение и (или)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 водоотведения.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Исходя из об</w:t>
      </w:r>
      <w:r>
        <w:rPr>
          <w:rFonts w:eastAsia="Liberation Serif" w:cs="Liberation Serif"/>
          <w:color w:val="000000" w:themeColor="text1"/>
        </w:rPr>
        <w:t xml:space="preserve">означенных целей и принципов государственной политики в сфере водоснабжения и водоотведения, а также в соответствии с пунктом 10 Правил разработки и утверждения схем водоснабжения и водоотведения, утверждённых ПП РФ от 05.09.2013 № 782, в рамках настоящей </w:t>
      </w:r>
      <w:r>
        <w:t xml:space="preserve">актуализации</w:t>
      </w:r>
      <w:r>
        <w:t xml:space="preserve"> </w:t>
      </w:r>
      <w:r>
        <w:rPr>
          <w:rFonts w:eastAsia="Liberation Serif" w:cs="Liberation Serif"/>
          <w:color w:val="000000" w:themeColor="text1"/>
        </w:rPr>
        <w:t xml:space="preserve">Схемы ВСиВО Красноселькупского района сформированы следующие основные задачи развития централизованных систем водоснабжения: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подачи абонентам определенного объема горячей, питьевой воды установленного качества;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организация и обеспечение централизованного водоснабжения на территориях, где оно отсутствует;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водоснабжения объектов перспективной застройки населенного пункта;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сокращение потерь воды при ее транспортировке;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выполнение мероприятий, направленных на обеспечение соответствия качества питьевой воды, горячей воды требованиям </w:t>
      </w:r>
      <w:hyperlink r:id="rId32" w:tooltip="https://base.garant.ru/70103066/67ed58225b4b05deea11771e0271c2f2/#block_622" w:anchor="block_622" w:history="1">
        <w:r>
          <w:rPr>
            <w:rFonts w:eastAsia="Liberation Serif" w:cs="Liberation Serif"/>
            <w:color w:val="000000" w:themeColor="text1"/>
          </w:rPr>
          <w:t xml:space="preserve">законодательства</w:t>
        </w:r>
      </w:hyperlink>
      <w:r>
        <w:rPr>
          <w:rFonts w:eastAsia="Liberation Serif" w:cs="Liberation Serif"/>
          <w:color w:val="000000" w:themeColor="text1"/>
        </w:rPr>
        <w:t xml:space="preserve"> Российской Федерации;</w:t>
      </w:r>
      <w:r/>
    </w:p>
    <w:p>
      <w:pPr>
        <w:pStyle w:val="1245"/>
        <w:numPr>
          <w:ilvl w:val="0"/>
          <w:numId w:val="22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</w:t>
      </w:r>
      <w:r>
        <w:rPr>
          <w:rFonts w:eastAsia="Liberation Serif" w:cs="Liberation Serif"/>
          <w:color w:val="000000" w:themeColor="text1"/>
        </w:rPr>
        <w:t xml:space="preserve">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Для выполнения перечисленных выше задач по развитию централизованных систем водоснабжения с. Красноселькуп разработаны мероприятия по строительству, реконструкции и модернизации объектов централизованных систем водоснабжения, приведенные ниже в раздел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 1.4</w:t>
        </w:r>
      </w:hyperlink>
      <w:r>
        <w:rPr>
          <w:rFonts w:eastAsia="Liberation Serif" w:cs="Liberation Serif"/>
          <w:color w:val="000000" w:themeColor="text1"/>
        </w:rPr>
        <w:t xml:space="preserve">. 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 В соответствии с пунктом 2 Перечня показателей надежности, качества, энергетической эффективности объектов централизованных сис</w:t>
      </w:r>
      <w:r>
        <w:rPr>
          <w:rFonts w:eastAsia="Liberation Serif" w:cs="Liberation Serif"/>
          <w:color w:val="000000" w:themeColor="text1"/>
        </w:rPr>
        <w:t xml:space="preserve">тем горячего водоснабжения, холодного водоснабжения и (или) водоотведения, утвержденного Приказом Минстроя РФ от 04.04.2014 № 162/пр, к показателям развития централизованных систем горячего водоснабжения, холодного водоснабжения и водоотведения относятся: </w:t>
      </w:r>
      <w:r/>
    </w:p>
    <w:p>
      <w:pPr>
        <w:pStyle w:val="1245"/>
        <w:numPr>
          <w:ilvl w:val="0"/>
          <w:numId w:val="25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качества воды (в отношении питьевой воды и горячей воды);</w:t>
      </w:r>
      <w:r/>
    </w:p>
    <w:p>
      <w:pPr>
        <w:pStyle w:val="1245"/>
        <w:numPr>
          <w:ilvl w:val="0"/>
          <w:numId w:val="25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водоснабжения и водоотведения;</w:t>
      </w:r>
      <w:r/>
    </w:p>
    <w:p>
      <w:pPr>
        <w:pStyle w:val="1245"/>
        <w:numPr>
          <w:ilvl w:val="0"/>
          <w:numId w:val="25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очистки сточных вод;</w:t>
      </w:r>
      <w:r/>
    </w:p>
    <w:p>
      <w:pPr>
        <w:pStyle w:val="1245"/>
        <w:numPr>
          <w:ilvl w:val="0"/>
          <w:numId w:val="25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эффективности использования ресурсов, в том числе уровень потерь воды (тепловой энергии в составе горячей воды).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Применительно к централизованным системам водоснабжения с. Красноселькуп данные показатели приведены ниже в раздел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 1.8</w:t>
        </w:r>
      </w:hyperlink>
      <w:r>
        <w:rPr>
          <w:rFonts w:eastAsia="Liberation Serif" w:cs="Liberation Serif"/>
          <w:color w:val="000000" w:themeColor="text1"/>
        </w:rPr>
        <w:t xml:space="preserve">. </w:t>
      </w:r>
      <w:r/>
    </w:p>
    <w:p>
      <w:pPr>
        <w:pStyle w:val="1075"/>
      </w:pPr>
      <w:r/>
      <w:bookmarkStart w:id="34" w:name="_Различные_сценарии_развития"/>
      <w:r/>
      <w:bookmarkStart w:id="35" w:name="_Toc142312566"/>
      <w:r/>
      <w:bookmarkEnd w:id="34"/>
      <w:r>
        <w:t xml:space="preserve">Различные сценарии развития централизованных систем водоснабжения в зависимости от различных сценариев </w:t>
      </w:r>
      <w:r>
        <w:t xml:space="preserve">развития населенного</w:t>
      </w:r>
      <w:r>
        <w:t xml:space="preserve"> пункта</w:t>
      </w:r>
      <w:bookmarkEnd w:id="35"/>
      <w:r>
        <w:t xml:space="preserve"> 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части определения перспективных балансов по централизованным системам водоснабжения и водоотведения зна</w:t>
      </w:r>
      <w:r>
        <w:rPr>
          <w:rFonts w:eastAsia="Liberation Serif" w:cs="Liberation Serif"/>
          <w:color w:val="000000" w:themeColor="text1"/>
        </w:rPr>
        <w:t xml:space="preserve">чимым фактором является определение перспективы численности населения, поскольку для большинства данных систем, действующих на территории Российской Федерации, на долю данной категории абонентов приходится основная часть потребления соответствующих услуг. 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 целью определения фактической и перспективной численности постоянного населения с. Красноселькуп проанализированы и использованы следующие материалы: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данные о численности постоянного населения Российской Федерации по муниципальным образованиям за период 2019-202</w:t>
      </w:r>
      <w:r>
        <w:t xml:space="preserve">2</w:t>
      </w:r>
      <w:r>
        <w:rPr>
          <w:rFonts w:eastAsia="Liberation Serif" w:cs="Liberation Serif"/>
          <w:color w:val="000000" w:themeColor="text1"/>
        </w:rPr>
        <w:t xml:space="preserve">гг., опубликованные Федеральной службой государственной статистики;</w:t>
      </w:r>
      <w:r/>
    </w:p>
    <w:p>
      <w:pPr>
        <w:pStyle w:val="1245"/>
        <w:numPr>
          <w:ilvl w:val="0"/>
          <w:numId w:val="20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генерального план с. Красноселькуп, разработанный обществом с ограниченной ответственностью «Институт территориального планирования «Град» в рамках муниципального контракта от 11.06.2019 № 0190200000319005247/164.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указанными выше данными предлагается рассмотреть следующие варианты развития:</w:t>
      </w:r>
      <w:r/>
    </w:p>
    <w:p>
      <w:pPr>
        <w:pStyle w:val="1245"/>
        <w:numPr>
          <w:ilvl w:val="0"/>
          <w:numId w:val="38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перв</w:t>
      </w:r>
      <w:r>
        <w:rPr>
          <w:rFonts w:eastAsia="Liberation Serif" w:cs="Liberation Serif"/>
          <w:color w:val="000000" w:themeColor="text1"/>
        </w:rPr>
        <w:t xml:space="preserve">ый вариант развития предполагает положительную динамику численности населения, реализуемую за счет комплекса социально-экономических мероприятий, реализации демографических программ по стимулированию рождаемости, программ направленных на поддержку семей с </w:t>
      </w:r>
      <w:r>
        <w:rPr>
          <w:rFonts w:eastAsia="Liberation Serif" w:cs="Liberation Serif"/>
          <w:color w:val="000000" w:themeColor="text1"/>
        </w:rPr>
        <w:t xml:space="preserve">детьми и молодых семей, приоритетного национального проекта в сфере здравоохранения;</w:t>
      </w:r>
      <w:r/>
    </w:p>
    <w:p>
      <w:pPr>
        <w:pStyle w:val="1245"/>
        <w:numPr>
          <w:ilvl w:val="0"/>
          <w:numId w:val="38"/>
        </w:numPr>
        <w:ind w:left="0" w:firstLine="709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второй вариант развития предполагает сохранение отрицательной динамики численности населения в соответствии с данными о численности населения за 2019-202</w:t>
      </w:r>
      <w:r>
        <w:t xml:space="preserve">2</w:t>
      </w:r>
      <w:r>
        <w:rPr>
          <w:rFonts w:eastAsia="Liberation Serif" w:cs="Liberation Serif"/>
          <w:color w:val="000000" w:themeColor="text1"/>
        </w:rPr>
        <w:t xml:space="preserve">гг.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Наиболее приоритетным вариантом развития с. Красноселькуп принимается первый вариант развития, предполагаемый Генеральным планом с. Красноселькуп. Далее в Схеме ВСиВО будет рассматриваться данный вариант развития.</w:t>
      </w:r>
      <w:r/>
    </w:p>
    <w:p>
      <w:pPr>
        <w:pStyle w:val="1245"/>
        <w:tabs>
          <w:tab w:val="left" w:pos="993" w:leader="none"/>
          <w:tab w:val="left" w:pos="1134" w:leader="none"/>
        </w:tabs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фактической численности постоянного населения за период 2019-202</w:t>
      </w:r>
      <w:r>
        <w:t xml:space="preserve">2</w:t>
      </w:r>
      <w:r>
        <w:rPr>
          <w:rFonts w:eastAsia="Liberation Serif" w:cs="Liberation Serif"/>
          <w:color w:val="000000" w:themeColor="text1"/>
        </w:rPr>
        <w:t xml:space="preserve">гг. и результаты определения прогнозной численности постоянного населения на период </w:t>
      </w:r>
      <w:r>
        <w:t xml:space="preserve">202</w:t>
      </w:r>
      <w:r>
        <w:t xml:space="preserve">3</w:t>
      </w:r>
      <w:r>
        <w:noBreakHyphen/>
        <w:t xml:space="preserve">203</w:t>
      </w:r>
      <w:r>
        <w:t xml:space="preserve">8</w:t>
      </w:r>
      <w:r>
        <w:t xml:space="preserve">гг</w:t>
      </w:r>
      <w:r>
        <w:rPr>
          <w:rFonts w:eastAsia="Liberation Serif" w:cs="Liberation Serif"/>
          <w:color w:val="000000" w:themeColor="text1"/>
        </w:rPr>
        <w:t xml:space="preserve">. по с. Красноселькуп с учетом принятого варианта развития приведены в таблице 1.2.1.</w:t>
      </w:r>
      <w:r/>
    </w:p>
    <w:p>
      <w:pPr>
        <w:pStyle w:val="1230"/>
        <w:ind w:firstLine="709"/>
        <w:spacing w:before="0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tabs>
          <w:tab w:val="left" w:pos="993" w:leader="none"/>
          <w:tab w:val="left" w:pos="1134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</w:t>
      </w:r>
      <w:r>
        <w:rPr>
          <w:rFonts w:eastAsia="Liberation Serif" w:cs="Liberation Serif"/>
          <w:color w:val="000000" w:themeColor="text1"/>
        </w:rPr>
        <w:t xml:space="preserve">1.2.1</w:t>
      </w:r>
      <w:r>
        <w:rPr>
          <w:rFonts w:eastAsia="Liberation Serif" w:cs="Liberation Serif"/>
          <w:color w:val="000000" w:themeColor="text1"/>
        </w:rPr>
        <w:t xml:space="preserve"> – Показатели фактической численности постоянного населения за период 2019-</w:t>
      </w:r>
      <w:r>
        <w:rPr>
          <w:rStyle w:val="1246"/>
        </w:rPr>
        <w:t xml:space="preserve">202</w:t>
      </w:r>
      <w:r>
        <w:rPr>
          <w:rStyle w:val="1246"/>
        </w:rPr>
        <w:t xml:space="preserve">2</w:t>
      </w:r>
      <w:r>
        <w:rPr>
          <w:rStyle w:val="1246"/>
        </w:rPr>
        <w:t xml:space="preserve">гг. и результаты определения прогнозной численности постоянного населения на период 202</w:t>
      </w:r>
      <w:r>
        <w:rPr>
          <w:rStyle w:val="1246"/>
        </w:rPr>
        <w:t xml:space="preserve">3</w:t>
      </w:r>
      <w:r>
        <w:rPr>
          <w:rStyle w:val="1246"/>
        </w:rPr>
        <w:t xml:space="preserve">-203</w:t>
      </w:r>
      <w:r>
        <w:rPr>
          <w:rStyle w:val="1246"/>
        </w:rPr>
        <w:t xml:space="preserve">8</w:t>
      </w:r>
      <w:r>
        <w:rPr>
          <w:rStyle w:val="1246"/>
        </w:rPr>
        <w:t xml:space="preserve">гг</w:t>
      </w:r>
      <w:r>
        <w:rPr>
          <w:rFonts w:eastAsia="Liberation Serif" w:cs="Liberation Serif"/>
          <w:color w:val="000000" w:themeColor="text1"/>
        </w:rPr>
        <w:t xml:space="preserve">. по с. Красноселькуп, чел. на 01 января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89"/>
        <w:gridCol w:w="1507"/>
        <w:gridCol w:w="594"/>
        <w:gridCol w:w="594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4"/>
      </w:tblGrid>
      <w:tr>
        <w:trPr>
          <w:trHeight w:val="20"/>
          <w:tblHeader/>
        </w:trPr>
        <w:tc>
          <w:tcPr>
            <w:shd w:val="clear" w:color="000000" w:fill="bfbfbf"/>
            <w:tcMar>
              <w:left w:w="28" w:type="dxa"/>
              <w:right w:w="28" w:type="dxa"/>
            </w:tcMar>
            <w:tcW w:w="39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146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Наименование показателя</w:t>
            </w:r>
            <w:r/>
          </w:p>
        </w:tc>
        <w:tc>
          <w:tcPr>
            <w:gridSpan w:val="4"/>
            <w:shd w:val="clear" w:color="000000" w:fill="bfbfbf"/>
            <w:tcMar>
              <w:left w:w="28" w:type="dxa"/>
              <w:right w:w="28" w:type="dxa"/>
            </w:tcMar>
            <w:tcW w:w="239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Фактические показатели</w:t>
            </w:r>
            <w:r/>
          </w:p>
        </w:tc>
        <w:tc>
          <w:tcPr>
            <w:gridSpan w:val="9"/>
            <w:shd w:val="clear" w:color="000000" w:fill="bfbfbf"/>
            <w:tcMar>
              <w:left w:w="28" w:type="dxa"/>
              <w:top w:w="0" w:type="dxa"/>
              <w:right w:w="28" w:type="dxa"/>
              <w:bottom w:w="0" w:type="dxa"/>
            </w:tcMar>
            <w:tcW w:w="53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Liberation Serif" w:cs="Liberation Serif" w:asciiTheme="minorHAnsi" w:hAnsiTheme="minorHAnsi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Прогнозные показатели</w:t>
            </w:r>
            <w:r/>
          </w:p>
        </w:tc>
      </w:tr>
      <w:tr>
        <w:trPr>
          <w:trHeight w:val="20"/>
          <w:tblHeader/>
        </w:trPr>
        <w:tc>
          <w:tcPr>
            <w:tcMar>
              <w:left w:w="28" w:type="dxa"/>
              <w:right w:w="28" w:type="dxa"/>
            </w:tcMar>
            <w:tcW w:w="399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16"/>
              </w:rPr>
            </w:r>
            <w:r/>
          </w:p>
        </w:tc>
        <w:tc>
          <w:tcPr>
            <w:shd w:val="clear" w:color="000000" w:fill="bfbfbf"/>
            <w:tcW w:w="146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2019г.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2020г.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2021г.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Mar>
              <w:left w:w="28" w:type="dxa"/>
              <w:right w:w="28" w:type="dxa"/>
            </w:tcMar>
            <w:tcW w:w="39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W w:w="14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bfbfbf"/>
            <w:tcMar>
              <w:left w:w="28" w:type="dxa"/>
              <w:right w:w="28" w:type="dxa"/>
            </w:tcMar>
            <w:tcW w:w="5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Mar>
              <w:left w:w="28" w:type="dxa"/>
              <w:right w:w="28" w:type="dxa"/>
            </w:tcMar>
            <w:tcW w:w="3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tcW w:w="1466" w:type="dxa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с. Красноселькуп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3870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3801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3 774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3 732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3 746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3 760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3 774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3 788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3 801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3 815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3 829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3 843</w:t>
            </w:r>
            <w:r/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5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3 9</w:t>
            </w: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54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Планируемые объекты капитального строительства, обеспечиваемые централизованным водоснабжением и водоотведением, представлены на рисунке 1.2.1.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center"/>
        <w:rPr>
          <w:rFonts w:eastAsia="Liberation Serif" w:cs="Liberation Serif"/>
          <w:bCs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000" cy="3837966"/>
                <wp:effectExtent l="0" t="0" r="0" b="0"/>
                <wp:docPr id="11" name="Рисунок 1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631953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20000" cy="3837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1.9pt;height:302.2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1245"/>
        <w:jc w:val="center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1.2.1 – Планируемые объекты капитального строительства, обеспечиваемые централизованным водоснабжением и водоотведением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Сводные показатели по подключаемым к централизованным системам водоснабжения и (или) водоотведения расчётным перспективным нагрузкам объектов капитальной застройки приведены в таблице 1.2.2.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1.2.2 – Сводные показатели по подключаемым к централизованным системам водоснабжения и (или) водоотведения расчётным перспективным нагрузкам объектов капитальной застройки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96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11"/>
        <w:gridCol w:w="1559"/>
        <w:gridCol w:w="1757"/>
      </w:tblGrid>
      <w:tr>
        <w:trPr>
          <w:trHeight w:val="20"/>
          <w:tblHeader/>
        </w:trPr>
        <w:tc>
          <w:tcPr>
            <w:shd w:val="clear" w:color="000000" w:fill="bfbfb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5811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Наименование объекта</w:t>
            </w:r>
            <w:r/>
          </w:p>
        </w:tc>
        <w:tc>
          <w:tcPr>
            <w:shd w:val="clear" w:color="000000" w:fill="bfbfb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Параметры перспективной нагрузки, м³/сут</w:t>
            </w:r>
            <w:r/>
          </w:p>
        </w:tc>
        <w:tc>
          <w:tcPr>
            <w:shd w:val="clear" w:color="000000" w:fill="bfbfb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Планируемый срок ввода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W w:w="5811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16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Индивидуальная жилая застройка по ул. Нагорная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7,5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2023-2025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Жилой дом по ул. Советская, 1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16,4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2023-2025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3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Центр национальных культур в с. Красноселькуп на пересечении ул. Советская, ул. Полярная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1,94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  <w:highlight w:val="white"/>
              </w:rPr>
              <w:t xml:space="preserve">2024-2027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4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Жилой дом по ул. Ленина, 12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16,4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2023-2025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5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Жилой дом по ул. Мамонова, 7а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16,4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2023-2025</w:t>
            </w:r>
            <w:r/>
          </w:p>
        </w:tc>
      </w:tr>
      <w:tr>
        <w:trPr>
          <w:trHeight w:val="20"/>
        </w:trPr>
        <w:tc>
          <w:tcPr>
            <w:shd w:val="clear" w:color="ffffff" w:fill="ffffff"/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6</w:t>
            </w:r>
            <w:r/>
          </w:p>
        </w:tc>
        <w:tc>
          <w:tcPr>
            <w:shd w:val="clear" w:color="ffffff" w:fill="ffffff"/>
            <w:tcW w:w="5811" w:type="dxa"/>
            <w:vAlign w:val="center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Индивидуальный жилой дом по ул. Сайготина</w:t>
            </w:r>
            <w:r/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1</w:t>
            </w:r>
            <w:r/>
          </w:p>
        </w:tc>
        <w:tc>
          <w:tcPr>
            <w:shd w:val="clear" w:color="ffffff" w:fill="ffffff"/>
            <w:tcW w:w="1757" w:type="dxa"/>
            <w:vAlign w:val="center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2023-2025</w:t>
            </w:r>
            <w:r/>
          </w:p>
        </w:tc>
      </w:tr>
      <w:tr>
        <w:trPr>
          <w:trHeight w:val="276"/>
        </w:trPr>
        <w:tc>
          <w:tcPr>
            <w:shd w:val="clear" w:color="ffffff" w:fill="ffffff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7</w:t>
            </w:r>
            <w:r/>
          </w:p>
        </w:tc>
        <w:tc>
          <w:tcPr>
            <w:shd w:val="clear" w:color="ffffff" w:fill="ffffff"/>
            <w:tcW w:w="5811" w:type="dxa"/>
            <w:vAlign w:val="center"/>
            <w:vMerge w:val="restart"/>
            <w:textDirection w:val="lrTb"/>
            <w:noWrap w:val="false"/>
          </w:tcPr>
          <w:p>
            <w:pPr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Компле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кс зданий для пожарного депо в с. Красноселькуп отряда противопожарной службы по муниципальному округу Красноселькупский район – филиала государственного казенного учреждения «Противопожарная служба Ямало-Ненецкого автономного округа» по ул. 70 лет Октября</w:t>
            </w:r>
            <w:r/>
          </w:p>
        </w:tc>
        <w:tc>
          <w:tcPr>
            <w:shd w:val="clear" w:color="ffffff" w:fill="ffffff"/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74</w:t>
            </w:r>
            <w:r/>
          </w:p>
        </w:tc>
        <w:tc>
          <w:tcPr>
            <w:shd w:val="clear" w:color="ffffff" w:fill="ffffff"/>
            <w:tcW w:w="175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17" w:lineRule="atLeast"/>
              <w:rPr>
                <w:rFonts w:ascii="Liberation Serif" w:hAnsi="Liberation Serif" w:eastAsia="Liberation Serif" w:cs="Liberation Serif"/>
                <w:color w:val="00000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16"/>
              </w:rPr>
              <w:t xml:space="preserve">2024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Сформированные на основании указанных выше данных перспективные балансы и мероприятия по строительству, реконструкции и модернизации объектов централизованных систем водоснабжения с. Красноселькуп приведены ниже в раздел</w:t>
      </w:r>
      <w:hyperlink w:tooltip="#_Баланс_водоснабжения_и" w:anchor="_Баланс_водоснабжения_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</w:t>
        </w:r>
      </w:hyperlink>
      <w:r>
        <w:rPr>
          <w:rFonts w:eastAsia="Liberation Serif" w:cs="Liberation Serif"/>
          <w:color w:val="000000" w:themeColor="text1"/>
        </w:rPr>
        <w:t xml:space="preserve"> и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разделе 1.4</w:t>
        </w:r>
      </w:hyperlink>
      <w:r>
        <w:rPr>
          <w:rFonts w:eastAsia="Liberation Serif" w:cs="Liberation Serif"/>
          <w:color w:val="000000" w:themeColor="text1"/>
        </w:rPr>
        <w:t xml:space="preserve"> соответственно, по централизованным системам водоотведения – в </w:t>
      </w:r>
      <w:hyperlink w:tooltip="#_Прогноз_объема_сточных" w:anchor="_Прогноз_объема_сточных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разделе 2.3</w:t>
        </w:r>
      </w:hyperlink>
      <w:r>
        <w:rPr>
          <w:rFonts w:eastAsia="Liberation Serif" w:cs="Liberation Serif"/>
          <w:color w:val="000000" w:themeColor="text1"/>
        </w:rPr>
        <w:t xml:space="preserve"> и в раздел</w:t>
      </w:r>
      <w:hyperlink w:tooltip="#_Предложения_по_строительству,_1" w:anchor="_Предложения_по_строительству,_1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 2.4</w:t>
        </w:r>
      </w:hyperlink>
      <w:r>
        <w:rPr>
          <w:rFonts w:eastAsia="Liberation Serif" w:cs="Liberation Serif"/>
          <w:color w:val="000000" w:themeColor="text1"/>
        </w:rPr>
        <w:t xml:space="preserve"> соответственно.</w:t>
      </w:r>
      <w:bookmarkStart w:id="36" w:name="_Баланс_водоснабжения_и"/>
      <w:r/>
      <w:bookmarkEnd w:id="3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37" w:name="_Toc142312567"/>
      <w:r>
        <w:t xml:space="preserve">Баланс водоснабжения и потребления горячей, питьевой, технической воды (при наличии)</w:t>
      </w:r>
      <w:bookmarkEnd w:id="37"/>
      <w:r/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p>
      <w:pPr>
        <w:pStyle w:val="1075"/>
      </w:pPr>
      <w:r/>
      <w:bookmarkStart w:id="38" w:name="_Общий_баланс_подачи"/>
      <w:r/>
      <w:bookmarkStart w:id="39" w:name="_Toc142312568"/>
      <w:r/>
      <w:bookmarkEnd w:id="38"/>
      <w:r>
        <w:t xml:space="preserve">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  <w:bookmarkEnd w:id="3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Общий баланс подачи и реализации воды по с. Красноселькуп приведен в таблице 1.3.1.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1.3.1 – Общий баланс подачи и реализации воды по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48"/>
        <w:gridCol w:w="3693"/>
        <w:gridCol w:w="805"/>
        <w:gridCol w:w="924"/>
        <w:gridCol w:w="924"/>
        <w:gridCol w:w="924"/>
        <w:gridCol w:w="805"/>
        <w:gridCol w:w="805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2022г.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  <w:t xml:space="preserve">ТЗ ВС с. Красноселькуп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Забор (подъем) исходной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299 695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295 375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289 051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240 843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248 193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287 266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282 946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276 625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228 414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235 764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Реализация питьевой воды, в т.ч.: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220 552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247 497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207 480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193 010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191 215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Население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147 154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168 843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155 094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141 639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147 613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Бюджетнофинансируемые организации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24 057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22 122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15 118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28 117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21 601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Прочие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49 341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56 532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37 268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23 255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7 528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ВЦО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14 473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12 426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12 429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Хозяйственные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16 622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17 089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9 389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372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66 714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35 449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69 145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35 404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44 177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Среднесуточное водопотребление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680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884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1700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816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48%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Как видно из приведенной таблицы, фактические потери холодной воды при ее транспортировке по ТЗ ВС с. Красноселькуп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составили </w:t>
      </w:r>
      <w:r>
        <w:rPr>
          <w:rFonts w:eastAsia="Liberation Serif" w:cs="Liberation Serif"/>
          <w:color w:val="000000" w:themeColor="text1"/>
        </w:rPr>
        <w:t xml:space="preserve">44177</w:t>
      </w:r>
      <w:r>
        <w:rPr>
          <w:rFonts w:eastAsia="Liberation Serif" w:cs="Liberation Serif"/>
          <w:color w:val="000000" w:themeColor="text1"/>
        </w:rPr>
        <w:t xml:space="preserve">м³, (</w:t>
      </w:r>
      <w:r>
        <w:rPr>
          <w:rFonts w:eastAsia="Liberation Serif" w:cs="Liberation Serif"/>
          <w:color w:val="000000" w:themeColor="text1"/>
        </w:rPr>
        <w:t xml:space="preserve">18,7</w:t>
      </w:r>
      <w:r>
        <w:rPr>
          <w:rFonts w:eastAsia="Liberation Serif" w:cs="Liberation Serif"/>
          <w:color w:val="000000" w:themeColor="text1"/>
        </w:rPr>
        <w:t xml:space="preserve">% от подачи холодной воды в водопроводные сети).</w:t>
      </w:r>
      <w:r/>
    </w:p>
    <w:p>
      <w:pPr>
        <w:pStyle w:val="1075"/>
      </w:pPr>
      <w:r/>
      <w:bookmarkStart w:id="40" w:name="_Toc142312569"/>
      <w: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водопотребления).</w:t>
      </w:r>
      <w:bookmarkEnd w:id="40"/>
      <w:r/>
      <w:r/>
    </w:p>
    <w:p>
      <w:pPr>
        <w:pStyle w:val="1245"/>
        <w:tabs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 по с. Красноселькуп приведен выше в подраздел</w:t>
      </w:r>
      <w:hyperlink w:tooltip="#_Общий_баланс_подачи" w:anchor="_Общий_баланс_подач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41" w:name="_Toc142312570"/>
      <w:r>
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др.).</w:t>
      </w:r>
      <w:bookmarkEnd w:id="41"/>
      <w:r/>
      <w:r/>
    </w:p>
    <w:p>
      <w:pPr>
        <w:pStyle w:val="1245"/>
        <w:tabs>
          <w:tab w:val="left" w:pos="1560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Структурный баланс реализации горячей, пить</w:t>
      </w:r>
      <w:r>
        <w:rPr>
          <w:rFonts w:eastAsia="Liberation Serif" w:cs="Liberation Serif"/>
          <w:color w:val="000000" w:themeColor="text1"/>
        </w:rPr>
        <w:t xml:space="preserve">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 по с. Красноселькуп приведен выше в подраздел</w:t>
      </w:r>
      <w:hyperlink w:tooltip="#_Общий_баланс_подачи" w:anchor="_Общий_баланс_подач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42" w:name="_Toc142312571"/>
      <w:r>
        <w:t xml:space="preserve">Сведения о фактическом потреблении на</w:t>
      </w:r>
      <w:r>
        <w:t xml:space="preserve">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района.</w:t>
      </w:r>
      <w:bookmarkEnd w:id="4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Общее фактическое потребление населением холодной воды по с. Красноселькуп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составило ~</w:t>
      </w:r>
      <w:r>
        <w:rPr>
          <w:rFonts w:eastAsia="Liberation Serif" w:cs="Liberation Serif"/>
          <w:color w:val="000000" w:themeColor="text1"/>
        </w:rPr>
        <w:t xml:space="preserve">147613</w:t>
      </w:r>
      <w:r>
        <w:rPr>
          <w:rFonts w:eastAsia="Liberation Serif" w:cs="Liberation Serif"/>
          <w:color w:val="000000" w:themeColor="text1"/>
        </w:rPr>
        <w:t xml:space="preserve"> м³.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Нормативы удельного потребления коммунальных услуг по водоснабжению и водоотведению в жилых помещениях на территории Красноселькупского района утверждены Постановлением Правительства Ямало-Ненецкого автономного округа о</w:t>
      </w:r>
      <w:r>
        <w:rPr>
          <w:rFonts w:eastAsia="Liberation Serif" w:cs="Liberation Serif"/>
          <w:color w:val="000000" w:themeColor="text1"/>
        </w:rPr>
        <w:t xml:space="preserve">т 18.09.2017 № 982-П «Об утверждении нормативов потребления коммунальных услуг по холодному водоснабжению, горячему водоснабжению, отведению сточных вод, нормативов потребления горячей воды, нормативов потребления холодной, горячей воды, отведения сточных </w:t>
      </w:r>
      <w:r>
        <w:rPr>
          <w:rFonts w:eastAsia="Liberation Serif" w:cs="Liberation Serif"/>
          <w:color w:val="000000" w:themeColor="text1"/>
        </w:rPr>
        <w:t xml:space="preserve">вод в целях содержания общего имущества в многоквартирном доме и нормативов расхода тепловой энергии на подогрев холодной воды для предоставления коммунальной услуги по горячему водоснабжению в Ямало-Ненецком автономном округе» и приведены в таблице 1.3.2.</w:t>
      </w:r>
      <w:r/>
    </w:p>
    <w:p>
      <w:pPr>
        <w:pStyle w:val="1230"/>
        <w:ind w:firstLine="709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1.3.2 – Нормативы удельного потребления коммунальных услуг по водоснабжению и водоотведению в жилых помещениях на территории Красноселькупского района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46"/>
        <w:gridCol w:w="3002"/>
        <w:gridCol w:w="1215"/>
        <w:gridCol w:w="1833"/>
        <w:gridCol w:w="1824"/>
        <w:gridCol w:w="1208"/>
      </w:tblGrid>
      <w:tr>
        <w:trPr>
          <w:trHeight w:val="20"/>
          <w:tblHeader/>
        </w:trPr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Категория жилых помещений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Единица измерения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Норматив потребления коммунальной услуги холодного водоснабжения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Норматив потребления коммунальной услуги горячего водоснабжения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Норматив отведения сточных вод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и горячим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водоснабжением, водоотведением, оборудованные унитазами, раковинами, мойками, ваннами сидячими длиной 1200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3,37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2,34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5,71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‒ 1550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3,42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2,4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‒ 1700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3,46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2,45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2,93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1,73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4,66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3,11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2,22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2,87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1,91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5,23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‒ 1550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‒ 1700 мм с душем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4,78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без водонагревателей с водопроводом и канализацией, оборудованные раковинами, мойками и унитазами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3,68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3,68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централизованного водоотведения, оборудованные умывальниками, мойками, унитазами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водоотведения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1,36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водоразборной колонкой, с водоотведением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1,56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1,56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Многоквартирные и жилые дома с водоразборной колонкой, без водоотведения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1,03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Х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Как видно из приведенной таблицы, в зависимости от степени благоустройства жилого помещения норматив потребления услуги по холодному водоснабжению в жилых помещениях составляет от 1,03 до 5,36м³/мес/чел.</w:t>
      </w:r>
      <w:r/>
    </w:p>
    <w:p>
      <w:pPr>
        <w:pStyle w:val="1075"/>
      </w:pPr>
      <w:r/>
      <w:bookmarkStart w:id="43" w:name="_Toc142312572"/>
      <w:r>
        <w:t xml:space="preserve">Описание существующей системы коммерческого учета горячей, питьевой, технической воды и планов по установке приборов учета.</w:t>
      </w:r>
      <w:bookmarkEnd w:id="4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в с. Красноселькуп от общего объема реализации холодной воды абонентам (</w:t>
      </w:r>
      <w:r>
        <w:rPr>
          <w:rFonts w:eastAsia="Liberation Serif" w:cs="Liberation Serif"/>
          <w:color w:val="000000" w:themeColor="text1"/>
        </w:rPr>
        <w:t xml:space="preserve">191215</w:t>
      </w:r>
      <w:r>
        <w:rPr>
          <w:rFonts w:eastAsia="Liberation Serif" w:cs="Liberation Serif"/>
          <w:color w:val="000000" w:themeColor="text1"/>
        </w:rPr>
        <w:t xml:space="preserve"> м³) порядка 1,3 % (</w:t>
      </w:r>
      <w:r>
        <w:rPr>
          <w:rFonts w:eastAsia="Liberation Serif" w:cs="Liberation Serif"/>
          <w:color w:val="000000" w:themeColor="text1"/>
        </w:rPr>
        <w:t xml:space="preserve">2486</w:t>
      </w:r>
      <w:r>
        <w:rPr>
          <w:rFonts w:eastAsia="Liberation Serif" w:cs="Liberation Serif"/>
          <w:color w:val="000000" w:themeColor="text1"/>
        </w:rPr>
        <w:t xml:space="preserve"> м³) было определено расчетным путем, что говорит о значительной оснащенности приборами коммерческого учета абонентов.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за потребленное количество воды абонентами ЦС ХВС с. Красноселькуп осуществляется на основании значений приборов учета воды. В случае отсутствия приборов учета объем воды определяется в соответствии с принятыми нормативами потребления питьевой воды.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муниципальных учреждениях с. Красноселькуп установлено 45 приборов учета холодной воды. Согласно плану установки приборов учета в ближайшей перспективе не планируется установка приборов учета холодной воды.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частью 5 статьи 13 ФЗ РФ от 23.11.2009 № 261-ФЗ до 01.07.2012 собственники жилых домов, </w:t>
      </w:r>
      <w:r>
        <w:rPr>
          <w:rFonts w:eastAsia="Liberation Serif" w:cs="Liberation Serif"/>
          <w:color w:val="000000" w:themeColor="text1"/>
        </w:rPr>
        <w:t xml:space="preserve">собственники помещений в многоквартирных домах, введенных в эксплуатацию на день вступления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а также </w:t>
      </w:r>
      <w:r>
        <w:rPr>
          <w:rFonts w:eastAsia="Liberation Serif" w:cs="Liberation Serif"/>
          <w:color w:val="000000" w:themeColor="text1"/>
        </w:rPr>
        <w:t xml:space="preserve">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</w:t>
      </w:r>
      <w:r>
        <w:rPr>
          <w:rFonts w:eastAsia="Liberation Serif" w:cs="Liberation Serif"/>
          <w:color w:val="000000" w:themeColor="text1"/>
        </w:rPr>
        <w:t xml:space="preserve">(для коммунальной квартиры) приборами учета используемых воды, электрической энергии.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38_1 Правил содержания общего имущества в многоквартир</w:t>
      </w:r>
      <w:r>
        <w:rPr>
          <w:rFonts w:eastAsia="Liberation Serif" w:cs="Liberation Serif"/>
          <w:color w:val="000000" w:themeColor="text1"/>
        </w:rPr>
        <w:t xml:space="preserve">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коллек</w:t>
      </w:r>
      <w:r>
        <w:rPr>
          <w:rFonts w:eastAsia="Liberation Serif" w:cs="Liberation Serif"/>
          <w:color w:val="000000" w:themeColor="text1"/>
        </w:rP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rPr>
          <w:rFonts w:eastAsia="Liberation Serif" w:cs="Liberation Serif"/>
          <w:color w:val="000000" w:themeColor="text1"/>
        </w:rP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Счета на оплату расходов на установку коллект</w:t>
      </w:r>
      <w:r>
        <w:rPr>
          <w:rFonts w:eastAsia="Liberation Serif" w:cs="Liberation Serif"/>
          <w:color w:val="000000" w:themeColor="text1"/>
        </w:rP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rPr>
          <w:rFonts w:eastAsia="Liberation Serif" w:cs="Liberation Serif"/>
          <w:color w:val="000000" w:themeColor="text1"/>
        </w:rP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Также, в соответствии с частью 9 статьи 1</w:t>
      </w:r>
      <w:r>
        <w:rPr>
          <w:rFonts w:eastAsia="Liberation Serif" w:cs="Liberation Serif"/>
          <w:color w:val="000000" w:themeColor="text1"/>
        </w:rPr>
        <w:t xml:space="preserve">3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энергетических ресурсов, снабжение которыми или передачу которых они осуществляют.</w:t>
      </w:r>
      <w:r/>
    </w:p>
    <w:p>
      <w:pPr>
        <w:pStyle w:val="1075"/>
      </w:pPr>
      <w:r/>
      <w:bookmarkStart w:id="44" w:name="_Toc142312573"/>
      <w:r>
        <w:t xml:space="preserve">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пункту).</w:t>
      </w:r>
      <w:bookmarkEnd w:id="4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Анализ резервов и дефицитов производственных мощностей системы водоснабжения с. Красноселькуп приведен выше в </w:t>
      </w:r>
      <w:hyperlink w:tooltip="#_Общий_баланс_подачи" w:anchor="_Общий_баланс_подач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1.3.1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 ТЗ ВС с. Красноселькуп на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резерв производственной мощности водозаборных сооружений составил </w:t>
      </w:r>
      <w:r>
        <w:rPr>
          <w:rFonts w:eastAsia="Liberation Serif" w:cs="Liberation Serif"/>
          <w:color w:val="000000" w:themeColor="text1"/>
        </w:rPr>
        <w:t xml:space="preserve">48</w:t>
      </w:r>
      <w:r>
        <w:rPr>
          <w:rFonts w:eastAsia="Liberation Serif" w:cs="Liberation Serif"/>
          <w:color w:val="000000" w:themeColor="text1"/>
        </w:rPr>
        <w:t xml:space="preserve">%. </w:t>
      </w:r>
      <w:r/>
    </w:p>
    <w:p>
      <w:pPr>
        <w:pStyle w:val="1075"/>
      </w:pPr>
      <w:r/>
      <w:bookmarkStart w:id="45" w:name="_Прогнозные_балансы_потребления"/>
      <w:r/>
      <w:bookmarkStart w:id="46" w:name="_Toc142312574"/>
      <w:r/>
      <w:bookmarkEnd w:id="45"/>
      <w:r>
        <w:t xml:space="preserve">Прогнозные балансы потребления горячей, питьевой, технической воды на срок до 203</w:t>
      </w:r>
      <w:r>
        <w:t xml:space="preserve">8</w:t>
      </w:r>
      <w:r>
        <w:t xml:space="preserve"> года с учётом различных сценариев развития  населенного пункта , расс</w:t>
      </w:r>
      <w:r>
        <w:t xml:space="preserve">читанные на основании расхода горячей, питьевой, технической воды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застройки.</w:t>
      </w:r>
      <w:bookmarkEnd w:id="4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Прогнозные балансы потребления горячей, питьевой, технической воды на период 202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noBreakHyphen/>
        <w:t xml:space="preserve">203</w:t>
      </w:r>
      <w:r>
        <w:rPr>
          <w:rFonts w:eastAsia="Liberation Serif" w:cs="Liberation Serif"/>
          <w:color w:val="000000" w:themeColor="text1"/>
        </w:rPr>
        <w:t xml:space="preserve">8</w:t>
      </w:r>
      <w:r>
        <w:rPr>
          <w:rFonts w:eastAsia="Liberation Serif" w:cs="Liberation Serif"/>
          <w:color w:val="000000" w:themeColor="text1"/>
        </w:rPr>
        <w:t xml:space="preserve">гг. по с. Красноселькуп в соответствии с текущим потреблением воды приведены в таблице 1.3.3.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Прогнозные балансы потребления горячей, питьевой, технической воды на период 202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noBreakHyphen/>
        <w:t xml:space="preserve">203</w:t>
      </w:r>
      <w:r>
        <w:rPr>
          <w:rFonts w:eastAsia="Liberation Serif" w:cs="Liberation Serif"/>
          <w:color w:val="000000" w:themeColor="text1"/>
        </w:rPr>
        <w:t xml:space="preserve">8</w:t>
      </w:r>
      <w:r>
        <w:rPr>
          <w:rFonts w:eastAsia="Liberation Serif" w:cs="Liberation Serif"/>
          <w:color w:val="000000" w:themeColor="text1"/>
        </w:rPr>
        <w:t xml:space="preserve">гг. по с. Красноселькуп в соответствии с СП 31.13330.2021 приведены в таблице 1.3.4.</w:t>
      </w:r>
      <w:r/>
    </w:p>
    <w:p>
      <w:pPr>
        <w:pStyle w:val="1245"/>
        <w:rPr>
          <w:rFonts w:eastAsia="Liberation Serif" w:cs="Liberation Serif"/>
          <w:color w:val="000000"/>
        </w:rPr>
        <w:sectPr>
          <w:headerReference w:type="default" r:id="rId10"/>
          <w:footnotePr/>
          <w:endnotePr/>
          <w:type w:val="nextPage"/>
          <w:pgSz w:w="11906" w:h="16838" w:orient="portrait"/>
          <w:pgMar w:top="1276" w:right="567" w:bottom="1247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1.3.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 – Прогнозные балансы потребления горячей, питьевой, технической воды на период 202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noBreakHyphen/>
        <w:t xml:space="preserve">203</w:t>
      </w:r>
      <w:r>
        <w:rPr>
          <w:rFonts w:eastAsia="Liberation Serif" w:cs="Liberation Serif"/>
          <w:color w:val="000000" w:themeColor="text1"/>
        </w:rPr>
        <w:t xml:space="preserve">8</w:t>
      </w:r>
      <w:r>
        <w:rPr>
          <w:rFonts w:eastAsia="Liberation Serif" w:cs="Liberation Serif"/>
          <w:color w:val="000000" w:themeColor="text1"/>
        </w:rPr>
        <w:t xml:space="preserve">гг. по с. Красноселькуп в соответствии с текущим потреблением воды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5"/>
        <w:gridCol w:w="2306"/>
        <w:gridCol w:w="695"/>
        <w:gridCol w:w="695"/>
        <w:gridCol w:w="695"/>
        <w:gridCol w:w="695"/>
        <w:gridCol w:w="695"/>
        <w:gridCol w:w="695"/>
        <w:gridCol w:w="695"/>
        <w:gridCol w:w="695"/>
        <w:gridCol w:w="698"/>
        <w:gridCol w:w="695"/>
        <w:gridCol w:w="695"/>
        <w:gridCol w:w="695"/>
        <w:gridCol w:w="695"/>
        <w:gridCol w:w="695"/>
        <w:gridCol w:w="694"/>
        <w:gridCol w:w="694"/>
        <w:gridCol w:w="697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Наименование ТЗ ВС/</w:t>
            </w:r>
            <w:r>
              <w:rPr>
                <w:color w:val="000000"/>
                <w:sz w:val="16"/>
                <w:szCs w:val="16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ТЗ ВС с. Красноселькуп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Забор (подъем) исходной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226 660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225 028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227 061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226 583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226 220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226 164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225 982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214 231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212 599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214 632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214 154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213 791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213 735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213 553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Реализация питьевой воды, в т.ч.: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180 436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180 474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180 474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180 574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180 674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180 774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Население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135 497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Бюджетнофинансируемые организации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23 915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Прочие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6 756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6 894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ВЦО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14 368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Хозяйственные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33 423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31 753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33 786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33 208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32 745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32 589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Среднесуточное водопотребление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53%</w:t>
            </w:r>
            <w:r/>
          </w:p>
        </w:tc>
      </w:tr>
    </w:tbl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1.3.</w:t>
      </w:r>
      <w:r>
        <w:rPr>
          <w:rFonts w:eastAsia="Liberation Serif" w:cs="Liberation Serif"/>
          <w:b/>
          <w:bCs/>
          <w:color w:val="000000" w:themeColor="text1"/>
        </w:rPr>
        <w:t xml:space="preserve">4</w:t>
      </w:r>
      <w:r>
        <w:rPr>
          <w:rFonts w:eastAsia="Liberation Serif" w:cs="Liberation Serif"/>
          <w:b/>
          <w:bCs/>
          <w:color w:val="000000" w:themeColor="text1"/>
        </w:rPr>
        <w:t xml:space="preserve"> – Прогнозные балансы потребления горячей, питьевой, технической воды на период 202</w:t>
      </w:r>
      <w:r>
        <w:rPr>
          <w:rFonts w:eastAsia="Liberation Serif" w:cs="Liberation Serif"/>
          <w:b/>
          <w:bCs/>
          <w:color w:val="000000" w:themeColor="text1"/>
        </w:rPr>
        <w:t xml:space="preserve">3</w:t>
      </w:r>
      <w:r>
        <w:rPr>
          <w:rFonts w:eastAsia="Liberation Serif" w:cs="Liberation Serif"/>
          <w:b/>
          <w:bCs/>
          <w:color w:val="000000" w:themeColor="text1"/>
        </w:rPr>
        <w:t xml:space="preserve">-</w:t>
      </w:r>
      <w:r>
        <w:rPr>
          <w:rFonts w:eastAsia="Liberation Serif" w:cs="Liberation Serif"/>
          <w:b/>
          <w:bCs/>
          <w:color w:val="000000" w:themeColor="text1"/>
        </w:rPr>
        <w:t xml:space="preserve">203</w:t>
      </w:r>
      <w:r>
        <w:rPr>
          <w:rFonts w:eastAsia="Liberation Serif" w:cs="Liberation Serif"/>
          <w:b/>
          <w:bCs/>
          <w:color w:val="000000" w:themeColor="text1"/>
        </w:rPr>
        <w:t xml:space="preserve">8</w:t>
      </w:r>
      <w:r>
        <w:rPr>
          <w:rFonts w:eastAsia="Liberation Serif" w:cs="Liberation Serif"/>
          <w:b/>
          <w:bCs/>
          <w:color w:val="000000" w:themeColor="text1"/>
        </w:rPr>
        <w:t xml:space="preserve">гг. по с. Красноселькуп в соответствии с СП 31.13330.2021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2"/>
        <w:gridCol w:w="2291"/>
        <w:gridCol w:w="500"/>
        <w:gridCol w:w="742"/>
        <w:gridCol w:w="742"/>
        <w:gridCol w:w="742"/>
        <w:gridCol w:w="742"/>
        <w:gridCol w:w="742"/>
        <w:gridCol w:w="741"/>
        <w:gridCol w:w="756"/>
        <w:gridCol w:w="741"/>
        <w:gridCol w:w="741"/>
        <w:gridCol w:w="741"/>
        <w:gridCol w:w="741"/>
        <w:gridCol w:w="657"/>
        <w:gridCol w:w="657"/>
        <w:gridCol w:w="683"/>
        <w:gridCol w:w="584"/>
        <w:gridCol w:w="584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Наименование ТЗ ВС/</w:t>
            </w:r>
            <w:r>
              <w:rPr>
                <w:color w:val="000000"/>
                <w:sz w:val="16"/>
                <w:szCs w:val="16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ТЗ ВС с. Красноселькуп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296 493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295 755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298 721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299 075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299 544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300 321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301 071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302 003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302 936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303 868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304 801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305 733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306 665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307 598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308 530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309 462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284 064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283 326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286 292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286 646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287 115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287 892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288 642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289 574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290 507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291 439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292 372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293 304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294 236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295 169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296 101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297 033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Реализация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250 641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251 573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252 506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253 438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254 370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255 303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256 235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257 167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258 100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259 032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259 965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260 897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261 829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262 762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263 694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264 626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12 429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Хозяйственные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33 423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31 753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33 786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33 208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32 745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32 589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32 407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Среднесуточное водопотребления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1102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1700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598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35%</w:t>
            </w:r>
            <w:r/>
          </w:p>
        </w:tc>
      </w:tr>
    </w:tbl>
    <w:p>
      <w:pPr>
        <w:pStyle w:val="1245"/>
        <w:ind w:firstLine="0"/>
        <w:rPr>
          <w:rFonts w:eastAsia="Liberation Serif" w:cs="Liberation Serif"/>
          <w:bCs/>
          <w:color w:val="000000"/>
        </w:rPr>
        <w:sectPr>
          <w:footnotePr/>
          <w:endnotePr/>
          <w:type w:val="nextPage"/>
          <w:pgSz w:w="16838" w:h="11906" w:orient="landscape"/>
          <w:pgMar w:top="1276" w:right="680" w:bottom="1276" w:left="1559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bCs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 Указанные в таблице выше расчетные показатели определены в соответствии со сценарием развития с. Красноселькуп, приведенным выше в </w:t>
      </w:r>
      <w:hyperlink w:tooltip="#_Различные_сценарии_развития" w:anchor="_Различные_сценарии_развит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1.2.2</w:t>
        </w:r>
      </w:hyperlink>
      <w:r>
        <w:rPr>
          <w:rFonts w:eastAsia="Liberation Serif" w:cs="Liberation Serif"/>
          <w:color w:val="000000" w:themeColor="text1"/>
        </w:rPr>
        <w:t xml:space="preserve">, а также учитывают эффекты от реализации мероприятий по строительству, реконструкции и модернизации объектов централизованных систем водоснабжения, приведенных выше в подраздел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1.4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47" w:name="_Toc142312575"/>
      <w: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47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Централизованная система горячего водоснабжения с использованием закрытых систем горячего водоснабжения на территории с. Красноселькуп отсутствует.</w:t>
      </w:r>
      <w:r/>
    </w:p>
    <w:p>
      <w:pPr>
        <w:pStyle w:val="1075"/>
      </w:pPr>
      <w:r/>
      <w:bookmarkStart w:id="48" w:name="_Toc142312576"/>
      <w: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суточное).</w:t>
      </w:r>
      <w:bookmarkEnd w:id="48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 по с. Красноселькуп приведены выше в подраздел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1.3.7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49" w:name="_Toc142312577"/>
      <w: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зонам.</w:t>
      </w:r>
      <w:bookmarkEnd w:id="49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зонам, по с. Красноселькуп приведено выше в подраздел</w:t>
      </w:r>
      <w:hyperlink w:tooltip="#_Общий_баланс_подачи" w:anchor="_Общий_баланс_подачи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50" w:name="_Toc142312578"/>
      <w:r>
        <w:t xml:space="preserve">Прогноз распределения расходов воды на водоснабжение по типам абонентов, в том числ</w:t>
      </w:r>
      <w:r>
        <w:t xml:space="preserve">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</w:r>
      <w:bookmarkEnd w:id="50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</w:t>
      </w:r>
      <w:r>
        <w:rPr>
          <w:rFonts w:eastAsia="Liberation Serif" w:cs="Liberation Serif"/>
          <w:color w:val="000000" w:themeColor="text1"/>
        </w:rPr>
        <w:t xml:space="preserve">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 по с. Красноселькуп приведен выше в подраздел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1.3.7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51" w:name="_Toc142312579"/>
      <w: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значения).</w:t>
      </w:r>
      <w:bookmarkEnd w:id="51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 по с. Красноселькуп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1.3.7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52" w:name="_Toc142312580"/>
      <w:r>
        <w:t xml:space="preserve">Перспективные балансы водоснабжения и водоотведения (общий - баланс</w:t>
      </w:r>
      <w:r>
        <w:t xml:space="preserve">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</w:r>
      <w:bookmarkEnd w:id="52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Перспективные балансы водоснабжения (общий – баланс подачи и реализации горячей, питьево</w:t>
      </w:r>
      <w:r>
        <w:rPr>
          <w:rFonts w:eastAsia="Liberation Serif" w:cs="Liberation Serif"/>
          <w:color w:val="000000" w:themeColor="text1"/>
        </w:rPr>
        <w:t xml:space="preserve">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 по с. Красноселькуп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1.3.7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Перспективные балансы водоотведения по ЦС ВО, действующим на территории с. Красноселькуп, рассмотрены ниже в </w:t>
      </w:r>
      <w:hyperlink w:tooltip="#_Сведения_о_фактическом" w:anchor="_Сведения_о_фактическом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2.3.1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53" w:name="_Toc142312581"/>
      <w:r>
        <w:t xml:space="preserve">Расчет требуемой мощности водозаборных и очистных сооружений исходя из данных о перспективном потреблении горячей, питьевой, т</w:t>
      </w:r>
      <w:r>
        <w:t xml:space="preserve">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</w:r>
      <w:bookmarkEnd w:id="53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</w:t>
      </w:r>
      <w:r>
        <w:rPr>
          <w:rFonts w:eastAsia="Liberation Serif" w:cs="Liberation Serif"/>
          <w:color w:val="000000" w:themeColor="text1"/>
        </w:rPr>
        <w:t xml:space="preserve">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 по с. Красноселькуп приведен выше в подраздел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1.3.7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54" w:name="_Toc142312582"/>
      <w:r>
        <w:t xml:space="preserve">Наименование организации, которая наделена статусом гарантирующей организации.</w:t>
      </w:r>
      <w:bookmarkEnd w:id="54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 введены и определены следующие понятия и требования:</w:t>
      </w:r>
      <w:r/>
    </w:p>
    <w:p>
      <w:pPr>
        <w:pStyle w:val="1245"/>
        <w:numPr>
          <w:ilvl w:val="0"/>
          <w:numId w:val="26"/>
        </w:numPr>
        <w:ind w:left="0" w:firstLine="709"/>
        <w:tabs>
          <w:tab w:val="left" w:pos="992" w:leader="none"/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статья 2 главы 1: «гарантирующая организация –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</w:t>
      </w:r>
      <w:r>
        <w:rPr>
          <w:rFonts w:eastAsia="Liberation Serif" w:cs="Liberation Serif"/>
          <w:color w:val="000000" w:themeColor="text1"/>
        </w:rPr>
        <w:t xml:space="preserve">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водоотведения»;</w:t>
      </w:r>
      <w:r/>
    </w:p>
    <w:p>
      <w:pPr>
        <w:pStyle w:val="1245"/>
        <w:numPr>
          <w:ilvl w:val="0"/>
          <w:numId w:val="26"/>
        </w:numPr>
        <w:ind w:left="0" w:firstLine="709"/>
        <w:tabs>
          <w:tab w:val="left" w:pos="992" w:leader="none"/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ст</w:t>
      </w:r>
      <w:r>
        <w:rPr>
          <w:rFonts w:eastAsia="Liberation Serif" w:cs="Liberation Serif"/>
          <w:color w:val="000000" w:themeColor="text1"/>
        </w:rPr>
        <w:t xml:space="preserve">атья 6 главы 2: к полномочиям органов местного самоуправления поселений, городских округов относится определение для каждой централизованной системы холодного водоснабжения и (или) водоотведения гарантирующей организации и установление зон ее деятельности;</w:t>
      </w:r>
      <w:r/>
    </w:p>
    <w:p>
      <w:pPr>
        <w:pStyle w:val="1245"/>
        <w:numPr>
          <w:ilvl w:val="0"/>
          <w:numId w:val="26"/>
        </w:numPr>
        <w:ind w:left="0" w:firstLine="709"/>
        <w:tabs>
          <w:tab w:val="left" w:pos="992" w:leader="none"/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 1 статьи 12 главы 3: «Органы местного самоуправления поселений, городских окр</w:t>
      </w:r>
      <w:r>
        <w:rPr>
          <w:rFonts w:eastAsia="Liberation Serif" w:cs="Liberation Serif"/>
          <w:color w:val="000000" w:themeColor="text1"/>
        </w:rPr>
        <w:t xml:space="preserve">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централизованных ливневых систем водоотведения гарантирующая организация не определяется»;</w:t>
      </w:r>
      <w:r/>
    </w:p>
    <w:p>
      <w:pPr>
        <w:pStyle w:val="1245"/>
        <w:numPr>
          <w:ilvl w:val="0"/>
          <w:numId w:val="26"/>
        </w:numPr>
        <w:ind w:left="0" w:firstLine="709"/>
        <w:tabs>
          <w:tab w:val="left" w:pos="992" w:leader="none"/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пункт 2 статьи 12 главы 3: «Организация, осуществляющая холодное водоснабжение и (или) водоотведение и эксплуатирующая водопроводные и (или) канализа</w:t>
      </w:r>
      <w:r>
        <w:rPr>
          <w:rFonts w:eastAsia="Liberation Serif" w:cs="Liberation Serif"/>
          <w:color w:val="000000" w:themeColor="text1"/>
        </w:rPr>
        <w:t xml:space="preserve">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водоотведение»;</w:t>
      </w:r>
      <w:r/>
    </w:p>
    <w:p>
      <w:pPr>
        <w:pStyle w:val="1245"/>
        <w:numPr>
          <w:ilvl w:val="0"/>
          <w:numId w:val="26"/>
        </w:numPr>
        <w:ind w:left="0" w:firstLine="709"/>
        <w:tabs>
          <w:tab w:val="left" w:pos="992" w:leader="none"/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 пункт 2 Статьи 42 Главы 8: «До 1 июля 2013 года органы местного самоуправления поселения, городского округа осуществляют ин</w:t>
      </w:r>
      <w:r>
        <w:rPr>
          <w:rFonts w:eastAsia="Liberation Serif" w:cs="Liberation Serif"/>
          <w:color w:val="000000" w:themeColor="text1"/>
        </w:rPr>
        <w:t xml:space="preserve">вентаризацию водопроводных и канализационных сетей, участвующих в водоснабжении и водоотведении (транспортировке воды и сточных вод), утверждают схему водоснабжения и водоотведения, определяют гарантирующую организацию, устанавливают зоны ее деятельности».</w:t>
      </w:r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момент настоящей актуализации Схемы ВСиВО Красноселькупского района на территории с. Красноселькуп статусом гарантирующей организации наделена ООО ЭК «ТВЭС».</w:t>
      </w:r>
      <w:bookmarkStart w:id="55" w:name="_Предложения_по_строительству,"/>
      <w:r/>
      <w:bookmarkEnd w:id="55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56" w:name="_Toc142312583"/>
      <w:r>
        <w:t xml:space="preserve">Предложения по строительству, реконструкции и модернизации объектов централизованных систем водоснабжения</w:t>
      </w:r>
      <w:bookmarkEnd w:id="56"/>
      <w:r/>
      <w:r/>
    </w:p>
    <w:p>
      <w:pPr>
        <w:pStyle w:val="1245"/>
        <w:jc w:val="center"/>
        <w:tabs>
          <w:tab w:val="left" w:pos="1701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57" w:name="_Перечень_основных_мероприятий"/>
      <w:r/>
      <w:bookmarkStart w:id="58" w:name="_Toc142312584"/>
      <w:r/>
      <w:bookmarkEnd w:id="57"/>
      <w:r>
        <w:t xml:space="preserve">Перечень основных мероприятий по реализации схем водоснабжения с разбивкой по годам.</w:t>
      </w:r>
      <w:bookmarkEnd w:id="5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Перечень основных мероприятий по реализации Схемы водоснабжения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с разбивкой по годам приведен в таблице 1.4.1.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1.4.1 – Перечень основных мероприятий по реализации Схемы водоснабжения с. Красноселькуп с разбивкой по годам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Look w:val="0000" w:firstRow="0" w:lastRow="0" w:firstColumn="0" w:lastColumn="0" w:noHBand="0" w:noVBand="0"/>
      </w:tblPr>
      <w:tblGrid>
        <w:gridCol w:w="1002"/>
        <w:gridCol w:w="6016"/>
        <w:gridCol w:w="1301"/>
        <w:gridCol w:w="1303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2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31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35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Период реализации, гг.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начало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конец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Установка резервуаров хранения запасов воды в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олнение инженерных изысканий, разработка проекта реконструкции системы водоснабжения, согласование и утверждение зон санитарной охраны нового водозабора и сооружений водопровода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 нового подземного водозабора и сопутствующей инженерной инфраструктуры в том числе: подъездных путей, объектов электросетевого хозяйства, сетей теплоснабжения и водоснабжения,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системы водоснабжения и водоподготовки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Поэтапная консервация существующих водозаборных скважин в соответствии с проектом развития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4–3–2а до УТ 4–3–30»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4–3–30 до УТ 4–3–30–3»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котельной № 4 по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ул. Брусничная», (трубопроводы водоснабжения на участке от УТ 4–3 до УТ 4–3–2а)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ул. Ленина, д. 3 до переулка Северный, д. ЗА», (трубопроводы водоснабжения на участке от УТ 5–20 до УТ 2–2–52)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</w:tr>
      <w:tr>
        <w:trPr>
          <w:trHeight w:val="777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highlight w:val="none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ул. Нагорная, д. 32 – ул. Энтузиастов (ДЮЦ)» (трубопроводы водоснабжения на участке от УТ 2–2 21 до УТ 2–2–25)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</w:tr>
      <w:tr>
        <w:trPr>
          <w:trHeight w:val="277"/>
        </w:trPr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2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26" w:type="pct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Реконструкция объекта «Тепловая и в</w:t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одопроводная сеть, расположенный по адресу: по адресу: по адресу с. Красноселькуп, от котельной № 2 до ул. Полярная» (сети водоснабжения на участке УТ 2-1-2 до УТ 2-1-6)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7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7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</w:t>
            </w:r>
            <w:r>
              <w:rPr>
                <w:rFonts w:ascii="Liberation Serif" w:hAnsi="Liberation Serif" w:cs="Arial" w:eastAsia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ул. Строителей, д.9 - ул. 70 лет Октября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170 п.м., с. Красноселькуп, д./д. «Родничок» – ул. 70 лет Октября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75 п.м., с. Красноселькуп, от ДЮЦ до ул. 40 лет Победы, д. 34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390 п.м., с. Красноселькуп ул. Полярная д. 22 – д. 38 (до котельной № 4)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190 п.м., с. Красноселькуп, от 70 лет Октября, д. 5а до 70 лет Октября, д. 9а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165 п.м., с. Красноселькуп, ул. Набережная, д. 7 – 40 лет Победы, д. 17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40 лет Победы, д. 30 – РКЦ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22 – ул. Строителей, д. 18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375 п.м., с. Красноселькуп, ул. Ленина, д. 3 до переулка Северный, д. 3а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515 п.м., с. Красноселькуп, от котельной № 4 по ул. Строителей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147 п.м., с. Красноселькуп, от ТП ул. Нагорная до ул. Нагорная, д. 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240 п.м., с. Красноселькуп, от ул. Строителей, д. 2 до ул. Строителей, д. 14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278 п.м., с. Красноселькуп, ул. Молодежная, д.2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374 п.м., с. Красноселькуп, ул. Молодежная, д. 3 – д. 26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203 п.м., с. Красноселькуп, ул. Хвойная, д. 3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196 п.м., с. Красноселькуп, ул. Березовая, д.1 – д.15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214 п.м., с. Красноселькуп, ул. Березовая, д. 5 – д. 21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1 – д. 7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8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91 п.м., с. Красноселькуп, ул. Восточная, д. 8а – д. 12а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8 – д. 18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228 п.м., с. Красноселькуп, ул. Геологоразведчиков, д. 13 – ул. Геологоразведчиков,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Строителей, д. 21 – ул. Комсомольская, д. 2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148 п.м., с. Красноселькуп, ул. 40 лет Победы, д. 17 – ул. Набережная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135 п.м., с. Красноселькуп, ул. Дзержинского, д. 7 – аптека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160 п.м., с. Красноселькуп, от пер. Таежный до столярного цеха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Сайготина, д. 1 – ул. Сайготина, д. 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350 п.м., с. Красноселькуп, ул. Ленина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 ул. Строителей, д.9 - ул. 70 лет Октября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260 п.м., с. Красноселькуп, ул. Полярная, д.16 до ДЮЦ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186 п.м., с. Красноселькуп,  пер. Таежный до ул. 40 лет Победы, д. 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2025</w:t>
            </w:r>
            <w:r/>
          </w:p>
        </w:tc>
      </w:tr>
      <w:tr>
        <w:trPr>
          <w:trHeight w:val="545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21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2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430 п.м., с. Красноселькуп,  ул Нагорная 15 до ул. 40 лет Победы 10Б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2027</w:t>
            </w:r>
            <w:r/>
          </w:p>
        </w:tc>
      </w:tr>
    </w:tbl>
    <w:p>
      <w:pPr>
        <w:pStyle w:val="1340"/>
        <w:ind w:firstLine="0"/>
      </w:pPr>
      <w:r/>
      <w:r/>
    </w:p>
    <w:p>
      <w:pPr>
        <w:pStyle w:val="1075"/>
      </w:pPr>
      <w:r/>
      <w:bookmarkStart w:id="59" w:name="_Toc142312585"/>
      <w:r>
        <w:t xml:space="preserve">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характерис</w:t>
      </w:r>
      <w:r>
        <w:t xml:space="preserve">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Схемами.</w:t>
      </w:r>
      <w:bookmarkEnd w:id="5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Технические обоснования основных мероприятий по реализации схем водоснабжения, в том числе гидрогеологические характеристики потенц</w:t>
      </w:r>
      <w:r>
        <w:rPr>
          <w:rFonts w:eastAsia="Liberation Serif" w:cs="Liberation Serif"/>
          <w:color w:val="000000" w:themeColor="text1"/>
        </w:rPr>
        <w:t xml:space="preserve">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 с. Красноселькуп, приведены в таблице 1.4.2.</w:t>
      </w:r>
      <w:r/>
    </w:p>
    <w:p>
      <w:pPr>
        <w:pStyle w:val="1245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1.4.2 – Технические обоснования основных мероприятий по реализации схем водоснабжения, в том числе гидрогеологи</w:t>
      </w:r>
      <w:r>
        <w:rPr>
          <w:rFonts w:eastAsia="Liberation Serif" w:cs="Liberation Serif"/>
          <w:color w:val="000000" w:themeColor="text1"/>
        </w:rPr>
        <w:t xml:space="preserve">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4"/>
        <w:gridCol w:w="5425"/>
        <w:gridCol w:w="3293"/>
      </w:tblGrid>
      <w:tr>
        <w:trPr>
          <w:trHeight w:val="1212"/>
          <w:tblHeader/>
        </w:trPr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Наименование мероприятия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Техническое обоснование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Установка резервуаров хранения запасов воды в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Обеспечение подачи абонентам определенного объема горячей, питьевой воды установленного качества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олнение инженерных изысканий, разработка проекта реконструкции системы водоснабжения, согласование и утверждение зон санитарной охраны нового водозабора и сооружений водопровода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 нового подземного водозабора и сопутствующей инженерной инфраструктуры в том числе: подъездных путей, объектов электросетевого хозяйства, сетей теплоснабжения и водоснабжения,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Обеспечение подачи абонентам определенного объема горячей, питьевой воды установленного качества.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системы водоснабжения и водоподготовки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Выполнение мероприятий по реконструкции объекта «Котельной №4», ра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сположенного по адресу с. Красноселькуп, ул. Полярная, д 41, в насосную станцию магистрального водопровода 3-го подъема в соответствии с проектом реконструкции системы водоснабжения с. Красноселькуп; реконструкции существующих магистральных участков сетей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водоснабжения для увеличения пропускной способности, в соответствии с проектом реконс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трукции системы водоснабжения с. Красноселькуп; поэтапной реконструкции существующих станций водоподготовки и резервуаров чистой воды, в том числе их перемещение на новое место в соответствии с проектом реконструкции системы водоснабжения с. Красноселькуп.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Поэтапная консервация существующих водозаборных скважин в соответствии с проектом развития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4–3–2а до УТ 4–3–30»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Обеспечение водоснабжения объектов перспективной застройки населенного пункта 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4–3–30 до УТ 4–3–30–3»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Обеспечение водоснабжения объектов перспективной застройки населенного пункта 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котельной № 4 по ул. Брусничная», (трубопроводы водоснабжения на участке от УТ 4–3 до УТ 4–3–2а)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ул. Ленина, д. 3 до переулка Северный, д. ЗА», (трубопроводы водоснабжения на участке от УТ 5–20 до УТ 2–2–52)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719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highlight w:val="none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ул. Нагорная, д. 32 – ул. Энтузиастов (ДЮЦ)» (трубопроводы водоснабжения на участке от УТ 2–2 21 до УТ 2–2–25)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highlight w:val="none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123"/>
        </w:trPr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Реконструкция объекта «Тепловая и в</w:t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одопроводная сеть, расположенный по адресу: по адресу: по адресу с. Красноселькуп, от котельной № 2 до ул. Полярная» (сети водоснабжения на участке УТ 2-1-2 до УТ 2-1-6)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123"/>
        </w:trPr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</w:t>
            </w:r>
            <w:r>
              <w:rPr>
                <w:rFonts w:ascii="Liberation Serif" w:hAnsi="Liberation Serif" w:cs="Arial" w:eastAsia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ул. Строителей, д.9 - ул. 70 лет Октября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170 п.м., с. Красноселькуп, д./д. «Родничок» – ул. 70 лет Октября д. 8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75 п.м., с. Красноселькуп, от ДЮЦ до ул. 40 лет Победы, д. 34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390 п.м., с. Красноселькуп ул. Полярная д. 22 – д. 38 (до котельной № 4) 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190 п.м., с. Красноселькуп, от 70 лет Октября, д. 5а до 70 лет Октября, д. 9а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165 п.м., с. Красноселькуп, ул. Набережная, д. 7 – 40 лет Победы, д. 17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40 лет Победы, д. 30 – РКЦ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22 – ул. Строителей, д. 18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375 п.м., с. Красноселькуп, ул. Ленина, д. 3 до переулка Северный, д. 3а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515 п.м., с. Красноселькуп, от котельной № 4 по ул. Строителей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147 п.м., с. Красноселькуп, от ТП ул. Нагорная до ул. Нагорная, д. 1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240 п.м., с. Красноселькуп, от ул. Строителей, д. 2 до ул. Строителей, д. 14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278 п.м., с. Красноселькуп, ул. Молодежная, д.2 – д. 22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374 п.м., с. Красноселькуп, ул. Молодежная, д. 3 – д. 26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203 п.м., с. Красноселькуп, ул. Хвойная, д. 3 – д. 22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196 п.м., с. Красноселькуп, ул. Березовая, д.1 – д.15 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214 п.м., с. Красноселькуп, ул. Березовая, д. 5 – д. 21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1 – д. 7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8 – д. 22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91 п.м., с. Красноселькуп, ул. Восточная, д. 8а – д. 12а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8 – д. 18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228 п.м., с. Красноселькуп, ул. Геологоразведчиков, д. 13 – ул. Геологоразведчиков, д. 8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Строителей, д. 21 – ул. Комсомольская, д. 2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148 п.м., с. Красноселькуп, ул. 40 лет Победы, д. 17 – ул. Набережная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135 п.м., с. Красноселькуп, ул. Дзержинского, д. 7 – аптека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160 п.м., с. Красноселькуп, от пер. Таежный до столярного цеха 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Сайготина, д. 1 – ул. Сайготина, д. 15  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350 п.м., с. Красноселькуп, ул. Ленина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 ул. Строителей, д.9 - ул. 70 лет Октября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260 п.м., с. Красноселькуп, ул. Полярная, д.16 до ДЮЦ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186 п.м., с. Красноселькуп,  пер. Таежный до ул. 40 лет Победы, д. 2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2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430 п.м., с. Красноселькуп,  ул Нагорная 15 до ул. 40 лет Победы 10Б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Сокращение потерь воды при ее транспортировке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60" w:name="_Toc142312586"/>
      <w:r>
        <w:t xml:space="preserve">Сведения о вновь строящихся, реконструируемых и предлагаемых к выводу из эксплуатации объектах системы водоснабжения.</w:t>
      </w:r>
      <w:bookmarkEnd w:id="60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Сведения о вновь строящихся, реконструируемых и предлагаемых к выводу из эксплуатации объектах системы водоснабжения с. Красноселькуп приведены в таблице 1.4.3.</w:t>
      </w:r>
      <w:r/>
    </w:p>
    <w:p>
      <w:pPr>
        <w:pStyle w:val="1245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1.4.3 – Сведения о вновь строящихся, реконструируемых и предлагаемых к выводу из эксплуатации объектах системы водоснабжения с. Красноселькуп</w:t>
      </w:r>
      <w:r/>
    </w:p>
    <w:p>
      <w:r/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1"/>
        <w:gridCol w:w="3899"/>
        <w:gridCol w:w="533"/>
        <w:gridCol w:w="1105"/>
        <w:gridCol w:w="850"/>
        <w:gridCol w:w="1203"/>
        <w:gridCol w:w="474"/>
        <w:gridCol w:w="533"/>
        <w:gridCol w:w="474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389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Наименование мероприятия</w:t>
            </w:r>
            <w:r/>
          </w:p>
        </w:tc>
        <w:tc>
          <w:tcPr>
            <w:gridSpan w:val="7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1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55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389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gridSpan w:val="2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63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водопроводные сети</w:t>
            </w:r>
            <w:r/>
          </w:p>
        </w:tc>
        <w:tc>
          <w:tcPr>
            <w:gridSpan w:val="5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прочие объекты</w:t>
            </w:r>
            <w:r/>
          </w:p>
        </w:tc>
      </w:tr>
      <w:tr>
        <w:trPr>
          <w:cantSplit/>
          <w:trHeight w:val="1496"/>
          <w:tblHeader/>
        </w:trPr>
        <w:tc>
          <w:tcPr>
            <w:shd w:val="clear" w:color="auto" w:fill="bfbfbf" w:themeFill="background1" w:themeFillShade="BF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L, м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Dу, мм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водозаборные сооружения, м³/сут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СВП, м³/сут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ВНС, м³/ч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РдВ, м³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иное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7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8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20"/>
                <w:szCs w:val="20"/>
                <w:lang w:eastAsia="en-US"/>
              </w:rPr>
              <w:t xml:space="preserve">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Установка резервуаров хранения запасов воды в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300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Выполнение инженерных изысканий, разработка проекта реконструкции системы водоснабжения, согласование и утверждение зон санитарной охраны нового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водозабора и сооружений водопровода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о нового подземного водозабора и сопутствующей инженерной инфраструктуры в том числе: подъездных путей, объектов электросетевого хозяйства, сетей теплоснабжения и водоснабжения, в соответствии с проектом реконструкции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4х400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системы водоснабжения и водоподготовки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Поэтапная консервация существующих водозаборных скважин в соответствии с проектом развития системы водоснабжения с. Красноселькуп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4–3–2а до УТ 4–3–30»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110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80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Строительство объекта «Тепловая и водопроводная сеть от УТ 4–3–30 до УТ 4–3–30–3»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140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котельной № 4 по ул. Брусничная», (трубопроводы водоснабжения на участке от УТ 4–3 до УТ 4–3–2а)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110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ул. Ленина, д. 3 до переулка Северный, д. ЗА», (трубопроводы водоснабжения на участке от УТ 5–20 до УТ 2–2–52)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282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ул. Нагорная, д. 32 – ул. Энтузиастов (ДЮЦ)» (трубопроводы водоснабжения на участке ог УТ 2–2 21 доУТ 2–2–25)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131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729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Реконструкция объекта «Тепловая и в</w:t>
            </w:r>
            <w:r>
              <w:rPr>
                <w:rFonts w:ascii="Liberation Serif" w:hAnsi="Liberation Serif" w:eastAsia="Liberation Serif" w:cs="Liberation Serif"/>
                <w:b w:val="0"/>
                <w:sz w:val="20"/>
                <w:szCs w:val="24"/>
                <w:highlight w:val="white"/>
                <w:u w:val="none"/>
              </w:rPr>
              <w:t xml:space="preserve">одопроводная сеть, расположенный по адресу: по адресу: по адресу с. Красноселькуп, от котельной № 2 до ул. Полярная» (сети водоснабжения на участке УТ 2-1-2 до УТ 2-1-6)</w:t>
            </w:r>
            <w:r>
              <w:rPr>
                <w:rFonts w:ascii="Liberation Serif" w:hAnsi="Liberation Serif" w:cs="Liberation Serif"/>
                <w:color w:val="00000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228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113"/>
        </w:trPr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899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</w:t>
            </w:r>
            <w:r>
              <w:rPr>
                <w:rFonts w:ascii="Liberation Serif" w:hAnsi="Liberation Serif" w:cs="Arial" w:eastAsia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ул. Строителей, д.9 - ул. 70 лет Октября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141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1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20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7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170 п.м., с. Красноселькуп, д./д. «Родничок» – ул. 70 лет Октября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170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75 п.м., </w:t>
            </w: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с. Красноселькуп, от ДЮЦ до ул. 40 лет Победы, д. 34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75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390 п.м., с. Красноселькуп ул. Полярная д. 22 – д. 38 (до котельной № 4)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390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190 п.м., с. Красноселькуп, от 70 лет Октября, д. 5а до 70 лет Октября, д. 9а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190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165 п.м., с. Красноселькуп, ул. Набережная, д. 7 – 40 лет Победы, д. 17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165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40 лет Победы, д. 30 – РКЦ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22 – ул. Строителей, д. 18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375 п.м., с. Красноселькуп, ул. Ленина, д. 3 до переулка Северный, д. 3а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375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515 п.м., с. Красноселькуп, от котельной № 4 по ул. Строителей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515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147 п.м., с. Красноселькуп, от ТП ул. Нагорная до ул. Нагорная, д. 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147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240 п.м., с. Красноселькуп, от ул. Строителей, д. 2 до ул. Строителей, д. 14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240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278 п.м., с. Красноселькуп, ул. Молодежная, д.2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278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374 п.м., с. Красноселькуп, ул. Молодежная, д. 3 – д. 26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374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203 п.м., с. Красноселькуп, ул. Хвойная, д. 3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203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196 п.м., с. Красноселькуп, ул. Березовая, д.1 – д.15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196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214 п.м., с. Красноселькуп, ул. Березовая, д. 5 – д. 21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214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1 – д. 7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8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91 п.м., с. Красноселькуп, ул. Восточная, д. 8а – д. 12а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91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8 – д. 18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228 п.м., с. Красноселькуп, ул. Геологоразведчиков, д. 13 – ул. Геологоразведчиков,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228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Строителей, д. 21 – ул. Комсомольская, д. 2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300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148 п.м., с. Красноселькуп, ул. 40 лет Победы, д. 17 – ул. Набережная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148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135 п.м., с. Красноселькуп, ул. Дзержинского, д. 7 – аптека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135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37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160 п.м., с. Красноселькуп, от пер. Таежный до столярного цеха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160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Сайготина, д. 1 – ул. Сайготина, д. 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300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39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350 п.м., с. Красноселькуп, ул. Ленина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350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40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470 п.м., с. Красноселькуп, ул. Строителей, д.9 - ул. 70 лет Октября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470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41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260 п.м., с. Красноселькуп, ул. Полярная, д.16 до ДЮЦ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260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42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186 п.м., с. Красноселькуп,  пер. Таежный до ул. 40 лет Победы, д. 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186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  <w:tr>
        <w:trPr>
          <w:trHeight w:val="657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43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Капитальный ремонт тепловой и водопроводной сети протяженность 430 п.м., с. Красноселькуп,  ул Нагорная 15 до ул. 40 лет Победы 10Б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430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без изменений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2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20"/>
                <w:szCs w:val="20"/>
                <w:lang w:eastAsia="en-US"/>
              </w:rPr>
              <w:t xml:space="preserve">-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61" w:name="_Toc142312587"/>
      <w:r>
        <w:t xml:space="preserve"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  <w:bookmarkEnd w:id="6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 числу основных особенностей централизованных систем водоснабжения, как объектов автоматизации, относятся: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высокая степень ответственности работы сооружений, требующая обеспечения их надёжной бесперебойной работы;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работа сооружений в условиях постоянно меняющейся нагрузки;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зависимость режима работы сооружений от изменения качества исходной воды;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территориальная разрозненность сооружений и необходимость координирования их работы из одного центра;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сложность технологического процесса и необходимость обеспечения высокого качества обработки воды;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необходимость сохранения работоспособности при авариях на отдельных участках системы;</w:t>
      </w:r>
      <w:r/>
    </w:p>
    <w:p>
      <w:pPr>
        <w:pStyle w:val="1245"/>
        <w:numPr>
          <w:ilvl w:val="0"/>
          <w:numId w:val="2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значительная инерционность ряда технологических процессов.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Задачи автоматизации процессов водозабора, водоподготовки и транспортировки воды в основном состоят в следующем:</w:t>
      </w:r>
      <w:r/>
    </w:p>
    <w:p>
      <w:pPr>
        <w:pStyle w:val="1245"/>
        <w:numPr>
          <w:ilvl w:val="0"/>
          <w:numId w:val="2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создание оптимальных условий работы отдельных сооружений;</w:t>
      </w:r>
      <w:r/>
    </w:p>
    <w:p>
      <w:pPr>
        <w:pStyle w:val="1245"/>
        <w:numPr>
          <w:ilvl w:val="0"/>
          <w:numId w:val="2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улучшение технологического контроля за работой отдельных элементов системы водоснабжения и ходом процесса водоснабжения в целом;</w:t>
      </w:r>
      <w:r/>
    </w:p>
    <w:p>
      <w:pPr>
        <w:pStyle w:val="1245"/>
        <w:numPr>
          <w:ilvl w:val="0"/>
          <w:numId w:val="2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улучшение условий труда эксплуатационного персонала с одновременным сокращением штатов обслуживающего персонала;</w:t>
      </w:r>
      <w:r/>
    </w:p>
    <w:p>
      <w:pPr>
        <w:pStyle w:val="1245"/>
        <w:numPr>
          <w:ilvl w:val="0"/>
          <w:numId w:val="2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уменьшение стоимости подготовки воды требуемого качества.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 развитии систем автоматизации и диспетчеризации объектов централизованных систем водосн</w:t>
      </w:r>
      <w:r>
        <w:rPr>
          <w:rFonts w:eastAsia="Liberation Serif" w:cs="Liberation Serif"/>
          <w:color w:val="000000" w:themeColor="text1"/>
        </w:rPr>
        <w:t xml:space="preserve">абжения предлагается организация двухступенчатой структуры диспетчерского управления, с наличием единого центрального пункта управления и двух действующих местных пультов управления. Функции центрального пункта управления заключаются в контроле всех основн</w:t>
      </w:r>
      <w:r>
        <w:rPr>
          <w:rFonts w:eastAsia="Liberation Serif" w:cs="Liberation Serif"/>
          <w:color w:val="000000" w:themeColor="text1"/>
        </w:rPr>
        <w:t xml:space="preserve">ых объектов централизованных систем водоснабжения, как единого комплекса и координации работы всех местных пультов управления, с реализацией SCADA-системы. Функции местных пультов управления ограничиваются управлением подчинённых им технологических узлов.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Автоматизация процесса подачи воды в водопроводные сети от насосных агрегатов на станциях водоподготовки и на насосных станциях второго подъёма заключается в частотном управлении работой данных н</w:t>
      </w:r>
      <w:r>
        <w:rPr>
          <w:rFonts w:eastAsia="Liberation Serif" w:cs="Liberation Serif"/>
          <w:color w:val="000000" w:themeColor="text1"/>
        </w:rPr>
        <w:t xml:space="preserve">асосных агрегатов с регулированием значения давления в напорном трубопроводе и передачей сигналов как в местную операторскую, так и на центральный пункт управления эксплуатирующей организации. Контролироваться на данных объектах должны следующие параметры: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давление, развиваемое каждым насосным агрегатом;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давление в напорном водоводе; 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расход перекачиваемой воды;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уровень воды в дренажном приямке;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работающие насосные агрегаты;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наработка каждого насосного агрегата;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потребляемый ток (мощность) каждым скважинным насосным агрегатом;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число оборотов насосного агрегата при частотном регулировании;</w:t>
      </w:r>
      <w:r/>
    </w:p>
    <w:p>
      <w:pPr>
        <w:pStyle w:val="1245"/>
        <w:numPr>
          <w:ilvl w:val="0"/>
          <w:numId w:val="2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аварийные ситуации.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Подробное опи</w:t>
      </w:r>
      <w:r>
        <w:rPr>
          <w:rFonts w:eastAsia="Liberation Serif" w:cs="Liberation Serif"/>
          <w:color w:val="000000" w:themeColor="text1"/>
        </w:rPr>
        <w:t xml:space="preserve">сание, выбор требуемых технических решений по автоматизации процессов, оборудования и необходимых материалов требуется предусмотреть в соответствующих проектах по реконструкции (модернизации) соответствующих объектов централизованных систем водоснабжения.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Все локальн</w:t>
      </w:r>
      <w:r>
        <w:rPr>
          <w:rFonts w:eastAsia="Liberation Serif" w:cs="Liberation Serif"/>
          <w:color w:val="000000" w:themeColor="text1"/>
        </w:rPr>
        <w:t xml:space="preserve">ые системы управления и диспетчеризации объектов централизованных систем водоснабжения должны быть связаны в общую систему диспетчерского управления с единым центральным пунктом управления, организованным в диспетчерской комнате эксплуатирующей организации</w:t>
      </w:r>
      <w:r>
        <w:rPr>
          <w:rFonts w:eastAsia="Liberation Serif" w:cs="Liberation Serif"/>
          <w:color w:val="000000" w:themeColor="text1"/>
        </w:rPr>
        <w:t xml:space="preserve"> (как вариант – на одном из двух действующих дистанционных пультов управления). Это позволит полностью контролировать и оперативно изменять ход действия технологических процессов, выполняемых каждым отдельным объектом централизованных систем водоснабжения.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предлагаемой системе управления следует предусмотреть организацию контрольных (диктующих) точек с целью постоянного измерен</w:t>
      </w:r>
      <w:r>
        <w:rPr>
          <w:rFonts w:eastAsia="Liberation Serif" w:cs="Liberation Serif"/>
          <w:color w:val="000000" w:themeColor="text1"/>
        </w:rPr>
        <w:t xml:space="preserve">ия и контроля значений давления в водопроводных сетях. Значения с датчиков давления следует передавать на центральный пункт управления для возможной корректировки режимов работы насосных агрегатов на основных объектах централизованных систем водоснабжения.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Подробное описание системы диспетчерского управления, разработка конкретных технических решений, определение состава оборудования и перечня необходимых материалов для реализации системы диспетчерского контроля должно быть предусмотр</w:t>
      </w:r>
      <w:r>
        <w:rPr>
          <w:rFonts w:eastAsia="Liberation Serif" w:cs="Liberation Serif"/>
          <w:color w:val="000000" w:themeColor="text1"/>
        </w:rPr>
        <w:t xml:space="preserve">ено соответствующим проектом. Предпочтение в проекте следует отдавать современным технологиям автоматизации с целью разработки и внедрения технических решений, способных оставаться актуальными на протяжении многих лет эксплуатации соответствующих объектов.</w:t>
      </w:r>
      <w:r/>
    </w:p>
    <w:p>
      <w:pPr>
        <w:pStyle w:val="1075"/>
      </w:pPr>
      <w:r/>
      <w:bookmarkStart w:id="62" w:name="_Toc142312588"/>
      <w:r>
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воду.</w:t>
      </w:r>
      <w:bookmarkEnd w:id="6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 2022г. в с. Красноселькуп от общего объема реализации холодной воды абонентам (</w:t>
      </w:r>
      <w:r>
        <w:rPr>
          <w:rFonts w:eastAsia="Liberation Serif" w:cs="Liberation Serif"/>
          <w:color w:val="000000" w:themeColor="text1"/>
        </w:rPr>
        <w:t xml:space="preserve">191215</w:t>
      </w:r>
      <w:r>
        <w:rPr>
          <w:rFonts w:eastAsia="Liberation Serif" w:cs="Liberation Serif"/>
          <w:color w:val="000000" w:themeColor="text1"/>
        </w:rPr>
        <w:t xml:space="preserve"> м³) порядка 1,3 % (</w:t>
      </w:r>
      <w:r>
        <w:rPr>
          <w:rFonts w:eastAsia="Liberation Serif" w:cs="Liberation Serif"/>
          <w:color w:val="000000" w:themeColor="text1"/>
        </w:rPr>
        <w:t xml:space="preserve">2486</w:t>
      </w:r>
      <w:r>
        <w:rPr>
          <w:rFonts w:eastAsia="Liberation Serif" w:cs="Liberation Serif"/>
          <w:color w:val="000000" w:themeColor="text1"/>
        </w:rPr>
        <w:t xml:space="preserve"> м³) было определено расчетным путем, что говорит о значительной оснащенности приборами коммерческого учета абонентов.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63" w:name="_Hlk118188667"/>
      <w:r>
        <w:rPr>
          <w:rFonts w:eastAsia="Liberation Serif" w:cs="Liberation Serif"/>
          <w:color w:val="000000" w:themeColor="text1"/>
        </w:rPr>
        <w:t xml:space="preserve">В муниципальных учреждениях с. Красноселькуп установлено 45 приборов учета холодной воды. Согласно плану установки приборов учета в ближайшей перспективе не планируется установка приборов учета холодной воды.</w:t>
      </w:r>
      <w:bookmarkEnd w:id="6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за потребленное количество воды абонентами ЦС ХВС с. Красноселькуп осуществляется на основании значений приборов учета воды. В случае отсутствия приборов учета объем воды определяется в соответствии с принятыми нормативами потребления питьевой воды.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частью 5 статьи 13 ФЗ РФ от 23.11.2009 № 261-ФЗ до 01.07.2012 собственники жилых домов, собственники помещений в многоквартирных домах, введенных в эксплуатацию на день всту</w:t>
      </w:r>
      <w:r>
        <w:rPr>
          <w:rFonts w:eastAsia="Liberation Serif" w:cs="Liberation Serif"/>
          <w:color w:val="000000" w:themeColor="text1"/>
        </w:rPr>
        <w:t xml:space="preserve">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а также ввод установленных приборов учета в эксплуатацию. При этом многоквартирные дома в ука</w:t>
      </w:r>
      <w:r>
        <w:rPr>
          <w:rFonts w:eastAsia="Liberation Serif" w:cs="Liberation Serif"/>
          <w:color w:val="000000" w:themeColor="text1"/>
        </w:rPr>
        <w:t xml:space="preserve">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38_1 Правил содержания общего имущества в многок</w:t>
      </w:r>
      <w:r>
        <w:rPr>
          <w:rFonts w:eastAsia="Liberation Serif" w:cs="Liberation Serif"/>
          <w:color w:val="000000" w:themeColor="text1"/>
        </w:rPr>
        <w:t xml:space="preserve">вартирном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</w:t>
      </w:r>
      <w:r>
        <w:rPr>
          <w:rFonts w:eastAsia="Liberation Serif" w:cs="Liberation Serif"/>
          <w:color w:val="000000" w:themeColor="text1"/>
        </w:rPr>
        <w:t xml:space="preserve">коллек</w:t>
      </w:r>
      <w:r>
        <w:rPr>
          <w:rFonts w:eastAsia="Liberation Serif" w:cs="Liberation Serif"/>
          <w:color w:val="000000" w:themeColor="text1"/>
        </w:rP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rPr>
          <w:rFonts w:eastAsia="Liberation Serif" w:cs="Liberation Serif"/>
          <w:color w:val="000000" w:themeColor="text1"/>
        </w:rP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Счета на оплату расходов на установку коллект</w:t>
      </w:r>
      <w:r>
        <w:rPr>
          <w:rFonts w:eastAsia="Liberation Serif" w:cs="Liberation Serif"/>
          <w:color w:val="000000" w:themeColor="text1"/>
        </w:rP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rPr>
          <w:rFonts w:eastAsia="Liberation Serif" w:cs="Liberation Serif"/>
          <w:color w:val="000000" w:themeColor="text1"/>
        </w:rP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Также, в соответствии с частью 9 статьи 1</w:t>
      </w:r>
      <w:r>
        <w:rPr>
          <w:rFonts w:eastAsia="Liberation Serif" w:cs="Liberation Serif"/>
          <w:color w:val="000000" w:themeColor="text1"/>
        </w:rPr>
        <w:t xml:space="preserve">3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энергетических ресурсов, снабжение которыми или передачу которых они осуществляют.</w:t>
      </w:r>
      <w:r/>
    </w:p>
    <w:p>
      <w:pPr>
        <w:pStyle w:val="1075"/>
      </w:pPr>
      <w:r/>
      <w:bookmarkStart w:id="64" w:name="_Toc142312589"/>
      <w:r>
        <w:t xml:space="preserve">Описание вариантов маршрутов прохождения трубопроводов (трасс) по </w:t>
      </w:r>
      <w:r>
        <w:t xml:space="preserve">территории населенного</w:t>
      </w:r>
      <w:r>
        <w:t xml:space="preserve"> </w:t>
      </w:r>
      <w:r>
        <w:t xml:space="preserve">пункта и</w:t>
      </w:r>
      <w:r>
        <w:t xml:space="preserve"> их обоснование.</w:t>
      </w:r>
      <w:bookmarkEnd w:id="64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65" w:name="_Hlk112407520"/>
      <w:r>
        <w:rPr>
          <w:rFonts w:eastAsia="Liberation Serif" w:cs="Liberation Serif"/>
          <w:color w:val="000000" w:themeColor="text1"/>
        </w:rPr>
        <w:t xml:space="preserve">Вариант маршрутов прохождения трубопроводов (трасс) по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представлен на рисунке 1.4.1</w:t>
      </w:r>
      <w:r>
        <w:rPr>
          <w:rStyle w:val="1267"/>
          <w:rFonts w:eastAsia="Liberation Serif" w:cs="Liberation Serif"/>
          <w:color w:val="000000" w:themeColor="text1"/>
          <w:u w:val="none"/>
        </w:rPr>
        <w:t xml:space="preserve">.</w:t>
      </w:r>
      <w:bookmarkEnd w:id="65"/>
      <w:r/>
      <w:r/>
    </w:p>
    <w:p>
      <w:pPr>
        <w:pStyle w:val="1245"/>
        <w:rPr>
          <w:rStyle w:val="1267"/>
          <w:rFonts w:eastAsia="Liberation Serif" w:cs="Liberation Serif"/>
          <w:color w:val="000000"/>
          <w:u w:val="none"/>
        </w:rPr>
      </w:pPr>
      <w:r>
        <w:rPr>
          <w:rFonts w:eastAsia="Liberation Serif" w:cs="Liberation Serif"/>
          <w:color w:val="000000"/>
          <w:u w:val="none"/>
        </w:rPr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792855"/>
                <wp:effectExtent l="0" t="0" r="0" b="0"/>
                <wp:docPr id="12" name="Рисунок 1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727143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20129" cy="3792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1.9pt;height:298.6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1245"/>
        <w:ind w:firstLine="0"/>
        <w:jc w:val="center"/>
        <w:rPr>
          <w:rFonts w:eastAsia="Liberation Serif" w:cs="Liberation Serif"/>
          <w:b/>
          <w:bCs/>
          <w:color w:val="000000"/>
        </w:rPr>
      </w:pPr>
      <w:r/>
      <w:bookmarkStart w:id="66" w:name="_Hlk117421601"/>
      <w:r>
        <w:rPr>
          <w:rFonts w:eastAsia="Liberation Serif" w:cs="Liberation Serif"/>
          <w:b/>
          <w:bCs/>
          <w:color w:val="000000" w:themeColor="text1"/>
        </w:rPr>
        <w:t xml:space="preserve">Рисунок 1.4.1 – Вариант маршрутов прохождения трубопроводов (трасс) по территории с. Красноселькуп</w:t>
      </w:r>
      <w:bookmarkEnd w:id="6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Трассы прокладки перспективных водопроводных следует выбирать с учётом обеспечения кратчайшего расстояния до точек подключения перспективных абонентов, рельефа местности, искусственных и естественных преград. 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Трассы прокладки перспективных водопроводных сетей и места расположения площадок иных объектов централизованных систем водоснабжения подлежат уточнению и корректировке на стадии проектирования объектов.</w:t>
      </w:r>
      <w:r/>
    </w:p>
    <w:p>
      <w:pPr>
        <w:pStyle w:val="1075"/>
      </w:pPr>
      <w:r/>
      <w:bookmarkStart w:id="67" w:name="_Toc142312590"/>
      <w:r>
        <w:t xml:space="preserve">Рекомендации о месте размещения насосных станций, резервуаров, водонапорных башен.</w:t>
      </w:r>
      <w:bookmarkEnd w:id="67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68" w:name="_Hlk112407544"/>
      <w:r/>
      <w:bookmarkStart w:id="69" w:name="_Hlk117421857"/>
      <w:r>
        <w:rPr>
          <w:rFonts w:eastAsia="Liberation Serif" w:cs="Liberation Serif"/>
          <w:color w:val="000000" w:themeColor="text1"/>
        </w:rPr>
        <w:t xml:space="preserve">Места размещения насосных станций, резервуаров, водонапорных башен по территории с. Красноселькуп представлены на рисунке 1.4.1.</w:t>
      </w:r>
      <w:bookmarkEnd w:id="68"/>
      <w:r>
        <w:rPr>
          <w:rFonts w:eastAsia="Liberation Serif" w:cs="Liberation Serif"/>
          <w:color w:val="000000" w:themeColor="text1"/>
        </w:rPr>
        <w:t xml:space="preserve"> Окончательное место размещения площадных объектов водоснабжения определяется на стадии проектирования.</w:t>
      </w:r>
      <w:bookmarkEnd w:id="69"/>
      <w:r>
        <w:rPr>
          <w:rFonts w:eastAsia="Liberation Serif" w:cs="Liberation Serif"/>
          <w:color w:val="000000" w:themeColor="text1"/>
        </w:rPr>
        <w:t xml:space="preserve"> </w:t>
      </w:r>
      <w:r/>
    </w:p>
    <w:p>
      <w:pPr>
        <w:pStyle w:val="1075"/>
      </w:pPr>
      <w:r/>
      <w:bookmarkStart w:id="70" w:name="_Toc142312591"/>
      <w:r>
        <w:t xml:space="preserve">Границы планируемых зон размещения объектов централизованных систем горячего водоснабжения, холодного водоснабжения.</w:t>
      </w:r>
      <w:bookmarkEnd w:id="70"/>
      <w:r/>
      <w:r/>
    </w:p>
    <w:p>
      <w:pPr>
        <w:pStyle w:val="1245"/>
        <w:tabs>
          <w:tab w:val="left" w:pos="1701" w:leader="none"/>
        </w:tabs>
        <w:rPr>
          <w:rFonts w:eastAsia="Liberation Serif" w:cs="Liberation Serif"/>
          <w:color w:val="000000"/>
        </w:rPr>
      </w:pPr>
      <w:r/>
      <w:bookmarkStart w:id="71" w:name="_Hlk112407558"/>
      <w:r>
        <w:rPr>
          <w:rFonts w:eastAsia="Liberation Serif" w:cs="Liberation Serif"/>
          <w:color w:val="000000" w:themeColor="text1"/>
        </w:rPr>
        <w:t xml:space="preserve">Границы планируемых зон размещения объектов централизованных систем горячего водоснабжения, холодного водоснабжения по территории с. Красноселькуп представлены на рисунке 1.4.1.</w:t>
      </w:r>
      <w:bookmarkEnd w:id="71"/>
      <w:r/>
      <w:r/>
    </w:p>
    <w:p>
      <w:pPr>
        <w:pStyle w:val="1075"/>
      </w:pPr>
      <w:r/>
      <w:bookmarkStart w:id="72" w:name="_Toc142312592"/>
      <w: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водоснабжения.</w:t>
      </w:r>
      <w:bookmarkEnd w:id="72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73" w:name="_Toc105497699"/>
      <w:r/>
      <w:bookmarkStart w:id="74" w:name="_Hlk112407572"/>
      <w:r>
        <w:rPr>
          <w:rFonts w:eastAsia="Liberation Serif" w:cs="Liberation Serif"/>
          <w:color w:val="000000" w:themeColor="text1"/>
        </w:rP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73"/>
      <w:r>
        <w:rPr>
          <w:rFonts w:eastAsia="Liberation Serif" w:cs="Liberation Serif"/>
          <w:color w:val="000000" w:themeColor="text1"/>
        </w:rPr>
        <w:t xml:space="preserve"> по территории с. Красноселькуп представлены на рисунке 1.4.1.</w:t>
      </w:r>
      <w:bookmarkEnd w:id="74"/>
      <w:r/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p>
      <w:pPr>
        <w:pStyle w:val="1074"/>
        <w:rPr>
          <w:color w:val="000000"/>
        </w:rPr>
      </w:pPr>
      <w:r/>
      <w:bookmarkStart w:id="75" w:name="_Toc142312593"/>
      <w:r>
        <w:t xml:space="preserve"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75"/>
      <w:r/>
      <w:r/>
    </w:p>
    <w:p>
      <w:pPr>
        <w:pStyle w:val="1245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76" w:name="_Toc142312594"/>
      <w: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</w:r>
      <w:bookmarkEnd w:id="76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77" w:name="_Hlk106118111"/>
      <w:r>
        <w:rPr>
          <w:rFonts w:eastAsia="Liberation Serif" w:cs="Liberation Serif"/>
          <w:color w:val="000000" w:themeColor="text1"/>
        </w:rPr>
        <w:t xml:space="preserve">При реализации основного сценария развития централизованных систем водоснабжения, действующих на территории с. Красноселькуп, не предусматривается мероприятий, в результате реализации которых оказывалось бы вредное воздействие на водные бассейны.</w:t>
      </w:r>
      <w:bookmarkEnd w:id="77"/>
      <w:r/>
      <w:r/>
    </w:p>
    <w:p>
      <w:pPr>
        <w:pStyle w:val="1075"/>
      </w:pPr>
      <w:r/>
      <w:bookmarkStart w:id="78" w:name="_Toc142312595"/>
      <w:r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</w:r>
      <w:bookmarkEnd w:id="78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79" w:name="_Hlk106118277"/>
      <w:r>
        <w:rPr>
          <w:rFonts w:eastAsia="Liberation Serif" w:cs="Liberation Serif"/>
          <w:color w:val="000000" w:themeColor="text1"/>
        </w:rPr>
        <w:t xml:space="preserve">При реализации предлагаемого варианта развития ЦС ХВС на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не предусматривается мероприятий, в которых необходимым было бы применение химических реагентов (хлора и т.п.).</w:t>
      </w:r>
      <w:bookmarkEnd w:id="79"/>
      <w:r/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p>
      <w:pPr>
        <w:pStyle w:val="1074"/>
        <w:rPr>
          <w:color w:val="000000"/>
        </w:rPr>
      </w:pPr>
      <w:r/>
      <w:bookmarkStart w:id="80" w:name="_Toc142312596"/>
      <w:r>
        <w:t xml:space="preserve"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0"/>
      <w:r/>
      <w:r/>
    </w:p>
    <w:p>
      <w:pPr>
        <w:pStyle w:val="1245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81" w:name="_Toc142312597"/>
      <w:r>
        <w:t xml:space="preserve">Оценка стоимости основных мероприятий по реализации схем водоснабжения.</w:t>
      </w:r>
      <w:bookmarkEnd w:id="8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водоснабжения произведена в соответствии со следующими нормативными правовыми актами:</w:t>
      </w:r>
      <w:r/>
    </w:p>
    <w:p>
      <w:pPr>
        <w:pStyle w:val="1245"/>
        <w:numPr>
          <w:ilvl w:val="0"/>
          <w:numId w:val="3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</w:t>
      </w:r>
      <w:r>
        <w:rPr>
          <w:rStyle w:val="1246"/>
        </w:rPr>
        <w:t xml:space="preserve">14-2023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водопроводных сетей в соответствии с НЦС 81-02-14-</w:t>
      </w:r>
      <w:r>
        <w:rPr>
          <w:rStyle w:val="1246"/>
        </w:rPr>
        <w:t xml:space="preserve">2023 п</w:t>
      </w:r>
      <w:r>
        <w:rPr>
          <w:szCs w:val="28"/>
        </w:rPr>
        <w:t xml:space="preserve">риняты следующие положения:</w:t>
      </w:r>
      <w:r>
        <w:rPr>
          <w:rFonts w:asciiTheme="minorHAnsi" w:hAnsiTheme="minorHAnsi"/>
          <w:szCs w:val="28"/>
        </w:rPr>
        <w:t xml:space="preserve"> 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водопроводных сетей из полиэтиленовых труб;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</w:t>
      </w:r>
      <w:r>
        <w:rPr>
          <w:rFonts w:asciiTheme="minorHAnsi" w:hAnsiTheme="minorHAnsi"/>
        </w:rPr>
        <w:t xml:space="preserve">без</w:t>
      </w:r>
      <w:r>
        <w:t xml:space="preserve"> креплени</w:t>
      </w:r>
      <w:r>
        <w:rPr>
          <w:rFonts w:asciiTheme="minorHAnsi" w:hAnsiTheme="minorHAnsi"/>
        </w:rPr>
        <w:t xml:space="preserve">й</w:t>
      </w:r>
      <w:r>
        <w:t xml:space="preserve"> (группа гру</w:t>
      </w:r>
      <w:r>
        <w:rPr>
          <w:szCs w:val="28"/>
        </w:rPr>
        <w:t xml:space="preserve">нтов 1-3, глубина – 3м);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Kпер=1,5</w:t>
      </w:r>
      <w:r>
        <w:t xml:space="preserve">5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</w:t>
      </w:r>
      <w:r>
        <w:t xml:space="preserve">98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водоснабжения в соответствии с НЦС 81-02-19-20</w:t>
      </w:r>
      <w:r>
        <w:t xml:space="preserve">23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t xml:space="preserve">,46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szCs w:val="28"/>
        </w:rPr>
      </w:pPr>
      <w:r>
        <w:rPr>
          <w:szCs w:val="28"/>
        </w:rPr>
        <w:t xml:space="preserve">Для приведения стоимостей мероприятий от цен 20</w:t>
      </w:r>
      <w:r>
        <w:t xml:space="preserve">23</w:t>
      </w:r>
      <w:r>
        <w:rPr>
          <w:szCs w:val="28"/>
        </w:rPr>
        <w:t xml:space="preserve">г. к ценам лет их реализации применены определённые в соответствии Прогнозом социально-экономического развития Российской Федерации на п</w:t>
      </w:r>
      <w:r>
        <w:rPr>
          <w:szCs w:val="28"/>
        </w:rPr>
        <w:t xml:space="preserve">ериод до 2036 года 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1.6.1.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color w:val="000000"/>
        </w:rPr>
      </w:pPr>
      <w:r>
        <w:t xml:space="preserve"> </w:t>
      </w:r>
      <w:r>
        <w:rPr>
          <w:b/>
          <w:bCs/>
          <w:szCs w:val="28"/>
        </w:rPr>
        <w:t xml:space="preserve">Таблица 1.6.1 – Применённые для приведения стоимостей мероприятий от цен 20</w:t>
      </w:r>
      <w:r>
        <w:rPr>
          <w:b/>
          <w:bCs/>
        </w:rPr>
        <w:t xml:space="preserve">23</w:t>
      </w:r>
      <w:r>
        <w:rPr>
          <w:b/>
          <w:bCs/>
          <w:szCs w:val="28"/>
        </w:rPr>
        <w:t xml:space="preserve">г. к ценам лет их реализации индексы-дефляторы</w:t>
      </w:r>
      <w:r/>
    </w:p>
    <w:p>
      <w:pPr>
        <w:pStyle w:val="1340"/>
        <w:rPr>
          <w:rFonts w:asciiTheme="minorHAnsi" w:hAnsiTheme="minorHAnsi"/>
        </w:rPr>
      </w:pPr>
      <w:r>
        <w:t xml:space="preserve">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25"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25"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82" w:name="_Toc142312598"/>
      <w: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финансирования.</w:t>
      </w:r>
      <w:bookmarkEnd w:id="82"/>
      <w:r/>
      <w:r/>
    </w:p>
    <w:p>
      <w:pPr>
        <w:pStyle w:val="1245"/>
        <w:rPr>
          <w:rFonts w:eastAsia="Liberation Serif" w:cs="Liberation Serif"/>
          <w:color w:val="000000"/>
        </w:rPr>
        <w:sectPr>
          <w:footerReference w:type="default" r:id="rId15"/>
          <w:footnotePr/>
          <w:endnotePr/>
          <w:type w:val="nextPage"/>
          <w:pgSz w:w="11906" w:h="16838" w:orient="portrait"/>
          <w:pgMar w:top="1134" w:right="567" w:bottom="1134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 w:themeColor="text1"/>
        </w:rP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 по с. Красноселькуп, приведена в таблице 1.6.2.</w:t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1.6.2 –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 по с. Красноселькуп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1466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3"/>
        <w:gridCol w:w="3145"/>
        <w:gridCol w:w="709"/>
        <w:gridCol w:w="625"/>
        <w:gridCol w:w="650"/>
        <w:gridCol w:w="709"/>
        <w:gridCol w:w="709"/>
        <w:gridCol w:w="709"/>
        <w:gridCol w:w="708"/>
        <w:gridCol w:w="567"/>
        <w:gridCol w:w="567"/>
        <w:gridCol w:w="493"/>
        <w:gridCol w:w="639"/>
        <w:gridCol w:w="639"/>
        <w:gridCol w:w="639"/>
        <w:gridCol w:w="639"/>
        <w:gridCol w:w="639"/>
        <w:gridCol w:w="565"/>
        <w:gridCol w:w="777"/>
      </w:tblGrid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314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09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53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314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2023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2024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2025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2026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2027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2028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2029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2030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2031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2032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2033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2034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2035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2036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2037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2038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Итого</w:t>
            </w:r>
            <w:r/>
          </w:p>
        </w:tc>
      </w:tr>
      <w:tr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7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8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9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10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17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18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У</w:t>
            </w: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становка резервуаров хранения запасов воды в с. Красноселькуп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Вып</w:t>
            </w: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олнение инженерных изысканий, разработка проекта реконструкции системы водоснабжения, согласование и утверждение зон санитарной охраны нового водозабора и сооружений водопровода в соответствии с проектом реконструкции системы водоснабжения с. Красноселькуп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563,8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588,6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1 152,4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Строительств</w:t>
            </w: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о нового подземного водозабора и сопутствующей инженерной инфраструктуры в том числе: подъездных путей, объектов электросетевого хозяйства, сетей теплоснабжения и водоснабжения, в соответствии с проектом реконструкции системы водоснабжения с. Красноселькуп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8 215,0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8 576,4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16 791,4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Реконструкция системы водоснабжения и водоподготовки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19 369,6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20 221,9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21 091,4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60 682,9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Поэтапная консервация существующих водозаборных скважин в соответствии с проектом развития системы водоснабжения с. Красноселькуп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11 936,4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12 437,8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24 374,2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Строительство объекта «Тепловая и водопроводная сеть от УТ 4–3–2а до УТ 4–3–30»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96,8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1 000,0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1 096,8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Строительство объекта «Тепловая и водопроводная сеть от УТ 4–3–30 до УТ 4–3–30–3»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100,0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1 809,4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1 909,4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котельной № 4 по ул. Брусничная», (трубопроводы водоснабжения на участке от УТ 4–3 до УТ 4–3–2а)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  <w:highlight w:val="white"/>
              </w:rPr>
              <w:t xml:space="preserve">70 761,4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70 761,4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ул. Ленина, д. 3 до переулка Северный, д. ЗА», (трубопроводы водоснабжения на участке от УТ 5–20 до УТ 2–2–52)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150,0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3 284,6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3 434,6</w:t>
            </w:r>
            <w:r>
              <w:rPr>
                <w:highlight w:val="white"/>
              </w:rPr>
            </w:r>
            <w:r/>
          </w:p>
        </w:tc>
      </w:tr>
      <w:tr>
        <w:trPr>
          <w:trHeight w:val="394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10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Реконструкция объекта «Тепловая и водопроводная сеть, расположенная по адресу: с. Красноселькуп, от ул. Нагорная, д. 32 – ул. Энтузиастов (ДЮЦ)» (трубопроводы водоснабжения на участке от УТ 2–2 21 до УТ 2–2–25)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969,2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969,2</w:t>
            </w:r>
            <w:r>
              <w:rPr>
                <w:highlight w:val="white"/>
              </w:rPr>
            </w:r>
            <w:r/>
          </w:p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highlight w:val="white"/>
              </w:rPr>
            </w:r>
            <w:r/>
          </w:p>
        </w:tc>
      </w:tr>
      <w:tr>
        <w:trPr>
          <w:trHeight w:val="109"/>
        </w:trPr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11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4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rFonts w:ascii="Liberation Serif" w:hAnsi="Liberation Serif" w:eastAsia="Liberation Serif" w:cs="Liberation Serif"/>
                <w:b w:val="0"/>
                <w:sz w:val="16"/>
                <w:szCs w:val="24"/>
                <w:highlight w:val="white"/>
                <w:u w:val="none"/>
              </w:rPr>
              <w:t xml:space="preserve">Реконструкция объекта «Тепловая и в</w:t>
            </w:r>
            <w:r>
              <w:rPr>
                <w:rFonts w:ascii="Liberation Serif" w:hAnsi="Liberation Serif" w:eastAsia="Liberation Serif" w:cs="Liberation Serif"/>
                <w:b w:val="0"/>
                <w:sz w:val="16"/>
                <w:szCs w:val="24"/>
                <w:highlight w:val="white"/>
                <w:u w:val="none"/>
              </w:rPr>
              <w:t xml:space="preserve">одопроводная сеть, расположенный по адресу: по адресу: по адресу с. Красноселькуп, от котельной № 2 до ул. Полярная» (сети водоснабжения на участке УТ 2-1-2 до УТ 2-1-6)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2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sz w:val="16"/>
                <w:highlight w:val="white"/>
              </w:rPr>
              <w:t xml:space="preserve">1 403,00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sz w:val="16"/>
                <w:highlight w:val="white"/>
              </w:rPr>
              <w:t xml:space="preserve">3 003,1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shd w:val="solid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rFonts w:eastAsiaTheme="minorHAnsi"/>
                <w:color w:val="000000"/>
                <w:sz w:val="16"/>
                <w:szCs w:val="16"/>
                <w:highlight w:val="white"/>
                <w:lang w:eastAsia="en-US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highlight w:val="white"/>
                <w:lang w:eastAsia="en-US"/>
              </w:rPr>
            </w:r>
            <w:r>
              <w:rPr>
                <w:rFonts w:ascii="Liberation Serif" w:hAnsi="Liberation Serif" w:eastAsia="Liberation Serif" w:cs="Liberation Serif"/>
                <w:b w:val="0"/>
                <w:sz w:val="16"/>
                <w:szCs w:val="24"/>
                <w:highlight w:val="white"/>
                <w:u w:val="none"/>
              </w:rPr>
              <w:t xml:space="preserve">4 406,</w:t>
            </w:r>
            <w:r>
              <w:rPr>
                <w:rFonts w:ascii="Liberation Serif" w:hAnsi="Liberation Serif" w:eastAsia="Liberation Serif" w:cs="Liberation Serif"/>
                <w:b w:val="0"/>
                <w:sz w:val="16"/>
                <w:szCs w:val="24"/>
                <w:highlight w:val="white"/>
                <w:u w:val="none"/>
              </w:rPr>
              <w:t xml:space="preserve">1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12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470 п.м., с. Красноселькуп,</w:t>
            </w:r>
            <w:r>
              <w:rPr>
                <w:rFonts w:ascii="Arial" w:hAnsi="Arial" w:cs="Arial" w:eastAsia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ул. Строителей, д.9 - ул. 70 лет Октября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16"/>
                <w:szCs w:val="16"/>
                <w:lang w:eastAsia="en-US"/>
              </w:rPr>
              <w:t xml:space="preserve">2 514,9</w:t>
            </w:r>
            <w:r>
              <w:rPr>
                <w:rFonts w:ascii="Liberation Serif" w:hAnsi="Liberation Serif" w:eastAsia="Liberation Serif" w:cs="Liberation Serif"/>
                <w:sz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2 514,9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13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170 п.м., с. Красноселькуп, д./д. «Родничок» – ул. 70 лет Октября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2 601,1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2 601,1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14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75 п.м., с. Красноселькуп, от ДЮЦ до ул. 40 лет Победы, д. 34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1 198,0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1 198,0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15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390 п.м., с. Красноселькуп ул. Полярная д. 22 – д. 38 (до котельной № 4)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6 229,8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6 229,8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16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190 п.м., с. Красноселькуп, от 70 лет Октября, д. 5а до 70 лет Октября, д. 9а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3 165,5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3 165,5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17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165 п.м., с. Красноселькуп, ул. Набережная, д. 7 – 40 лет Победы, д. 17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2 749,0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2 749,0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18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40 лет Победы, д. 30 – РКЦ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2 604,1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2 604,1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19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22 – ул. Строителей, д. 18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4 340,1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4 340,1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20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375 п.м., с. Красноселькуп, ул. Ленина, д. 3 до переулка Северный, д. 3а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6 777,1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6 777,1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515 п.м., с. Красноселькуп, от котельной № 4 по ул. Строителей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9 307,2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9 307,2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147 п.м., с. Красноселькуп, от ТП ул. Нагорная до ул. Нагорная, д. 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2 762,9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2 762,9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23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240 п.м., с. Красноселькуп, от ул. Строителей, д. 2 до ул. Строителей, д. 14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4 510,8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4 510,8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24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278 п.м., с. Красноселькуп, ул. Молодежная, д.2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5 434,0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5 434,0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374 п.м., с. Красноселькуп, ул. Молодежная, д. 3 – д. 26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7 310,5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7 310,5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203 п.м., с. Красноселькуп, ул. Хвойная, д. 3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4 126,7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4 126,7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27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196 п.м., с. Красноселькуп, ул. Березовая, д.1 – д.15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3 984,4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3 984,4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28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214 п.м., с. Красноселькуп, ул. Березовая, д. 5 – д. 21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4 524,4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4 524,4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29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1 – д. 7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3 171,3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3 171,3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30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250 п.м., с. Красноселькуп, ул. Лесная, д. 8 – д. 22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18 258,5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18 258,5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91 п.м., с. Красноселькуп, ул. Восточная, д. 8а – д. 12а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6 566,6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6 566,6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32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150 п.м., с. Красноселькуп, ул. Восточная, д. 8 – д. 18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3 430,1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3 430,1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228 </w:t>
            </w: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п.м., с. Красноселькуп, ул. Геологоразведчиков, д. 13 – ул. Геологоразведчиков, д. 8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5 213,7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5 213,7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34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Строителей, д. 21 – ул. Комсомольская, д. 2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7 134,5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7 134,5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35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148 п.м., с. Красноселькуп, ул. 40 лет Победы, д. 17 – ул. Набережная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3 519,7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3 519,7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36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135 п.м., с. Красноселькуп, ул. Дзержинского, д. 7 – аптека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3 210,5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3 210,5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37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160 п.м., с. Красноселькуп, от пер. Таежный до столярного цеха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3 957,3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3 957,3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38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300 п.м., с. Красноселькуп, ул. Сайготина, д. 1 – ул. Сайготина, д. 15  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7 419,9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7 419,9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39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350 п.м., с. Красноселькуп, ул. Ленина 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1 743,8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1 743,8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40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470 п.м., с. Красноселькуп, ул. Строителей, д.9 - ул. 70 лет Октября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42 775,0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42 775,0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41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260 п.м., с. Красноселькуп, ул. Полярная, д.16 до ДЮЦ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30 992,2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30 992,2</w:t>
            </w:r>
            <w:r/>
          </w:p>
        </w:tc>
      </w:tr>
      <w:tr>
        <w:trPr>
          <w:trHeight w:val="20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42</w:t>
            </w: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186 п.м., с. Красноселькуп,  пер. Таежный до ул. 40 лет Победы, д. 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12 415,9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12 415,9</w:t>
            </w:r>
            <w:r/>
          </w:p>
        </w:tc>
      </w:tr>
      <w:tr>
        <w:trPr>
          <w:trHeight w:val="558"/>
        </w:trPr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Капитальный ремонт тепловой и водопроводной сети протяженность 430 п.м., с. Красноселькуп,  ул Нагорная 15 до ул. 40 лет Победы 10Б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12 741,0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none" w:color="000000" w:sz="4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12 741,0</w:t>
            </w:r>
            <w:r/>
          </w:p>
        </w:tc>
      </w:tr>
      <w:tr>
        <w:trPr>
          <w:trHeight w:val="184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ИТОГО (без учета НДС)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118 764,3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8 927,6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68 771,1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55 546,7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49 197,2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43 586,1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25 182,3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8 111,1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7 695,7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8 643,8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13 864,7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13 978,3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4</w:t>
            </w: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22 268,9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НДС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23 752,9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1 785,5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13 754,</w:t>
            </w: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2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11 109,3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9 839,4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8 717,2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5 036,5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1 622,2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1 539,1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1 728,8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2 772,9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2 795,7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84 </w:t>
            </w: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453,8</w:t>
            </w:r>
            <w:r>
              <w:rPr>
                <w:highlight w:val="white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1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ИТОГО (с учетом НДС)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142 517,2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10 713,1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82 525,3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66 656,0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59 036,6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52 303,3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30 218,8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9 733,3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9 234,8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10 372,6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16 637,6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  <w:highlight w:val="white"/>
              </w:rPr>
              <w:t xml:space="preserve">16 774,0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0,0</w:t>
            </w:r>
            <w:r>
              <w:rPr>
                <w:highlight w:val="white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50</w:t>
            </w: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highlight w:val="white"/>
              </w:rPr>
              <w:t xml:space="preserve">6 722,7</w:t>
            </w:r>
            <w:r>
              <w:rPr>
                <w:highlight w:val="white"/>
              </w:rPr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  <w:sectPr>
          <w:footnotePr/>
          <w:endnotePr/>
          <w:type w:val="nextPage"/>
          <w:pgSz w:w="16838" w:h="11906" w:orient="landscape"/>
          <w:pgMar w:top="1134" w:right="678" w:bottom="1276" w:left="1559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szCs w:val="28"/>
          <w:highlight w:val="none"/>
        </w:rPr>
      </w:pPr>
      <w:r/>
      <w:bookmarkStart w:id="83" w:name="_Плановые_значения_показателей_1"/>
      <w:r/>
      <w:bookmarkEnd w:id="83"/>
      <w:r>
        <w:rPr>
          <w:szCs w:val="28"/>
        </w:rPr>
        <w:t xml:space="preserve">Приведенные в таблице выше мероприяти</w:t>
      </w:r>
      <w:r>
        <w:rPr>
          <w:rFonts w:asciiTheme="minorHAnsi" w:hAnsiTheme="minorHAnsi"/>
          <w:szCs w:val="28"/>
        </w:rPr>
        <w:t xml:space="preserve">я</w:t>
      </w:r>
      <w:r>
        <w:rPr>
          <w:szCs w:val="28"/>
        </w:rPr>
        <w:t xml:space="preserve"> по п. 1, 6, 7, 8, </w:t>
      </w:r>
      <w:r>
        <w:rPr>
          <w:szCs w:val="28"/>
        </w:rPr>
        <w:t xml:space="preserve">9</w:t>
      </w:r>
      <w:r>
        <w:rPr>
          <w:szCs w:val="28"/>
        </w:rPr>
        <w:t xml:space="preserve">, 10, 11 предусматривается выполнять в рамках</w:t>
      </w:r>
      <w:r>
        <w:rPr>
          <w:rFonts w:asciiTheme="minorHAnsi" w:hAnsiTheme="minorHAnsi"/>
          <w:szCs w:val="28"/>
        </w:rPr>
        <w:t xml:space="preserve"> </w:t>
      </w:r>
      <w:r>
        <w:rPr>
          <w:rStyle w:val="1246"/>
        </w:rPr>
        <w:t xml:space="preserve">инвестиционной программы ООО</w:t>
      </w:r>
      <w:r>
        <w:rPr>
          <w:szCs w:val="28"/>
        </w:rPr>
        <w:t xml:space="preserve"> «ТВЭС».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t xml:space="preserve">Приведенное в таблице выше мероприяти</w:t>
      </w:r>
      <w:r>
        <w:rPr>
          <w:rFonts w:asciiTheme="minorHAnsi" w:hAnsiTheme="minorHAnsi"/>
        </w:rPr>
        <w:t xml:space="preserve">е</w:t>
      </w:r>
      <w:r>
        <w:t xml:space="preserve"> по п. 12 предусматривается выполнять в рамках муниципальной программы «Энергоэффективность и развитие энергетики. Обеспечение населения качественными жилищно-коммунальными услугами».</w:t>
      </w: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84" w:name="_Hlk106118509"/>
      <w:r>
        <w:rPr>
          <w:rFonts w:eastAsia="Liberation Serif" w:cs="Liberation Serif"/>
          <w:color w:val="000000" w:themeColor="text1"/>
        </w:rPr>
        <w:t xml:space="preserve">Для прочих мероприятий в качестве источников финансирования могут рассматриваться:</w:t>
      </w:r>
      <w:r/>
    </w:p>
    <w:p>
      <w:pPr>
        <w:pStyle w:val="1245"/>
        <w:numPr>
          <w:ilvl w:val="0"/>
          <w:numId w:val="3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бюджетные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245"/>
        <w:numPr>
          <w:ilvl w:val="0"/>
          <w:numId w:val="3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</w:t>
      </w:r>
      <w:bookmarkEnd w:id="84"/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34"/>
        <w:numPr>
          <w:ilvl w:val="0"/>
          <w:numId w:val="37"/>
        </w:numPr>
        <w:ind w:left="0" w:firstLine="709"/>
        <w:jc w:val="both"/>
        <w:tabs>
          <w:tab w:val="left" w:pos="992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lang w:eastAsia="en-US"/>
        </w:rPr>
        <w:t xml:space="preserve">средства абонентов, вносимые в качестве платы за подключение перспективных объектов капитального строительства к централизованным системам водоснабжения.</w:t>
      </w:r>
      <w:bookmarkStart w:id="85" w:name="_Плановые_значения_показателей_3"/>
      <w:r/>
      <w:bookmarkEnd w:id="85"/>
      <w:r/>
      <w:r/>
    </w:p>
    <w:p>
      <w:pPr>
        <w:pStyle w:val="1234"/>
        <w:ind w:left="709"/>
        <w:jc w:val="both"/>
        <w:tabs>
          <w:tab w:val="left" w:pos="992" w:leader="none"/>
        </w:tabs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/>
          <w:sz w:val="28"/>
        </w:rPr>
      </w:r>
      <w:r/>
    </w:p>
    <w:p>
      <w:pPr>
        <w:pStyle w:val="1074"/>
        <w:rPr>
          <w:color w:val="000000"/>
        </w:rPr>
      </w:pPr>
      <w:r/>
      <w:bookmarkStart w:id="86" w:name="_Toc142312599"/>
      <w:r>
        <w:t xml:space="preserve">Цены (тарифы) в сфере водоснабжения</w:t>
      </w:r>
      <w:bookmarkEnd w:id="86"/>
      <w:r/>
      <w:r/>
    </w:p>
    <w:p>
      <w:pPr>
        <w:pStyle w:val="1234"/>
        <w:ind w:left="709"/>
        <w:jc w:val="center"/>
        <w:tabs>
          <w:tab w:val="left" w:pos="992" w:leader="none"/>
        </w:tabs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p>
      <w:pPr>
        <w:pStyle w:val="1075"/>
      </w:pPr>
      <w:r/>
      <w:bookmarkStart w:id="87" w:name="_Toc142312600"/>
      <w:r>
        <w:t xml:space="preserve">Динамика утвержд</w:t>
      </w:r>
      <w:r>
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лет.</w:t>
      </w:r>
      <w:bookmarkEnd w:id="8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Тарифы в сфере питьевого водоснабжения для ООО ЭК «ТВЭС» установлены в соответствии с Приказом департамента тарифной политики, энергетики и жилищно-коммунального комплекса ямало-ненецкого автономного округа от </w:t>
      </w:r>
      <w:r>
        <w:rPr>
          <w:rFonts w:eastAsia="Liberation Serif" w:cs="Liberation Serif"/>
          <w:color w:val="000000" w:themeColor="text1"/>
        </w:rPr>
        <w:t xml:space="preserve">25</w:t>
      </w:r>
      <w:r>
        <w:rPr>
          <w:rFonts w:eastAsia="Liberation Serif" w:cs="Liberation Serif"/>
          <w:color w:val="000000" w:themeColor="text1"/>
        </w:rPr>
        <w:t xml:space="preserve">.1</w:t>
      </w:r>
      <w:r>
        <w:rPr>
          <w:rFonts w:eastAsia="Liberation Serif" w:cs="Liberation Serif"/>
          <w:color w:val="000000" w:themeColor="text1"/>
        </w:rPr>
        <w:t xml:space="preserve">1</w:t>
      </w:r>
      <w:r>
        <w:rPr>
          <w:rFonts w:eastAsia="Liberation Serif" w:cs="Liberation Serif"/>
          <w:color w:val="000000" w:themeColor="text1"/>
        </w:rPr>
        <w:t xml:space="preserve">.20</w:t>
      </w:r>
      <w:r>
        <w:rPr>
          <w:rFonts w:eastAsia="Liberation Serif" w:cs="Liberation Serif"/>
          <w:color w:val="000000" w:themeColor="text1"/>
        </w:rPr>
        <w:t xml:space="preserve">22</w:t>
      </w:r>
      <w:r>
        <w:rPr>
          <w:rFonts w:eastAsia="Liberation Serif" w:cs="Liberation Serif"/>
          <w:color w:val="000000" w:themeColor="text1"/>
        </w:rPr>
        <w:t xml:space="preserve"> № </w:t>
      </w:r>
      <w:r>
        <w:rPr>
          <w:rFonts w:eastAsia="Liberation Serif" w:cs="Liberation Serif"/>
          <w:color w:val="000000" w:themeColor="text1"/>
        </w:rPr>
        <w:t xml:space="preserve">595</w:t>
      </w:r>
      <w:r>
        <w:rPr>
          <w:rFonts w:eastAsia="Liberation Serif" w:cs="Liberation Serif"/>
          <w:color w:val="000000" w:themeColor="text1"/>
        </w:rPr>
        <w:t xml:space="preserve">-т «Об установлении обществу с ограниченной ответственностью Энергетическая компания «Тепло-Водо-Электро-Сервис» тарифов на питьевую воду для расчетов с потребителями села Красноселькуп </w:t>
      </w:r>
      <w:r>
        <w:rPr>
          <w:rFonts w:eastAsia="Liberation Serif" w:cs="Liberation Serif"/>
          <w:color w:val="000000" w:themeColor="text1"/>
        </w:rPr>
        <w:t xml:space="preserve">муниципального образования </w:t>
      </w:r>
      <w:r>
        <w:rPr>
          <w:rFonts w:eastAsia="Liberation Serif" w:cs="Liberation Serif"/>
          <w:color w:val="000000" w:themeColor="text1"/>
        </w:rPr>
        <w:t xml:space="preserve">муниципальный округ Красноселькупский район Ямало-Ненецкого автономного округа, </w:t>
      </w:r>
      <w:r>
        <w:rPr>
          <w:rFonts w:eastAsia="Liberation Serif" w:cs="Liberation Serif"/>
          <w:color w:val="000000" w:themeColor="text1"/>
        </w:rPr>
        <w:t xml:space="preserve">и долгосрочных параметров </w:t>
      </w:r>
      <w:r>
        <w:rPr>
          <w:rFonts w:eastAsia="Liberation Serif" w:cs="Liberation Serif"/>
          <w:color w:val="000000" w:themeColor="text1"/>
        </w:rPr>
        <w:t xml:space="preserve">на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-202</w:t>
      </w:r>
      <w:r>
        <w:rPr>
          <w:rFonts w:eastAsia="Liberation Serif" w:cs="Liberation Serif"/>
          <w:color w:val="000000" w:themeColor="text1"/>
        </w:rPr>
        <w:t xml:space="preserve">9</w:t>
      </w:r>
      <w:r>
        <w:rPr>
          <w:rFonts w:eastAsia="Liberation Serif" w:cs="Liberation Serif"/>
          <w:color w:val="000000" w:themeColor="text1"/>
        </w:rPr>
        <w:t xml:space="preserve"> годы»</w:t>
      </w:r>
      <w:r/>
    </w:p>
    <w:p>
      <w:pPr>
        <w:pStyle w:val="1245"/>
        <w:rPr>
          <w:rFonts w:eastAsia="Liberation Serif" w:cs="Liberation Serif"/>
          <w:b/>
          <w:bCs/>
          <w:color w:val="000000"/>
          <w:highlight w:val="none"/>
        </w:rPr>
      </w:pPr>
      <w:r>
        <w:rPr>
          <w:rFonts w:eastAsia="Liberation Serif" w:cs="Liberation Serif"/>
          <w:color w:val="000000" w:themeColor="text1"/>
        </w:rPr>
        <w:t xml:space="preserve">Динамика утвержденных тарифов в сфере питьевого водоснабжения для ООО ЭК «ТВЭС» на территории с. Красноселькуп на 202</w:t>
      </w:r>
      <w:r>
        <w:rPr>
          <w:rFonts w:eastAsia="Liberation Serif" w:cs="Liberation Serif"/>
          <w:color w:val="000000" w:themeColor="text1"/>
        </w:rPr>
        <w:t xml:space="preserve">1</w:t>
      </w:r>
      <w:r>
        <w:rPr>
          <w:rFonts w:eastAsia="Liberation Serif" w:cs="Liberation Serif"/>
          <w:color w:val="000000" w:themeColor="text1"/>
        </w:rPr>
        <w:t xml:space="preserve">-202</w:t>
      </w:r>
      <w:r>
        <w:rPr>
          <w:rFonts w:eastAsia="Liberation Serif" w:cs="Liberation Serif"/>
          <w:color w:val="000000" w:themeColor="text1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гг. приведена в таблице 1.7.1.</w:t>
      </w:r>
      <w:r>
        <w:rPr>
          <w:rFonts w:eastAsia="Liberation Serif" w:cs="Liberation Serif"/>
          <w:b/>
          <w:bCs/>
          <w:color w:val="000000" w:themeColor="text1"/>
        </w:rPr>
      </w:r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bCs/>
          <w:color w:val="000000" w:themeColor="text1"/>
          <w:highlight w:val="none"/>
        </w:rPr>
      </w:r>
      <w:r>
        <w:rPr>
          <w:rFonts w:eastAsia="Liberation Serif" w:cs="Liberation Serif"/>
          <w:b/>
          <w:bCs/>
          <w:color w:val="000000" w:themeColor="text1"/>
          <w:highlight w:val="none"/>
        </w:rPr>
      </w:r>
      <w:r/>
    </w:p>
    <w:p>
      <w:pPr>
        <w:pStyle w:val="1245"/>
        <w:ind w:firstLine="0"/>
        <w:jc w:val="right"/>
        <w:rPr>
          <w:rFonts w:eastAsia="Liberation Serif" w:cs="Liberation Serif" w:asciiTheme="minorHAnsi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1.7.1 – Динамика утвержденных тарифов в сфере питьевого водоснабжения для ООО ЭК «ТВЭС» на территории с. Красноселькуп на 202</w:t>
      </w:r>
      <w:r>
        <w:rPr>
          <w:rFonts w:eastAsia="Liberation Serif" w:cs="Liberation Serif"/>
          <w:b/>
          <w:bCs/>
          <w:color w:val="000000" w:themeColor="text1"/>
        </w:rPr>
        <w:t xml:space="preserve">1</w:t>
      </w:r>
      <w:r>
        <w:rPr>
          <w:rFonts w:eastAsia="Liberation Serif" w:cs="Liberation Serif"/>
          <w:b/>
          <w:bCs/>
          <w:color w:val="000000" w:themeColor="text1"/>
        </w:rPr>
        <w:t xml:space="preserve">-202</w:t>
      </w:r>
      <w:r>
        <w:rPr>
          <w:rFonts w:eastAsia="Liberation Serif" w:cs="Liberation Serif"/>
          <w:b/>
          <w:bCs/>
          <w:color w:val="000000" w:themeColor="text1"/>
        </w:rPr>
        <w:t xml:space="preserve">3</w:t>
      </w:r>
      <w:r>
        <w:rPr>
          <w:rFonts w:eastAsia="Liberation Serif" w:cs="Liberation Serif"/>
          <w:b/>
          <w:bCs/>
          <w:color w:val="000000" w:themeColor="text1"/>
        </w:rPr>
        <w:t xml:space="preserve">гг.</w:t>
      </w:r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71"/>
        <w:gridCol w:w="616"/>
        <w:gridCol w:w="2577"/>
        <w:gridCol w:w="2306"/>
        <w:gridCol w:w="1895"/>
        <w:gridCol w:w="1463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Период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Тип потребителя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Учет НДС в тарифе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Тариф, руб./м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Население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51,49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53,24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53,24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55,05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Потребители, имеющие право на льготные тарифы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42,91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44,37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Иные потребители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294,2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30.11.2021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364,41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364,41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364,41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452,78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552,18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9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552,18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88" w:name="_Toc142312601"/>
      <w:r>
        <w:t xml:space="preserve">Структура цен (тарифов), установленных на момент актуализации схемы водоснабжения.</w:t>
      </w:r>
      <w:bookmarkEnd w:id="8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Структура цен (тарифов) для ООО ЭК «ТВЭС» на 2022г. приведена в таблице 1.7.2.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1.7.2 – Структура цен (тарифов) для ООО ЭК «ТВЭС» на 2022г.</w:t>
      </w:r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288"/>
        <w:gridCol w:w="5561"/>
        <w:gridCol w:w="277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Значение показателя на 2022, тыс. руб.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покупаемую электрическую энергию (мощность), используемую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17 202,78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химические реагенты, используемые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1 947,71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оплату труда и отчисления на социальные нужды основного производственного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16 489,24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оплату труда и отчисления на социальные нужды административно-управленческого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8 964,90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амортизацию основных производственных средств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10 932,29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аренду имущества, используемого для осуществления регулируемого вида деятельности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31,01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Общепроизводственные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2 068,18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Общехозяйственные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0,00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Прочие расходы, которые подлежат отнесению на регулируемые виды деятельности, в том числе: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14 729,68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20"/>
                <w:szCs w:val="20"/>
              </w:rPr>
              <w:t xml:space="preserve">Итого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72 365,81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89" w:name="_Toc142312602"/>
      <w:r>
        <w:t xml:space="preserve">Плата за подключение к системе водоснабжения и поступление денежных средств от осуществления деятельности по водоснабжению.</w:t>
      </w:r>
      <w:bookmarkEnd w:id="8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Плата за подключение к системе водоснабжения ООО ЭК «ТВЭС» установлена в соответствии с Приказом департамента тарифной политики, энергетики и жилищно-коммунального комплекса ямало-ненецкого автономного окр</w:t>
      </w:r>
      <w:r>
        <w:rPr>
          <w:rFonts w:eastAsia="Liberation Serif" w:cs="Liberation Serif"/>
          <w:color w:val="000000" w:themeColor="text1"/>
        </w:rPr>
        <w:t xml:space="preserve">уга от 17.12.2019 № 294-т «Об установлении тарифов на подключение (технологическое присоединение) к централизованной системе холодного водоснабжения общества с ограниченной ответственностью Энергетическая Компания «Тепло-Водо-Электро-Сервис», на 2020 год».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Плата за под подключение к системе водоснабжения ООО ЭК «ТВЭС» приведена в таблице 1.7.3.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1.7.3 – Плата за под подключение к системе водоснабжения ООО ЭК «ТВЭС»</w:t>
      </w:r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799"/>
        <w:gridCol w:w="2998"/>
        <w:gridCol w:w="3218"/>
        <w:gridCol w:w="2613"/>
      </w:tblGrid>
      <w:tr>
        <w:trPr>
          <w:trHeight w:val="222"/>
          <w:tblHeader/>
        </w:trPr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Наименование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Единица измерения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Значение</w:t>
            </w:r>
            <w:r/>
          </w:p>
        </w:tc>
      </w:tr>
      <w:tr>
        <w:trPr>
          <w:trHeight w:val="230"/>
          <w:tblHeader/>
        </w:trPr>
        <w:tc>
          <w:tcPr>
            <w:shd w:val="clear" w:color="fffff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fffff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fffff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7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fffff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5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Плата за подключение объектов заявителей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тыс. руб./м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/сут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0,14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Ставка тарифа за протяженность водопроводной сети при надземной прокладке диаметром от 40 мм до 70 мм (включительно)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тыс. руб./км.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5 424,126 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Ставка тарифа за протяженность водопроводной сети при надземной прокладке диаметром от 70 мм до 100 мм (включительно)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тыс. руб./км.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9 633,830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Поступление денежных средств от осуществления деятельности по питьевому водоснабжению за 202</w:t>
      </w: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г. составило </w:t>
      </w:r>
      <w:r>
        <w:rPr>
          <w:rFonts w:eastAsia="Liberation Serif" w:cs="Liberation Serif"/>
          <w:color w:val="000000" w:themeColor="text1"/>
        </w:rPr>
        <w:t xml:space="preserve">72732,91</w:t>
      </w:r>
      <w:r>
        <w:rPr>
          <w:rFonts w:eastAsia="Liberation Serif" w:cs="Liberation Serif"/>
          <w:color w:val="000000" w:themeColor="text1"/>
        </w:rPr>
        <w:t xml:space="preserve">тыс. руб.</w:t>
      </w:r>
      <w:bookmarkStart w:id="90" w:name="_Плановые_значения_показателей_4"/>
      <w:r/>
      <w:bookmarkEnd w:id="90"/>
      <w:r/>
      <w:r/>
    </w:p>
    <w:p>
      <w:pPr>
        <w:pStyle w:val="1245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p>
      <w:pPr>
        <w:pStyle w:val="1074"/>
        <w:rPr>
          <w:color w:val="000000"/>
        </w:rPr>
      </w:pPr>
      <w:r/>
      <w:bookmarkStart w:id="91" w:name="_Toc142312603"/>
      <w:r>
        <w:t xml:space="preserve">Плановые значения показателей развития централизованных систем водоснабжения</w:t>
      </w:r>
      <w:bookmarkEnd w:id="91"/>
      <w:r/>
      <w:r/>
    </w:p>
    <w:p>
      <w:pPr>
        <w:pStyle w:val="1245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/>
          <w:color w:val="000000"/>
        </w:rPr>
      </w:pPr>
      <w:r>
        <w:rPr>
          <w:rFonts w:eastAsia="Liberation Serif"/>
        </w:rPr>
        <w:t xml:space="preserve">В соответствии с пунктом 2 Перечня показателей</w:t>
      </w:r>
      <w:r>
        <w:rPr>
          <w:rFonts w:eastAsia="Liberation Serif"/>
        </w:rPr>
        <w:t xml:space="preserve">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утвержденного Приказом Минстроя РФ от 04.04.2014 № 162/пр, к показателям развития ЦС ХВС относятся: 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качества воды: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проб питьевой воды, подаваемой с источников водоснабжения, водопровод</w:t>
      </w:r>
      <w:r>
        <w:rPr>
          <w:rFonts w:eastAsia="Liberation Serif" w:cs="Liberation Serif"/>
          <w:color w:val="000000" w:themeColor="text1"/>
        </w:rPr>
        <w:t xml:space="preserve">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водоснабжения: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</w:t>
      </w:r>
      <w:r>
        <w:rPr>
          <w:rFonts w:eastAsia="Liberation Serif" w:cs="Liberation Serif"/>
          <w:color w:val="000000" w:themeColor="text1"/>
        </w:rPr>
        <w:t xml:space="preserve">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 (ед./км);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энергетической эффективности: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потерь воды в централизованных системах водоснабжения при транспортировке в общем объеме воды, поданной в водопроводную сеть (%);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 (кВт·ч/м³).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Фактические и плановые значения показателей развития ЦС ХВС с. Красноселькуп приведены в таблице 1.8.1.</w:t>
      </w:r>
      <w:r/>
    </w:p>
    <w:p>
      <w:pPr>
        <w:pStyle w:val="1245"/>
        <w:rPr>
          <w:rFonts w:eastAsia="Liberation Serif" w:cs="Liberation Serif"/>
          <w:color w:val="000000"/>
        </w:rPr>
        <w:sectPr>
          <w:headerReference w:type="default" r:id="rId11"/>
          <w:footnotePr/>
          <w:endnotePr/>
          <w:type w:val="nextPage"/>
          <w:pgSz w:w="11906" w:h="16838" w:orient="portrait"/>
          <w:pgMar w:top="1134" w:right="567" w:bottom="1134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1.8.1 – Фактические и плановые значения показателей развития ЦС ХВС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62"/>
        <w:gridCol w:w="3130"/>
        <w:gridCol w:w="785"/>
        <w:gridCol w:w="1104"/>
        <w:gridCol w:w="576"/>
        <w:gridCol w:w="576"/>
        <w:gridCol w:w="576"/>
        <w:gridCol w:w="576"/>
        <w:gridCol w:w="576"/>
        <w:gridCol w:w="576"/>
        <w:gridCol w:w="496"/>
        <w:gridCol w:w="551"/>
        <w:gridCol w:w="562"/>
        <w:gridCol w:w="562"/>
        <w:gridCol w:w="562"/>
        <w:gridCol w:w="563"/>
        <w:gridCol w:w="563"/>
        <w:gridCol w:w="563"/>
        <w:gridCol w:w="563"/>
        <w:gridCol w:w="569"/>
      </w:tblGrid>
      <w:tr>
        <w:trPr>
          <w:trHeight w:val="1245"/>
          <w:tblHeader/>
        </w:trPr>
        <w:tc>
          <w:tcPr>
            <w:shd w:val="clear" w:color="000000" w:fill="bfbfbf"/>
            <w:tcW w:w="19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10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W w:w="26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Фактические значения</w:t>
            </w:r>
            <w:r/>
          </w:p>
        </w:tc>
        <w:tc>
          <w:tcPr>
            <w:gridSpan w:val="16"/>
            <w:shd w:val="clear" w:color="000000" w:fill="bfbfbf"/>
            <w:tcW w:w="30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Плановые значения</w:t>
            </w:r>
            <w:r/>
          </w:p>
        </w:tc>
      </w:tr>
      <w:tr>
        <w:trPr>
          <w:trHeight w:val="660"/>
          <w:tblHeader/>
        </w:trPr>
        <w:tc>
          <w:tcPr>
            <w:tcW w:w="193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W w:w="1073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W w:w="269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W w:w="378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W w:w="170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W w:w="18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W w:w="195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bfbfbf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качества питьевой воды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5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1.1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воды, подаваемой с источников водоснабжения, водоп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7,02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3,00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1.2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25,71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3,8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3,6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3,4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2,8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2,6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2,4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надежности и бесперебойности водоснабжения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2.1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ед./км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энергетической эффективности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3.1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потерь воды в централизованных системах водоснабжения при 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транспортировке в общем объеме воды, поданной в водопроводную сеть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18,7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15,6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14,9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15,7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15,3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3.2</w:t>
            </w:r>
            <w:r/>
          </w:p>
        </w:tc>
        <w:tc>
          <w:tcPr>
            <w:shd w:val="clear" w:color="auto" w:fill="auto"/>
            <w:tcW w:w="10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</w:t>
            </w:r>
            <w:r/>
          </w:p>
        </w:tc>
        <w:tc>
          <w:tcPr>
            <w:shd w:val="clear" w:color="auto" w:fill="auto"/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кВт·ч/м³</w:t>
            </w:r>
            <w:r/>
          </w:p>
        </w:tc>
        <w:tc>
          <w:tcPr>
            <w:shd w:val="clear" w:color="auto" w:fill="auto"/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8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  <w:tc>
          <w:tcPr>
            <w:shd w:val="clear" w:color="auto" w:fill="auto"/>
            <w:tcW w:w="1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3,45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  <w:sectPr>
          <w:footnotePr/>
          <w:endnotePr/>
          <w:type w:val="nextPage"/>
          <w:pgSz w:w="16838" w:h="11906" w:orient="landscape"/>
          <w:pgMar w:top="1134" w:right="678" w:bottom="567" w:left="1559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92" w:name="_Toc142312604"/>
      <w:r>
        <w:t xml:space="preserve">Показатели качества воды</w:t>
      </w:r>
      <w:bookmarkEnd w:id="9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качества воды по ЦС ХВС с. Красноселькуп приведены выше в начале 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раздела 1.8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93" w:name="_Toc142312605"/>
      <w:r>
        <w:t xml:space="preserve">Показатели надежности и бесперебойности водоснабжения</w:t>
      </w:r>
      <w:bookmarkEnd w:id="9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водоснабжения по ЦС ХВС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приведены выше в начале </w:t>
      </w:r>
      <w:hyperlink w:tooltip="#_Плановые_значения_показателей_3" w:anchor="_Плановые_значения_показателей_3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раздела 1.8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94" w:name="_Toc142312606"/>
      <w:r>
        <w:t xml:space="preserve">Показатели эффективности использования ресурсов, в том числе уровень потерь воды (тепловой энергии в составе горячей воды)</w:t>
      </w:r>
      <w:bookmarkEnd w:id="9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эффективности использования ресурсов, в том числе уровень потерь воды (тепловой энергии в составе горячей воды) по ЦС ХВС с. Красноселькуп приведены выше в начале 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раздела 1.8</w:t>
        </w:r>
      </w:hyperlink>
      <w:r>
        <w:rPr>
          <w:rStyle w:val="1267"/>
          <w:rFonts w:eastAsia="Liberation Serif" w:cs="Liberation Serif"/>
          <w:color w:val="000000" w:themeColor="text1"/>
          <w:u w:val="none"/>
        </w:rPr>
        <w:t xml:space="preserve">.</w:t>
      </w:r>
      <w:r/>
    </w:p>
    <w:p>
      <w:pPr>
        <w:pStyle w:val="1075"/>
      </w:pPr>
      <w:r/>
      <w:bookmarkStart w:id="95" w:name="_Toc142312607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95"/>
      <w:r/>
      <w:r/>
    </w:p>
    <w:p>
      <w:pPr>
        <w:pStyle w:val="1245"/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Федеральным органом исполнительной власти, осуществляющим функции по выработке госуда</w:t>
      </w:r>
      <w:r>
        <w:rPr>
          <w:rFonts w:eastAsia="Liberation Serif" w:cs="Liberation Serif"/>
          <w:color w:val="000000" w:themeColor="text1"/>
        </w:rPr>
        <w:t xml:space="preserve">рственной политики и нормативно-правовому регулированию в сфере жилищно-коммунального хозяйства, иные показатели функционирования в сфере централизованного водоснабжения на момент настоящей актуализации Схемы ВСиВО Красноселькупского района не установлены.</w:t>
      </w:r>
      <w:r/>
    </w:p>
    <w:p>
      <w:pPr>
        <w:pStyle w:val="1245"/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 w:asciiTheme="minorHAnsi" w:hAnsiTheme="minorHAnsi"/>
          <w:color w:val="000000"/>
        </w:rPr>
      </w:r>
      <w:r/>
    </w:p>
    <w:p>
      <w:pPr>
        <w:pStyle w:val="1074"/>
        <w:rPr>
          <w:color w:val="000000"/>
        </w:rPr>
      </w:pPr>
      <w:r/>
      <w:bookmarkStart w:id="96" w:name="_Toc142312608"/>
      <w:r>
        <w:t xml:space="preserve"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96"/>
      <w:r/>
      <w:r/>
    </w:p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97" w:name="_Toc142312609"/>
      <w:r>
        <w:t xml:space="preserve">Перечень выявленных бесхозяйных объектов централизованных систем водоснабжения</w:t>
      </w:r>
      <w:bookmarkEnd w:id="9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Бесхозяйные объекты централизованных систем водоснабжения на территории с. Красноселькуп</w:t>
      </w:r>
      <w:r>
        <w:rPr>
          <w:rFonts w:eastAsia="Liberation Serif" w:cs="Liberation Serif"/>
          <w:color w:val="000000"/>
        </w:rPr>
        <w:t xml:space="preserve"> не выявлены.</w:t>
      </w:r>
      <w:r/>
    </w:p>
    <w:p>
      <w:pPr>
        <w:pStyle w:val="1075"/>
      </w:pPr>
      <w:r/>
      <w:bookmarkStart w:id="98" w:name="_Toc142312610"/>
      <w:r>
        <w:t xml:space="preserve">Перечень организаций, уполномоченных на эксплуатацию выявленных бесхозяйных объектов централизованных систем водоснабжения на территории с. Красноселькуп.</w:t>
      </w:r>
      <w:bookmarkEnd w:id="9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ФЗ РФ от 07.12.2011 № 416</w:t>
      </w:r>
      <w:r>
        <w:rPr>
          <w:rFonts w:eastAsia="Liberation Serif" w:cs="Liberation Serif"/>
          <w:color w:val="000000" w:themeColor="text1"/>
        </w:rPr>
        <w:noBreakHyphen/>
        <w:t xml:space="preserve">ФЗ по вопросам эксплуатации бесхозяйных объектов определено следующее:</w:t>
      </w:r>
      <w:r/>
    </w:p>
    <w:p>
      <w:pPr>
        <w:pStyle w:val="1245"/>
        <w:numPr>
          <w:ilvl w:val="0"/>
          <w:numId w:val="3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пункт 5 статьи 8 главы 3: «В случае выявления бесхозяйных объектов централизованных систем горячего водоснабжения, холодного водоснабжения и (или) водоотведения, в том</w:t>
      </w:r>
      <w:r>
        <w:rPr>
          <w:rFonts w:eastAsia="Liberation Serif" w:cs="Liberation Serif"/>
          <w:color w:val="000000" w:themeColor="text1"/>
        </w:rPr>
        <w:t xml:space="preserve"> числе водопроводных и канализационных сетей, путём эксплуатации которых обеспечиваются водоснабжение и (или) водоотведение, эксплуатация таких объектов осуществляется гарантирующей организацией либо организацией, которая осуществляет горячее водоснабжение</w:t>
      </w:r>
      <w:r>
        <w:rPr>
          <w:rFonts w:eastAsia="Liberation Serif" w:cs="Liberation Serif"/>
          <w:color w:val="000000" w:themeColor="text1"/>
        </w:rPr>
        <w:t xml:space="preserve">, холодное водоснабжение и (или) водоотведение и водопроводные и (или) 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</w:t>
      </w:r>
      <w:r>
        <w:rPr>
          <w:rFonts w:eastAsia="Liberation Serif" w:cs="Liberation Serif"/>
          <w:color w:val="000000" w:themeColor="text1"/>
        </w:rPr>
        <w:t xml:space="preserve">случае, если гарантирующая организация не определена в соответствии со статьёй 12 настоящего Федерального закона), со дня подписания с органом местного самоуправления поселен</w:t>
      </w:r>
      <w:r>
        <w:rPr>
          <w:rFonts w:eastAsia="Liberation Serif" w:cs="Liberation Serif"/>
          <w:color w:val="000000" w:themeColor="text1"/>
        </w:rPr>
        <w:t xml:space="preserve">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законодательством»;</w:t>
      </w:r>
      <w:r/>
    </w:p>
    <w:p>
      <w:pPr>
        <w:pStyle w:val="1245"/>
        <w:numPr>
          <w:ilvl w:val="0"/>
          <w:numId w:val="3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пункт 6 статьи 8 главы 3: «Расходы организации, осуществляющей горячее водоснабжение, холодное водоснабжение и (или) водоотведение, на эксплуатацию бесхозяйных объектов централизованных систем горячего водоснабжения,</w:t>
      </w:r>
      <w:r>
        <w:rPr>
          <w:rFonts w:eastAsia="Liberation Serif" w:cs="Liberation Serif"/>
          <w:color w:val="000000" w:themeColor="text1"/>
        </w:rPr>
        <w:t xml:space="preserve"> холодного водоснабжения и (или)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утверждёнными Правительством Российской Федерации»;</w:t>
      </w:r>
      <w:r/>
    </w:p>
    <w:p>
      <w:pPr>
        <w:pStyle w:val="1245"/>
        <w:numPr>
          <w:ilvl w:val="0"/>
          <w:numId w:val="3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пункт 7 статьи 8 главы 3: «В случае, если снижение качества воды происходит на бесхозяйных объектах централизованных систем горячего водоснабжения, холодного водоснабжения, организация, которая осуществляет горячее водос</w:t>
      </w:r>
      <w:r>
        <w:rPr>
          <w:rFonts w:eastAsia="Liberation Serif" w:cs="Liberation Serif"/>
          <w:color w:val="000000" w:themeColor="text1"/>
        </w:rPr>
        <w:t xml:space="preserve">набжение, холодное водоснабжение и эксплуатирует такие бесхозяйные объекты, обязана не позднее чем через два года со дня передачи в эксплуатацию этих объектов обеспечить водоснабжение с использованием таких объектов в соответствии с законодательством Росси</w:t>
      </w:r>
      <w:r>
        <w:rPr>
          <w:rFonts w:eastAsia="Liberation Serif" w:cs="Liberation Serif"/>
          <w:color w:val="000000" w:themeColor="text1"/>
        </w:rPr>
        <w:t xml:space="preserve">йской Федерации, устанавливающим требования к качеству горячей воды, питьевой воды, если меньший срок не установлен утверждёнными в соответствии с настоящим Федеральным законом планами мероприятий по приведению качества горячей воды, питьевой воды в соотве</w:t>
      </w:r>
      <w:r>
        <w:rPr>
          <w:rFonts w:eastAsia="Liberation Serif" w:cs="Liberation Serif"/>
          <w:color w:val="000000" w:themeColor="text1"/>
        </w:rPr>
        <w:t xml:space="preserve">тствие с установленными требованиями. На указанный срок допускается несоответствие качества подаваемой горячей воды, питьевой воды установленным требованиям, за исключением показателей качества горячей воды, питьевой воды, характеризующих её безопасность».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момент актуализации Схемы водоснабжения с. Красноселькуп организацией, уполномоченной на эксплуатацию бесхозяйных объектов водоснабжения, назначена ООО ЭК «ТВЭС».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3"/>
      </w:pPr>
      <w:r/>
      <w:bookmarkStart w:id="99" w:name="_Toc142312611"/>
      <w:r>
        <w:rPr>
          <w:rFonts w:eastAsia="Liberation Serif"/>
        </w:rPr>
        <w:t xml:space="preserve">Схема водоотведения</w:t>
      </w:r>
      <w:bookmarkEnd w:id="99"/>
      <w:r/>
      <w:r/>
    </w:p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4"/>
        <w:rPr>
          <w:b/>
          <w:color w:val="000000"/>
        </w:rPr>
      </w:pPr>
      <w:r/>
      <w:bookmarkStart w:id="100" w:name="_Toc142312612"/>
      <w:r>
        <w:t xml:space="preserve">Существующее</w:t>
      </w:r>
      <w:r>
        <w:t xml:space="preserve"> положение в сфере водоотведения</w:t>
      </w:r>
      <w:bookmarkEnd w:id="100"/>
      <w:r/>
      <w:r/>
    </w:p>
    <w:p>
      <w:pPr>
        <w:pStyle w:val="1464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p>
      <w:pPr>
        <w:pStyle w:val="1075"/>
        <w:numPr>
          <w:ilvl w:val="2"/>
          <w:numId w:val="53"/>
        </w:numPr>
      </w:pPr>
      <w:r/>
      <w:bookmarkStart w:id="101" w:name="_Описание_структуры_системы"/>
      <w:r/>
      <w:bookmarkStart w:id="102" w:name="_Toc142312613"/>
      <w:r/>
      <w:bookmarkEnd w:id="101"/>
      <w:r>
        <w:t xml:space="preserve">Описание структуры системы сбора, очистки и отведения сточных вод на </w:t>
      </w:r>
      <w:r>
        <w:t xml:space="preserve">территории населенного</w:t>
      </w:r>
      <w:r>
        <w:t xml:space="preserve"> пункта на эксплуатационные зоны.</w:t>
      </w:r>
      <w:bookmarkEnd w:id="10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с. Красноселькуп отсутствует ЦС ВО, сбор жидких бытовых отходов в существующих жилых домах и отдельно стоящих зданиях различной формы собственности и назначения (общественные здания, магазины, предприятия сферы индивидуальн</w:t>
      </w:r>
      <w:r>
        <w:rPr>
          <w:rFonts w:eastAsia="Liberation Serif" w:cs="Liberation Serif"/>
          <w:color w:val="000000" w:themeColor="text1"/>
        </w:rPr>
        <w:t xml:space="preserve">ого предпринимательства и т.п.) в автономные системы канализации – септики. Далее жидкие бытовые отходы откачиваются спецтехникой, принадлежащей предприятиям частной формы собственности, и вывозятся на территорию свалки твердых бытовых отходов для слива в </w:t>
      </w:r>
      <w:r>
        <w:rPr>
          <w:rFonts w:eastAsia="Liberation Serif" w:cs="Liberation Serif"/>
          <w:color w:val="000000" w:themeColor="text1"/>
        </w:rPr>
        <w:t xml:space="preserve">специально отведенное место, указанное Управлением жизнеобеспечения села Красноселькуп Администрации Красноселькупского района.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Деятельность по вывозу жидких бытовых отходов на территории с. Красноселькуп осуществляет ООО «Автодор».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103" w:name="_Hlk118113869"/>
      <w:r>
        <w:rPr>
          <w:rFonts w:eastAsia="Liberation Serif" w:cs="Liberation Serif"/>
          <w:color w:val="000000" w:themeColor="text1"/>
        </w:rPr>
        <w:t xml:space="preserve">Объем вывозим жидких бытовых отходов на территории с. Красноселькуп составил:</w:t>
      </w:r>
      <w:r/>
    </w:p>
    <w:p>
      <w:pPr>
        <w:pStyle w:val="1245"/>
        <w:numPr>
          <w:ilvl w:val="0"/>
          <w:numId w:val="4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2018г. – 148,227 тыс.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45"/>
        <w:numPr>
          <w:ilvl w:val="0"/>
          <w:numId w:val="4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2019г. – 147,629 тыс.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45"/>
        <w:numPr>
          <w:ilvl w:val="0"/>
          <w:numId w:val="4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2020г. – 144,397 тыс.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45"/>
        <w:numPr>
          <w:ilvl w:val="0"/>
          <w:numId w:val="4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2021г. – 119,46 тыс.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bookmarkEnd w:id="103"/>
      <w:r>
        <w:rPr>
          <w:rFonts w:eastAsia="Liberation Serif" w:cs="Liberation Serif"/>
          <w:color w:val="000000" w:themeColor="text1"/>
        </w:rPr>
        <w:t xml:space="preserve">;</w:t>
      </w:r>
      <w:r/>
    </w:p>
    <w:p>
      <w:pPr>
        <w:pStyle w:val="1245"/>
        <w:numPr>
          <w:ilvl w:val="0"/>
          <w:numId w:val="4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2022г. – 118,97 тыс. м</w:t>
      </w:r>
      <w:r>
        <w:rPr>
          <w:rFonts w:eastAsia="Liberation Serif" w:cs="Liberation Serif"/>
          <w:color w:val="000000" w:themeColor="text1"/>
          <w:vertAlign w:val="superscript"/>
        </w:rPr>
        <w:t xml:space="preserve">3</w:t>
      </w:r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104" w:name="_Hlk118129297"/>
      <w:r>
        <w:rPr>
          <w:rFonts w:eastAsia="Liberation Serif" w:cs="Liberation Serif"/>
          <w:color w:val="000000" w:themeColor="text1"/>
        </w:rPr>
        <w:t xml:space="preserve">Общее количество установленных септиков в с. Красноселькуп составляет 366шт., из них 179шт. для многоквартирных домов, 187шт. для индивидуальных жилых домов.</w:t>
      </w:r>
      <w:bookmarkEnd w:id="104"/>
      <w:r/>
      <w:r/>
    </w:p>
    <w:p>
      <w:pPr>
        <w:pStyle w:val="1075"/>
        <w:numPr>
          <w:ilvl w:val="2"/>
          <w:numId w:val="53"/>
        </w:numPr>
      </w:pPr>
      <w:r/>
      <w:bookmarkStart w:id="105" w:name="_Toc142312614"/>
      <w:r>
        <w:t xml:space="preserve"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</w:t>
      </w:r>
      <w:r>
        <w:t xml:space="preserve">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</w:r>
      <w:bookmarkEnd w:id="105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  <w:numPr>
          <w:ilvl w:val="2"/>
          <w:numId w:val="53"/>
        </w:numPr>
      </w:pPr>
      <w:r/>
      <w:bookmarkStart w:id="106" w:name="_Описание_технологических_зон"/>
      <w:r/>
      <w:bookmarkStart w:id="107" w:name="_Toc142312615"/>
      <w:r/>
      <w:bookmarkEnd w:id="106"/>
      <w:r>
        <w:t xml:space="preserve">Описание технологических </w:t>
      </w:r>
      <w:r>
        <w:t xml:space="preserve">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водоотведения.</w:t>
      </w:r>
      <w:bookmarkEnd w:id="10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  <w:numPr>
          <w:ilvl w:val="2"/>
          <w:numId w:val="53"/>
        </w:numPr>
      </w:pPr>
      <w:r/>
      <w:bookmarkStart w:id="108" w:name="_Toc142312616"/>
      <w:r>
        <w:t xml:space="preserve">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  <w:bookmarkEnd w:id="10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2</w:t>
      </w:r>
      <w:r>
        <w:rPr>
          <w:rFonts w:eastAsia="Liberation Serif" w:cs="Liberation Serif"/>
          <w:color w:val="000000" w:themeColor="text1"/>
        </w:rPr>
        <w:t xml:space="preserve">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  <w:numPr>
          <w:ilvl w:val="2"/>
          <w:numId w:val="108"/>
        </w:numPr>
      </w:pPr>
      <w:r/>
      <w:bookmarkStart w:id="109" w:name="_Toc142312617"/>
      <w:r>
        <w:t xml:space="preserve">Оценка безопасности и надежности объектов централизованной системы водоотведения и их управляемости</w:t>
      </w:r>
      <w:bookmarkEnd w:id="109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10" w:name="_Toc142312618"/>
      <w:r>
        <w:t xml:space="preserve">Оценка воздействия сбросов сточных вод через централизованную систему водоотведения на окружающую среду.</w:t>
      </w:r>
      <w:bookmarkEnd w:id="110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11" w:name="_Toc142312619"/>
      <w:r>
        <w:t xml:space="preserve">Описание территорий Красноселькупского района, не охваченных централизованной системой водоотведения.</w:t>
      </w:r>
      <w:bookmarkEnd w:id="111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12" w:name="_Toc142312620"/>
      <w:r>
        <w:t xml:space="preserve">Описание существующих технических и технологических проблем системы </w:t>
      </w:r>
      <w:r>
        <w:t xml:space="preserve">водоотведения населенного</w:t>
      </w:r>
      <w:r>
        <w:t xml:space="preserve"> пункта.</w:t>
      </w:r>
      <w:bookmarkEnd w:id="112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/>
      <w:bookmarkStart w:id="113" w:name="_Hlk117422189"/>
      <w:r>
        <w:rPr>
          <w:rFonts w:eastAsia="Liberation Serif" w:cs="Liberation Serif"/>
          <w:color w:val="000000" w:themeColor="text1"/>
        </w:rPr>
        <w:t xml:space="preserve">Основными техническими и технологическими проблемами нецентрализованной системы водоотведения с. Красноселькуп являются:</w:t>
      </w:r>
      <w:r/>
    </w:p>
    <w:p>
      <w:pPr>
        <w:pStyle w:val="1245"/>
        <w:numPr>
          <w:ilvl w:val="0"/>
          <w:numId w:val="39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отсутствие КОС.</w:t>
      </w:r>
      <w:bookmarkEnd w:id="113"/>
      <w:r/>
      <w:r/>
    </w:p>
    <w:p>
      <w:pPr>
        <w:pStyle w:val="1075"/>
      </w:pPr>
      <w:r/>
      <w:bookmarkStart w:id="114" w:name="_Toc142312621"/>
      <w:r>
        <w:t xml:space="preserve">Сведения об отнесении централизованной системы водоотведения (канализации) к централизованны</w:t>
      </w:r>
      <w:r>
        <w:t xml:space="preserve">м системам водоотведения  населенного пункта , включающие перечень и описание централизованных систем водоотведения (канализации), отнесенных к централизованным системам водоотведения  населенного пункта , а также информацию об очистных сооружениях (при их</w:t>
      </w:r>
      <w:r>
        <w:t xml:space="preserve">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вод.</w:t>
      </w:r>
      <w:bookmarkEnd w:id="11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15" w:name="_Toc142312622"/>
      <w:r>
        <w:t xml:space="preserve">Балансы</w:t>
      </w:r>
      <w:r>
        <w:t xml:space="preserve"> сточных вод в системе водоотведения</w:t>
      </w:r>
      <w:bookmarkEnd w:id="115"/>
      <w:r/>
      <w:r/>
    </w:p>
    <w:p>
      <w:pPr>
        <w:pStyle w:val="1245"/>
        <w:ind w:left="1429"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16" w:name="_Баланс_поступления_сточных"/>
      <w:r/>
      <w:bookmarkStart w:id="117" w:name="_Toc142312623"/>
      <w:r/>
      <w:bookmarkEnd w:id="116"/>
      <w:r>
        <w:t xml:space="preserve">Баланс</w:t>
      </w:r>
      <w:r>
        <w:t xml:space="preserve"> поступления сточных вод в централизованную систему водоотведения и отведения стоков по технологическим зонам водоотведения.</w:t>
      </w:r>
      <w:bookmarkEnd w:id="117"/>
      <w:r/>
      <w:r/>
    </w:p>
    <w:p>
      <w:pPr>
        <w:pStyle w:val="1245"/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18" w:name="_Toc142312624"/>
      <w:r>
        <w:t xml:space="preserve"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</w:r>
      <w:bookmarkEnd w:id="118"/>
      <w:r/>
      <w:r/>
    </w:p>
    <w:p>
      <w:pPr>
        <w:pStyle w:val="1245"/>
        <w:rPr>
          <w:rFonts w:eastAsia="Liberation Serif" w:cs="Liberation Serif" w:asciiTheme="minorHAnsi" w:hAnsiTheme="minorHAnsi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19" w:name="_Toc142312625"/>
      <w:r>
        <w:t xml:space="preserve"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</w:r>
      <w:bookmarkEnd w:id="119"/>
      <w:r/>
      <w:r/>
    </w:p>
    <w:p>
      <w:pPr>
        <w:pStyle w:val="1245"/>
      </w:pPr>
      <w:r/>
      <w:bookmarkStart w:id="120" w:name="_Hlk117422225"/>
      <w:r>
        <w:rPr>
          <w:rFonts w:eastAsia="Liberation Serif" w:cs="Liberation Serif"/>
          <w:color w:val="000000" w:themeColor="text1"/>
        </w:rPr>
        <w:t xml:space="preserve">Откачка и последующий вывоз образуемых сточных вод от абоне</w:t>
      </w:r>
      <w:r>
        <w:rPr>
          <w:rFonts w:eastAsia="Liberation Serif" w:cs="Liberation Serif"/>
          <w:color w:val="000000" w:themeColor="text1"/>
        </w:rPr>
        <w:t xml:space="preserve">нтов нецентрализованной системы водоотведения осуществляется как правило ассенизационным способом специализированными компаниями. Для этого заключается соответствующий договор, регламентирующий порядок, расчетный объем и оплату услуг по вывозу сточных вод.</w:t>
      </w:r>
      <w:bookmarkEnd w:id="120"/>
      <w:r/>
      <w:r/>
    </w:p>
    <w:p>
      <w:pPr>
        <w:pStyle w:val="1075"/>
      </w:pPr>
      <w:r/>
      <w:bookmarkStart w:id="121" w:name="_Toc142312626"/>
      <w:r>
        <w:t xml:space="preserve"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у с выделением зон дефицитов и резервов производственных мощностей.</w:t>
      </w:r>
      <w:bookmarkEnd w:id="12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22" w:name="_Toc142312627"/>
      <w: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</w:t>
      </w:r>
      <w:r>
        <w:t xml:space="preserve">8</w:t>
      </w:r>
      <w:r>
        <w:t xml:space="preserve"> года с учетом различных сценариев развития населенного пункта.</w:t>
      </w:r>
      <w:bookmarkEnd w:id="12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Прогнозные балансы поступления сточных вод в ЦС ВО и отведения стоков по технологическим зонам водоотведения на срок не менее 10 лет в соответствии со сценарием развития с. Красноселькуп, приведенным выше в </w:t>
      </w:r>
      <w:hyperlink w:tooltip="#_Различные_сценарии_развития" w:anchor="_Различные_сценарии_развития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1.2.2</w:t>
        </w:r>
      </w:hyperlink>
      <w:r>
        <w:rPr>
          <w:rFonts w:eastAsia="Liberation Serif" w:cs="Liberation Serif"/>
          <w:color w:val="000000" w:themeColor="text1"/>
        </w:rPr>
        <w:t xml:space="preserve">, а также учитывающие эффекты от реализации мероприятий по строительству, реконструкции и модернизации объектов ЦС ВО, приведены ниже в </w:t>
      </w:r>
      <w:hyperlink w:tooltip="#_Сведения_о_фактическом" w:anchor="_Сведения_о_фактическом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подразделе 2.3.1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bookmarkStart w:id="123" w:name="_Прогноз_объема_сточных"/>
      <w:r/>
      <w:bookmarkEnd w:id="12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</w:pPr>
      <w:r/>
      <w:bookmarkStart w:id="124" w:name="_Toc142312628"/>
      <w:r>
        <w:t xml:space="preserve">Прогноз объема сточных вод</w:t>
      </w:r>
      <w:bookmarkEnd w:id="124"/>
      <w:r/>
      <w:r/>
    </w:p>
    <w:p>
      <w:pPr>
        <w:pStyle w:val="1340"/>
      </w:pPr>
      <w:r/>
      <w:r/>
    </w:p>
    <w:p>
      <w:pPr>
        <w:pStyle w:val="1075"/>
      </w:pPr>
      <w:r/>
      <w:bookmarkStart w:id="125" w:name="_Сведения_о_фактическом"/>
      <w:r/>
      <w:bookmarkStart w:id="126" w:name="_Toc142312629"/>
      <w:r/>
      <w:bookmarkEnd w:id="125"/>
      <w:r>
        <w:t xml:space="preserve">Сведения о фактическом и ожидаемом поступлении сточных вод в централизованную систему водоотведения.</w:t>
      </w:r>
      <w:bookmarkEnd w:id="12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Сведения об ожидаемом поступлении сточных вод по ЦС ВО с. Красноселькуп приведены в таблице 2.3.1.</w:t>
      </w:r>
      <w:r/>
    </w:p>
    <w:p>
      <w:pPr>
        <w:pStyle w:val="1245"/>
        <w:ind w:firstLine="0"/>
        <w:rPr>
          <w:rFonts w:eastAsia="Liberation Serif" w:cs="Liberation Serif"/>
          <w:bCs/>
          <w:color w:val="000000"/>
        </w:rPr>
        <w:sectPr>
          <w:footerReference w:type="default" r:id="rId16"/>
          <w:footnotePr/>
          <w:endnotePr/>
          <w:type w:val="nextPage"/>
          <w:pgSz w:w="11906" w:h="16838" w:orient="portrait"/>
          <w:pgMar w:top="1134" w:right="567" w:bottom="1134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bCs/>
          <w:color w:val="000000"/>
        </w:rPr>
      </w:r>
      <w:r/>
    </w:p>
    <w:p>
      <w:pPr>
        <w:pStyle w:val="1245"/>
        <w:ind w:firstLine="0"/>
        <w:jc w:val="right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Таблица 2.3.1 – Сведения об ожидаемом поступлении сточных вод по ЦС ВО с. Красноселькуп</w:t>
      </w:r>
      <w:r/>
    </w:p>
    <w:p>
      <w:pPr>
        <w:pStyle w:val="1245"/>
        <w:ind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"/>
        <w:gridCol w:w="2070"/>
        <w:gridCol w:w="2070"/>
        <w:gridCol w:w="540"/>
        <w:gridCol w:w="567"/>
        <w:gridCol w:w="567"/>
        <w:gridCol w:w="567"/>
        <w:gridCol w:w="567"/>
        <w:gridCol w:w="567"/>
        <w:gridCol w:w="567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10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Поступление сточных вод на КОС годовое, в т.ч.: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246 523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247 417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248 310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249 204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250 098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250 992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251 885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252 779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253 673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254 567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Полезная реализация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237 041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237 901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238 760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239 619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240 479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241 338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242 198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243 057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243 916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244 776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Неорганизованный приток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9 482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9 516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9 550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9 585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9 654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9 688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9 722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9 757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9 791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Расчетное среднесуточное поступление сточных вод на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697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Расчетное максимальное суточное поступление сточных вод на КОС (требуемая мощность КОС)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907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Установленная производительность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1 000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9,3</w:t>
            </w:r>
            <w:r/>
          </w:p>
        </w:tc>
      </w:tr>
    </w:tbl>
    <w:p>
      <w:pPr>
        <w:pStyle w:val="1245"/>
        <w:ind w:firstLine="0"/>
        <w:rPr>
          <w:rFonts w:eastAsia="Liberation Serif" w:cs="Liberation Serif"/>
          <w:bCs/>
          <w:color w:val="000000"/>
        </w:rPr>
        <w:sectPr>
          <w:footnotePr/>
          <w:endnotePr/>
          <w:type w:val="nextPage"/>
          <w:pgSz w:w="16838" w:h="11906" w:orient="landscape"/>
          <w:pgMar w:top="1135" w:right="536" w:bottom="1276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bCs/>
          <w:color w:val="000000"/>
        </w:rPr>
      </w:r>
      <w:r/>
    </w:p>
    <w:p>
      <w:pPr>
        <w:pStyle w:val="1075"/>
      </w:pPr>
      <w:r/>
      <w:bookmarkStart w:id="127" w:name="_Toc142312630"/>
      <w:r>
        <w:t xml:space="preserve">Описание структуры централизованной системы водоотведения (эксплуатационные и технологические зоны).</w:t>
      </w:r>
      <w:bookmarkEnd w:id="12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28" w:name="_Toc142312631"/>
      <w:r>
        <w:t xml:space="preserve"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годам.</w:t>
      </w:r>
      <w:bookmarkEnd w:id="12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 по ЦС ВО с. Красноселькуп, приведен выше в подразделе 2.3.1.</w:t>
      </w:r>
      <w:r/>
    </w:p>
    <w:p>
      <w:pPr>
        <w:pStyle w:val="1075"/>
      </w:pPr>
      <w:r/>
      <w:bookmarkStart w:id="129" w:name="_Toc142312632"/>
      <w:r>
        <w:t xml:space="preserve">Результаты анализа гидравлических режимов и режимов работы элементов централизованной системы водоотведения.</w:t>
      </w:r>
      <w:bookmarkEnd w:id="12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30" w:name="_Toc142312633"/>
      <w:r>
        <w:t xml:space="preserve">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30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bookmarkStart w:id="131" w:name="_Предложения_по_строительству,_1"/>
      <w:r/>
      <w:bookmarkEnd w:id="13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32" w:name="_Toc142312634"/>
      <w:r>
        <w:t xml:space="preserve"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32"/>
      <w:r/>
      <w:r/>
    </w:p>
    <w:p>
      <w:pPr>
        <w:pStyle w:val="1245"/>
        <w:ind w:left="709" w:firstLin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33" w:name="_Toc142312635"/>
      <w:r>
        <w:t xml:space="preserve">Основные направления, принципы, задачи и плановые значения показателей развития централизованной системы водоотведения.</w:t>
      </w:r>
      <w:bookmarkEnd w:id="133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1 статьи 3 ФЗ РФ от 07.12.2011 № 416 ФЗ государственная политика в сфере водоснабжения и водоотведения направлена на достижение следующих целей:</w:t>
      </w:r>
      <w:r/>
    </w:p>
    <w:p>
      <w:pPr>
        <w:pStyle w:val="1245"/>
        <w:numPr>
          <w:ilvl w:val="0"/>
          <w:numId w:val="4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  <w:r/>
    </w:p>
    <w:p>
      <w:pPr>
        <w:pStyle w:val="1245"/>
        <w:numPr>
          <w:ilvl w:val="0"/>
          <w:numId w:val="4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повышения энергетической эффективности путем экономного потребления воды;</w:t>
      </w:r>
      <w:r/>
    </w:p>
    <w:p>
      <w:pPr>
        <w:pStyle w:val="1245"/>
        <w:numPr>
          <w:ilvl w:val="0"/>
          <w:numId w:val="4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снижения негативного воздействия на водные объекты путем повышения качества очистки сточных вод;</w:t>
      </w:r>
      <w:r/>
    </w:p>
    <w:p>
      <w:pPr>
        <w:pStyle w:val="1245"/>
        <w:numPr>
          <w:ilvl w:val="0"/>
          <w:numId w:val="4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обеспечения доступности водоснабжения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 водоотведение;</w:t>
      </w:r>
      <w:r/>
    </w:p>
    <w:p>
      <w:pPr>
        <w:pStyle w:val="1245"/>
        <w:numPr>
          <w:ilvl w:val="0"/>
          <w:numId w:val="4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обеспечения развития централизованных систем горячего водоснабже</w:t>
      </w:r>
      <w:r>
        <w:rPr>
          <w:rFonts w:eastAsia="Liberation Serif" w:cs="Liberation Serif"/>
          <w:color w:val="000000" w:themeColor="text1"/>
        </w:rPr>
        <w:t xml:space="preserve">ния,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 соответствии с пунктом 2 статьи 3 ФЗ РФ от 07.12.2011 № 416 ФЗ общими принципами государственной политики в сфере водоснабжения и водоотведения являются: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приоритетность обеспечения населения питьевой водой, горячей водой и услугами по водоотведению;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создание условий для привлечения инвестиций в сферу водоснабжения и водоотведения, обеспечение гарантий возврата частных инвестиций;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технологического и организационного единства и целостности централизованных систем горячего водоснабжения, холодного водоснабжения и (или) водоотведения;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достижение и соблюдение баланса экономических интересов организаций, осуществляющих горячее водоснабжение, холодное водоснабжение и (или) водоотведение, и их абонентов;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установлени</w:t>
      </w:r>
      <w:r>
        <w:rPr>
          <w:rFonts w:eastAsia="Liberation Serif" w:cs="Liberation Serif"/>
          <w:color w:val="000000" w:themeColor="text1"/>
        </w:rPr>
        <w:t xml:space="preserve">е тарифов в сфере водоснабжения и водоотведения исходя из экономически обоснованных расходов организаций, осуществляющих горячее водоснабжение, холодное водоснабжение и (или) водоотведение, необходимых для осуществления водоснабжения и (или) водоотведения;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стабильных и недискриминационных условий для осуществления предпринимательской деятельности в сфере водоснабжения и водоотведения;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равных условий доступа абонентов к водоснабжению и водоотведению;</w:t>
      </w:r>
      <w:r/>
    </w:p>
    <w:p>
      <w:pPr>
        <w:pStyle w:val="1245"/>
        <w:numPr>
          <w:ilvl w:val="0"/>
          <w:numId w:val="41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открытость деятельности организаций, осуществляющих горячее водоснабжение, холодно</w:t>
      </w:r>
      <w:r>
        <w:rPr>
          <w:rFonts w:eastAsia="Liberation Serif" w:cs="Liberation Serif"/>
          <w:color w:val="000000" w:themeColor="text1"/>
        </w:rPr>
        <w:t xml:space="preserve">е водоснабжение и (или)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 водоотведения.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Исходя из об</w:t>
      </w:r>
      <w:r>
        <w:rPr>
          <w:rFonts w:eastAsia="Liberation Serif" w:cs="Liberation Serif"/>
          <w:color w:val="000000" w:themeColor="text1"/>
        </w:rPr>
        <w:t xml:space="preserve">означенных целей и принципов государственной политики в сфере водоснабжения и водоотведения, а также в соответствии с пунктом 10 Правил разработки и утверждения схем водоснабжения и водоотведения, утверждённых ПП РФ от 05.09.2013 № 782, в рамках настоящей </w:t>
      </w:r>
      <w:r>
        <w:t xml:space="preserve">актуализации</w:t>
      </w:r>
      <w:r>
        <w:rPr>
          <w:rFonts w:eastAsia="Liberation Serif" w:cs="Liberation Serif"/>
          <w:color w:val="000000" w:themeColor="text1"/>
        </w:rPr>
        <w:t xml:space="preserve"> Схемы ВСиВО с. Красноселькуп сформированы следующие основные задачи развития ЦС ВО:</w:t>
      </w:r>
      <w:r/>
    </w:p>
    <w:p>
      <w:pPr>
        <w:pStyle w:val="1245"/>
        <w:numPr>
          <w:ilvl w:val="0"/>
          <w:numId w:val="42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водоотведения;</w:t>
      </w:r>
      <w:r/>
    </w:p>
    <w:p>
      <w:pPr>
        <w:pStyle w:val="1245"/>
        <w:numPr>
          <w:ilvl w:val="0"/>
          <w:numId w:val="42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организация централизованного водоотведения на территориях поселений, городских округов, где оно отсутствует;</w:t>
      </w:r>
      <w:r/>
    </w:p>
    <w:p>
      <w:pPr>
        <w:pStyle w:val="1245"/>
        <w:numPr>
          <w:ilvl w:val="0"/>
          <w:numId w:val="42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сокращение сбросов и организация возврата очищенных сточных вод на технические нужды.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Для выполнения перечисленных выше задач по развитию ЦС ВО с. Красноселькуп разработаны мероприятия по строительству объектов централизованных ЦС ВО, приведенные ниже в раздел</w:t>
      </w:r>
      <w:hyperlink w:tooltip="#_Предложения_по_строительству,_1" w:anchor="_Предложения_по_строительству,_1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2.4</w:t>
        </w:r>
      </w:hyperlink>
      <w:r>
        <w:rPr>
          <w:rFonts w:eastAsia="Liberation Serif" w:cs="Liberation Serif"/>
          <w:color w:val="000000" w:themeColor="text1"/>
        </w:rPr>
        <w:t xml:space="preserve">. 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 В соответствии с пунктом 2 Перечня показателей надежности, качества, энергетической эффективности объектов централизованных систем горячего </w:t>
      </w:r>
      <w:r>
        <w:rPr>
          <w:rFonts w:eastAsia="Liberation Serif" w:cs="Liberation Serif"/>
          <w:color w:val="000000" w:themeColor="text1"/>
        </w:rPr>
        <w:t xml:space="preserve">водоснабжения, холодного водоснабжения и (или) водоотведения, утвержденного приказом Минстроя РФ от 04.04.2014 № 162/пр, к показателям развития централизованных систем горячего водоснабжения, холодного водоснабжения и водоотведения относятся: </w:t>
      </w:r>
      <w:r/>
    </w:p>
    <w:p>
      <w:pPr>
        <w:pStyle w:val="1245"/>
        <w:numPr>
          <w:ilvl w:val="0"/>
          <w:numId w:val="4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качества воды (в отношении питьевой воды и горячей воды);</w:t>
      </w:r>
      <w:r/>
    </w:p>
    <w:p>
      <w:pPr>
        <w:pStyle w:val="1245"/>
        <w:numPr>
          <w:ilvl w:val="0"/>
          <w:numId w:val="4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водоснабжения и водоотведения;</w:t>
      </w:r>
      <w:r/>
    </w:p>
    <w:p>
      <w:pPr>
        <w:pStyle w:val="1245"/>
        <w:numPr>
          <w:ilvl w:val="0"/>
          <w:numId w:val="4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очистки сточных вод;</w:t>
      </w:r>
      <w:r/>
    </w:p>
    <w:p>
      <w:pPr>
        <w:pStyle w:val="1245"/>
        <w:numPr>
          <w:ilvl w:val="0"/>
          <w:numId w:val="4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эффективности использования ресурсов, в том числе уровень потерь воды (тепловой энергии в составе горячей воды).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Применительно к ЦС ВО с. Красноселькуп данные показатели приведены ниже в 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разделе 2.8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134" w:name="_Перечень_основных_мероприятий_1"/>
      <w:r/>
      <w:bookmarkStart w:id="135" w:name="_Toc142312636"/>
      <w:r/>
      <w:bookmarkEnd w:id="134"/>
      <w:r>
        <w:t xml:space="preserve"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135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Перечень основных мероприятий по реализации Схемы водоотведения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с разбивкой по годам, включая технические обоснования этих мероприятий, приведен в таблице 2.4.1.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2.4.1 – Перечень основных мероприятий по реализации Схемы водоотведения с. Красноселькуп с разбивкой по годам, включая технические обоснования этих мероприятий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982"/>
        <w:gridCol w:w="6085"/>
        <w:gridCol w:w="1279"/>
        <w:gridCol w:w="1282"/>
      </w:tblGrid>
      <w:tr>
        <w:trPr>
          <w:trHeight w:val="20"/>
          <w:tblHeader/>
        </w:trPr>
        <w:tc>
          <w:tcPr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51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31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13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Период реализации, гг.</w:t>
            </w:r>
            <w:r/>
          </w:p>
        </w:tc>
      </w:tr>
      <w:tr>
        <w:trPr>
          <w:trHeight w:val="281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51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316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Начало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Конец</w:t>
            </w:r>
            <w:r/>
          </w:p>
        </w:tc>
      </w:tr>
      <w:tr>
        <w:trPr>
          <w:trHeight w:val="230"/>
          <w:tblHeader/>
        </w:trPr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1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316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316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КНС (2шт.)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316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самотечно-напорных канализационных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6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136" w:name="_Toc142312637"/>
      <w:r>
        <w:t xml:space="preserve">Технические обоснования основных мероприятий по реализации схем водоотведения.</w:t>
      </w:r>
      <w:bookmarkEnd w:id="13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Технические обоснования основных мероприятий по реализации Схемы водоотведения с. Красноселькуп приведены в таблице 2.4.2.</w:t>
      </w:r>
      <w:r/>
    </w:p>
    <w:p>
      <w:pPr>
        <w:pStyle w:val="1230"/>
        <w:ind w:firstLine="709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2.4.2 – Технические обоснования основных мероприятий по реализации Схемы водоотведения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4945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34"/>
        <w:gridCol w:w="3324"/>
        <w:gridCol w:w="5364"/>
      </w:tblGrid>
      <w:tr>
        <w:trPr>
          <w:trHeight w:val="23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9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Техническое обоснование</w:t>
            </w:r>
            <w:r/>
          </w:p>
        </w:tc>
      </w:tr>
      <w:tr>
        <w:trPr>
          <w:trHeight w:val="230"/>
          <w:tblHeader/>
        </w:trPr>
        <w:tc>
          <w:tcPr>
            <w:shd w:val="clear" w:color="000000" w:fill="bfbf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9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/>
            <w:bookmarkStart w:id="137" w:name="_Сведения_о_вновь"/>
            <w:r/>
            <w:bookmarkEnd w:id="137"/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94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Организация централизованного водоотведения на территориях поселений, городских округов, где оно отсутствует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КНС (2шт.)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94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Организация централизованного водоотведения на территориях поселений, городских округов, где оно отсутствует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самотечно-напорных канализационных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94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Организация централизованного водоотведения на территориях поселений, городских округов, где оно отсутствует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138" w:name="_Toc142312638"/>
      <w:r>
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водоотведения.</w:t>
      </w:r>
      <w:bookmarkEnd w:id="13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Сведения о вновь строящихся, реконструируемых и предлагаемых к выводу из эксплуатации объектах ЦС ВО с. Красноселькуп приведены в таблице 2.4.3.</w:t>
      </w:r>
      <w:r/>
    </w:p>
    <w:p>
      <w:pPr>
        <w:pStyle w:val="1230"/>
        <w:ind w:firstLine="709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2.4.3 – Сведения о вновь строящихся, реконструируемых и предлагаемых к выводу из эксплуатации объектах ЦС ВО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692"/>
        <w:gridCol w:w="4103"/>
        <w:gridCol w:w="967"/>
        <w:gridCol w:w="967"/>
        <w:gridCol w:w="967"/>
        <w:gridCol w:w="967"/>
        <w:gridCol w:w="965"/>
      </w:tblGrid>
      <w:tr>
        <w:trPr>
          <w:trHeight w:val="435"/>
          <w:tblHeader/>
        </w:trPr>
        <w:tc>
          <w:tcPr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5"/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43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Канализационные сети</w:t>
            </w:r>
            <w:r/>
          </w:p>
        </w:tc>
        <w:tc>
          <w:tcPr>
            <w:gridSpan w:val="3"/>
            <w:shd w:val="clear" w:color="bfbfbf" w:themeColor="background1" w:themeShade="BF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0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Прочие объекты</w:t>
            </w:r>
            <w:r/>
          </w:p>
        </w:tc>
      </w:tr>
      <w:tr>
        <w:trPr>
          <w:trHeight w:val="974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L, м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Dу, мм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КОС, м³/сут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КНС, м³/ч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Иное</w:t>
            </w:r>
            <w:r/>
          </w:p>
        </w:tc>
      </w:tr>
      <w:tr>
        <w:trPr>
          <w:trHeight w:val="230"/>
          <w:tblHeader/>
        </w:trPr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bfbfbf" w:themeColor="background1" w:themeShade="BF" w:fill="bfbfbf" w:themeFill="background1" w:themeFillShade="B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КНС (2шт.)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  <w:lang w:val="en-US"/>
              </w:rPr>
              <w:t xml:space="preserve">45</w:t>
            </w:r>
            <w:r/>
          </w:p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  <w:lang w:val="en-US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bCs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Строительство самотечно-напорных канализационных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  <w:lang w:val="en-US"/>
              </w:rPr>
              <w:t xml:space="preserve">10860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150-200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139" w:name="_Toc142312639"/>
      <w: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  <w:bookmarkEnd w:id="13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 числу основных особенностей ЦС ВО, как целого комплекса объектов автоматизации, относятся: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высокая степень ответственности работы сооружений, требующая обеспечения их надёжной и бесперебойной работы;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работа сооружений в условиях постоянно меняющейся нагрузки;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зависимость режима работы сооружений от изменения состава сточных вод;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сложность технологического процесса и необходимость обеспечения высокого качества очистки сточных вод;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необходимость сохранения работоспособности при авариях на отдельных участках канализационных сетей;</w:t>
      </w:r>
      <w:r/>
    </w:p>
    <w:p>
      <w:pPr>
        <w:pStyle w:val="1245"/>
        <w:numPr>
          <w:ilvl w:val="0"/>
          <w:numId w:val="4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значительная инерционность ряда технологических процессов, большое запаздывание в изменении показателей очистки сточных вод в ответ на управляющее воздействие.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Задачи автоматизации процессов транспортировки и очистки сточных вод в основном состоят в следующем:</w:t>
      </w:r>
      <w:r/>
    </w:p>
    <w:p>
      <w:pPr>
        <w:pStyle w:val="1245"/>
        <w:numPr>
          <w:ilvl w:val="0"/>
          <w:numId w:val="45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создание оптимальных условий работы отдельных сооружений, интенсификации всего процесса очистки;</w:t>
      </w:r>
      <w:r/>
    </w:p>
    <w:p>
      <w:pPr>
        <w:pStyle w:val="1245"/>
        <w:numPr>
          <w:ilvl w:val="0"/>
          <w:numId w:val="45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улучшение технологического контроля за работой отдельных элементов ЦС ВО и ходом процесса очистки в целом;</w:t>
      </w:r>
      <w:r/>
    </w:p>
    <w:p>
      <w:pPr>
        <w:pStyle w:val="1245"/>
        <w:numPr>
          <w:ilvl w:val="0"/>
          <w:numId w:val="45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улучшение условий труда эксплуатационного персонала с одновременным сокращением штатов обслуживающего персонала;</w:t>
      </w:r>
      <w:r/>
    </w:p>
    <w:p>
      <w:pPr>
        <w:pStyle w:val="1245"/>
        <w:numPr>
          <w:ilvl w:val="0"/>
          <w:numId w:val="45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уменьшение себестоимости очистки сточных вод при соблюдении соответствия стоков действующим нормам.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вновь строящихся КОС предлагается предусматривать комплексную автоматизацию, включающую в себя как технологическую часть, так и управление инженерными системами объекта (вентиляция, отопление), в т.ч.:</w:t>
      </w:r>
      <w:r/>
    </w:p>
    <w:p>
      <w:pPr>
        <w:pStyle w:val="1245"/>
        <w:numPr>
          <w:ilvl w:val="0"/>
          <w:numId w:val="46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работа приёмных решёток должна быть автоматизирована по определённому алгоритму;</w:t>
      </w:r>
      <w:r/>
    </w:p>
    <w:p>
      <w:pPr>
        <w:pStyle w:val="1245"/>
        <w:numPr>
          <w:ilvl w:val="0"/>
          <w:numId w:val="46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биологическая очистка должна быть автоматизирована с поддержанием диктующих параметров по заданному алгоритму;</w:t>
      </w:r>
      <w:r/>
    </w:p>
    <w:p>
      <w:pPr>
        <w:pStyle w:val="1245"/>
        <w:numPr>
          <w:ilvl w:val="0"/>
          <w:numId w:val="46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подача сжатого воздуха в аэротенки должна быть осуществлена с использованием частотного регулирования;</w:t>
      </w:r>
      <w:r/>
    </w:p>
    <w:p>
      <w:pPr>
        <w:pStyle w:val="1245"/>
        <w:numPr>
          <w:ilvl w:val="0"/>
          <w:numId w:val="46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автоматизированная система вентиляции и отопления для поддержания требуемых параметров микроклимата и кратности воздухообмена в помещениях;</w:t>
      </w:r>
      <w:r/>
    </w:p>
    <w:p>
      <w:pPr>
        <w:pStyle w:val="1245"/>
        <w:numPr>
          <w:ilvl w:val="0"/>
          <w:numId w:val="46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управление насосами и илососами должно быть автоматизировано.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Для КНС должны применяться следующие подходы к автоматизации: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управление без постоянного обслуживающего персонала, автоматическое – в зависимости от технологических параметров (уровень воды в приёмном резервуаре);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 целью снижения пусковых токов и повышения надёжности функционирования объектов на насосных станциях должен быть предусмотрен плавный пуск двигателей основных насосов;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предусмотреть защиту от заиливания – автоматические кратковременные тестовые пуски насосов;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желательно предусмотреть автоматическое чередование работающих насосов для равномерной выработки моторесурса;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 аварийном отключении рабочих насосных агрегатов следует предусматривать автоматическое включение резервного агрегата;</w:t>
      </w:r>
      <w:r/>
    </w:p>
    <w:p>
      <w:pPr>
        <w:pStyle w:val="1245"/>
        <w:numPr>
          <w:ilvl w:val="0"/>
          <w:numId w:val="4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должна быть предусмотрена защита двигателей по току, асимметрии напряжения по фазам.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 основных КНС требуется предусмотреть контроль следующих параметров: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наличие напряжения на вводах;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уровень в приёмном резервуаре;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расход перекачиваемой воды;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работающие насосные агрегаты;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наработка каждого насосного агрегата;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потребляемый ток (мощность) каждым насосным агрегатом;</w:t>
      </w:r>
      <w:r/>
    </w:p>
    <w:p>
      <w:pPr>
        <w:pStyle w:val="1245"/>
        <w:numPr>
          <w:ilvl w:val="0"/>
          <w:numId w:val="48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аварийные ситуации.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 проектировании систем автоматизации объектов ЦС ВО необходимо до начала проектирования разработать техническое задание, а в процессе проектирования общесистемные решения: организационную структуру диспетчерского уп</w:t>
      </w:r>
      <w:r>
        <w:rPr>
          <w:rFonts w:eastAsia="Liberation Serif" w:cs="Liberation Serif"/>
          <w:color w:val="000000" w:themeColor="text1"/>
        </w:rPr>
        <w:t xml:space="preserve">равления; функциональную структуру, т.е. состав автоматизируемых функций управления и алгоритмы решения задач; программное, математическое и информационное обеспечения, т.е. программы выполнения на компьютерах и контроллерах; техническое обеспечение, т.е. </w:t>
      </w:r>
      <w:r>
        <w:rPr>
          <w:rFonts w:eastAsia="Liberation Serif" w:cs="Liberation Serif"/>
          <w:color w:val="000000" w:themeColor="text1"/>
        </w:rPr>
        <w:t xml:space="preserve">комплекс технических средств, необходимых для реализации функций автоматизации.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Подробное описание системы диспетчерского управления, разработка конкретных технических решений, состав оборудования и перечень необходимых материалов необходи</w:t>
      </w:r>
      <w:r>
        <w:rPr>
          <w:rFonts w:eastAsia="Liberation Serif" w:cs="Liberation Serif"/>
          <w:color w:val="000000" w:themeColor="text1"/>
        </w:rPr>
        <w:t xml:space="preserve">мо предусматривать соответствующим проектом. Предпочтение в проекте следует отдавать современным технологиям автоматизации, с целью разработки и внедрения технических решений, способных оставаться актуальными на протяжении многих лет эксплуатации объектов.</w:t>
      </w:r>
      <w:r/>
    </w:p>
    <w:p>
      <w:pPr>
        <w:pStyle w:val="1075"/>
      </w:pPr>
      <w:r/>
      <w:bookmarkStart w:id="140" w:name="_Описание_вариантов_маршрутов"/>
      <w:r/>
      <w:bookmarkStart w:id="141" w:name="_Toc142312640"/>
      <w:r/>
      <w:bookmarkEnd w:id="140"/>
      <w:r>
        <w:t xml:space="preserve">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обоснование.</w:t>
      </w:r>
      <w:bookmarkEnd w:id="141"/>
      <w:r/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142" w:name="_Hlk112407601"/>
      <w:r/>
      <w:bookmarkStart w:id="143" w:name="_Hlk112407939"/>
      <w:r>
        <w:rPr>
          <w:rFonts w:eastAsia="Liberation Serif" w:cs="Liberation Serif"/>
          <w:color w:val="000000" w:themeColor="text1"/>
        </w:rPr>
        <w:t xml:space="preserve">Варианты маршрутов прохождения трубопроводов (трасс) по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представлены на рисунке 2.4.1.</w:t>
      </w:r>
      <w:bookmarkEnd w:id="142"/>
      <w:r>
        <w:rPr>
          <w:rFonts w:eastAsia="Liberation Serif" w:cs="Liberation Serif"/>
          <w:color w:val="000000" w:themeColor="text1"/>
        </w:rPr>
        <w:t xml:space="preserve"> </w:t>
      </w:r>
      <w:r/>
    </w:p>
    <w:p>
      <w:pPr>
        <w:pStyle w:val="1245"/>
        <w:ind w:firstLine="0"/>
        <w:jc w:val="center"/>
        <w:rPr>
          <w:rFonts w:eastAsia="Liberation Serif" w:cs="Liberation Serif"/>
          <w:bCs/>
          <w:color w:val="000000"/>
        </w:rPr>
      </w:pPr>
      <w:r>
        <w:rPr>
          <w:rFonts w:eastAsia="Liberation Serif" w:cs="Liberation Serif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102100"/>
                <wp:effectExtent l="0" t="0" r="0" b="0"/>
                <wp:docPr id="13" name="Рисунок 1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120130" cy="410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1.9pt;height:323.0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1245"/>
        <w:ind w:firstLine="0"/>
        <w:jc w:val="center"/>
        <w:rPr>
          <w:rFonts w:eastAsia="Liberation Serif" w:cs="Liberation Serif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 w:themeColor="text1"/>
        </w:rPr>
        <w:t xml:space="preserve">Рисунок 2.4.1 – Варианты маршрутов прохождения трубопроводов (трасс) по территории с. Красноселькуп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Трассы прокладки перспективных канализационных сетей следует выбирать с учётом обеспечения кратчайшего расстояния до точек подключения перспективных абонентов, рельефа местности, искусственных и естественных преград.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Трассы прокладки перспективных канализационных сетей и места расположения площадок иных объектов централизованных систем водоотведения подлежат уточнению и корректировке на стадии проектирования объектов.</w:t>
      </w:r>
      <w:bookmarkEnd w:id="143"/>
      <w:r/>
      <w:r/>
    </w:p>
    <w:p>
      <w:pPr>
        <w:pStyle w:val="1075"/>
      </w:pPr>
      <w:r/>
      <w:bookmarkStart w:id="144" w:name="_Toc142312641"/>
      <w:r>
        <w:t xml:space="preserve">Границы и характеристики охранных зон сетей и сооружений централизованной системы водоотведения.</w:t>
      </w:r>
      <w:bookmarkEnd w:id="14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Для канализационных сетей и прочих объектов ЦС ВО в соответствии с действующими в сфере централизованного водоотведения нормативными правовыми актами термин «охранная зона» не применяется.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 строительстве канализационных сетей и прочих объектов ЦС ВО на территории с. Красноселькуп нормативные требова</w:t>
      </w:r>
      <w:r>
        <w:rPr>
          <w:rFonts w:eastAsia="Liberation Serif" w:cs="Liberation Serif"/>
          <w:color w:val="000000" w:themeColor="text1"/>
        </w:rPr>
        <w:t xml:space="preserve">ния к размерам занимаемых площадей (размерам земельных участков), размерам санитарно-защитных зон, минимальным расстояниям по горизонтали (в свету) до прочих объектов, а также иные пространственные ограничения и правила должны приниматься в соответствии с:</w:t>
      </w:r>
      <w:r/>
    </w:p>
    <w:p>
      <w:pPr>
        <w:pStyle w:val="1245"/>
        <w:numPr>
          <w:ilvl w:val="0"/>
          <w:numId w:val="3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СП 42.13330.2016 «СНиП 2.07.01</w:t>
      </w:r>
      <w:r>
        <w:rPr>
          <w:rFonts w:eastAsia="Liberation Serif" w:cs="Liberation Serif"/>
          <w:color w:val="000000" w:themeColor="text1"/>
        </w:rPr>
        <w:noBreakHyphen/>
        <w:t xml:space="preserve">89* Градостроительство. Планировка и застройка городских и сельских поселений», утвержденный приказом Министерства строительства и жилищно-коммунального хозяйства Российской Федерации от 30.12.2016 № 1034/пр «Об утверждении СП 42.13330 «СНиП 2.07.01</w:t>
      </w:r>
      <w:r>
        <w:rPr>
          <w:rFonts w:eastAsia="Liberation Serif" w:cs="Liberation Serif"/>
          <w:color w:val="000000" w:themeColor="text1"/>
        </w:rPr>
        <w:noBreakHyphen/>
        <w:t xml:space="preserve">89* Градостроительство. Планировка и застройка городских и сельских поселений»;</w:t>
      </w:r>
      <w:r/>
    </w:p>
    <w:p>
      <w:pPr>
        <w:pStyle w:val="1245"/>
        <w:numPr>
          <w:ilvl w:val="0"/>
          <w:numId w:val="3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СП 32.13330.2018;</w:t>
      </w:r>
      <w:r/>
    </w:p>
    <w:p>
      <w:pPr>
        <w:pStyle w:val="1245"/>
        <w:numPr>
          <w:ilvl w:val="0"/>
          <w:numId w:val="3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СП 129.13330.2019 «СНиП 3.05.04</w:t>
      </w:r>
      <w:r>
        <w:rPr>
          <w:rFonts w:eastAsia="Liberation Serif" w:cs="Liberation Serif"/>
          <w:color w:val="000000" w:themeColor="text1"/>
        </w:rPr>
        <w:noBreakHyphen/>
        <w:t xml:space="preserve">85* Наружные сети и сооружения водоснабжения и канализации», утвержденный приказом Министерства строительства и жилищно-коммунального хозяйства Российской Федерации от 31.12.2019 № 925/пр «Об утверждении СП 129.13330.2019 «СНиП 3.05.04</w:t>
      </w:r>
      <w:r>
        <w:rPr>
          <w:rFonts w:eastAsia="Liberation Serif" w:cs="Liberation Serif"/>
          <w:color w:val="000000" w:themeColor="text1"/>
        </w:rPr>
        <w:noBreakHyphen/>
        <w:t xml:space="preserve">85* Наружные сети и сооружения водоснабжения и канализации»;</w:t>
      </w:r>
      <w:r/>
    </w:p>
    <w:p>
      <w:pPr>
        <w:pStyle w:val="1245"/>
        <w:numPr>
          <w:ilvl w:val="0"/>
          <w:numId w:val="3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СП</w:t>
      </w:r>
      <w:r>
        <w:rPr>
          <w:rFonts w:eastAsia="Liberation Serif" w:cs="Liberation Serif"/>
          <w:color w:val="000000" w:themeColor="text1"/>
          <w:lang w:val="en-US"/>
        </w:rPr>
        <w:t xml:space="preserve"> </w:t>
      </w:r>
      <w:r>
        <w:rPr>
          <w:rFonts w:eastAsia="Liberation Serif" w:cs="Liberation Serif"/>
          <w:color w:val="000000" w:themeColor="text1"/>
        </w:rPr>
        <w:t xml:space="preserve">18.13330.2019 «Производственные объекты. Планировочная организация земельного участка» (СНиП</w:t>
      </w:r>
      <w:r>
        <w:rPr>
          <w:rFonts w:eastAsia="Liberation Serif" w:cs="Liberation Serif"/>
          <w:color w:val="000000" w:themeColor="text1"/>
          <w:lang w:val="en-US"/>
        </w:rPr>
        <w:t xml:space="preserve"> </w:t>
      </w:r>
      <w:r>
        <w:rPr>
          <w:rFonts w:eastAsia="Liberation Serif" w:cs="Liberation Serif"/>
          <w:color w:val="000000" w:themeColor="text1"/>
        </w:rPr>
        <w:t xml:space="preserve">П</w:t>
      </w:r>
      <w:r>
        <w:rPr>
          <w:rFonts w:eastAsia="Liberation Serif" w:cs="Liberation Serif"/>
          <w:color w:val="000000" w:themeColor="text1"/>
        </w:rPr>
        <w:noBreakHyphen/>
        <w:t xml:space="preserve">89</w:t>
      </w:r>
      <w:r>
        <w:rPr>
          <w:rFonts w:eastAsia="Liberation Serif" w:cs="Liberation Serif"/>
          <w:color w:val="000000" w:themeColor="text1"/>
        </w:rPr>
        <w:noBreakHyphen/>
        <w:t xml:space="preserve">80* «Генеральные планы промышленных предприятий»)», утвержденный приказом Министерства строительства и жилищно-коммунального хозяйства Российской Федерации от 17.09.2019 № 544/пр «Об утверждении СП</w:t>
      </w:r>
      <w:r>
        <w:rPr>
          <w:rFonts w:eastAsia="Liberation Serif" w:cs="Liberation Serif"/>
          <w:color w:val="000000" w:themeColor="text1"/>
          <w:lang w:val="en-US"/>
        </w:rPr>
        <w:t xml:space="preserve"> </w:t>
      </w:r>
      <w:r>
        <w:rPr>
          <w:rFonts w:eastAsia="Liberation Serif" w:cs="Liberation Serif"/>
          <w:color w:val="000000" w:themeColor="text1"/>
        </w:rPr>
        <w:t xml:space="preserve">18.13330.2019 «Производственные объекты. Планировочная организация земельного участка» (СНиП</w:t>
      </w:r>
      <w:r>
        <w:rPr>
          <w:rFonts w:eastAsia="Liberation Serif" w:cs="Liberation Serif"/>
          <w:color w:val="000000" w:themeColor="text1"/>
          <w:lang w:val="en-US"/>
        </w:rPr>
        <w:t xml:space="preserve"> </w:t>
      </w:r>
      <w:r>
        <w:rPr>
          <w:rFonts w:eastAsia="Liberation Serif" w:cs="Liberation Serif"/>
          <w:color w:val="000000" w:themeColor="text1"/>
        </w:rPr>
        <w:t xml:space="preserve">П</w:t>
      </w:r>
      <w:r>
        <w:rPr>
          <w:rFonts w:eastAsia="Liberation Serif" w:cs="Liberation Serif"/>
          <w:color w:val="000000" w:themeColor="text1"/>
        </w:rPr>
        <w:noBreakHyphen/>
        <w:t xml:space="preserve">89</w:t>
      </w:r>
      <w:r>
        <w:rPr>
          <w:rFonts w:eastAsia="Liberation Serif" w:cs="Liberation Serif"/>
          <w:color w:val="000000" w:themeColor="text1"/>
        </w:rPr>
        <w:noBreakHyphen/>
        <w:t xml:space="preserve">80* «Генеральные планы промышленных предприятий»)»;</w:t>
      </w:r>
      <w:r/>
    </w:p>
    <w:p>
      <w:pPr>
        <w:pStyle w:val="1245"/>
        <w:numPr>
          <w:ilvl w:val="0"/>
          <w:numId w:val="34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СанПиН 2.2.1/2.1.1.1200</w:t>
      </w:r>
      <w:r>
        <w:rPr>
          <w:rFonts w:eastAsia="Liberation Serif" w:cs="Liberation Serif"/>
          <w:color w:val="000000" w:themeColor="text1"/>
        </w:rPr>
        <w:noBreakHyphen/>
        <w:t xml:space="preserve">03.</w:t>
      </w:r>
      <w:r/>
    </w:p>
    <w:p>
      <w:pPr>
        <w:pStyle w:val="1075"/>
      </w:pPr>
      <w:r/>
      <w:bookmarkStart w:id="145" w:name="_Toc142312642"/>
      <w:r>
        <w:t xml:space="preserve">Границы планируемых зон размещения объектов централизованной системы водоотведения.</w:t>
      </w:r>
      <w:bookmarkEnd w:id="145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/>
      <w:bookmarkStart w:id="146" w:name="_Hlk112407618"/>
      <w:r>
        <w:rPr>
          <w:rFonts w:eastAsia="Liberation Serif" w:cs="Liberation Serif"/>
          <w:color w:val="000000" w:themeColor="text1"/>
        </w:rPr>
        <w:t xml:space="preserve">Границы планируемых зон размещения объектов ЦС ВО по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приведены выше в подраздел</w:t>
      </w:r>
      <w:hyperlink w:tooltip="#_Описание_вариантов_маршрутов" w:anchor="_Описание_вариантов_маршрутов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е 2.4.6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bookmarkEnd w:id="146"/>
      <w:r>
        <w:rPr>
          <w:rFonts w:eastAsia="Liberation Serif" w:cs="Liberation Serif"/>
          <w:color w:val="000000" w:themeColor="text1"/>
        </w:rPr>
        <w:t xml:space="preserve"> </w:t>
      </w:r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47" w:name="_Toc142312643"/>
      <w:r>
        <w:t xml:space="preserve">Экологические аспекты мероприятий по строительству и реконструкции объектов централизованной системы водоотведения</w:t>
      </w:r>
      <w:bookmarkEnd w:id="147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48" w:name="_Toc142312644"/>
      <w:r>
        <w:t xml:space="preserve"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среды.</w:t>
      </w:r>
      <w:bookmarkEnd w:id="14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49" w:name="_Toc142312645"/>
      <w:r>
        <w:t xml:space="preserve">Сведения о применении методов, безопасных для окружающей среды, при утилизации осадков сточных вод.</w:t>
      </w:r>
      <w:bookmarkEnd w:id="149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При реализации предлагаемого варианта развития ВО на территории </w:t>
      </w:r>
      <w:r>
        <w:rPr>
          <w:rFonts w:eastAsia="Liberation Serif" w:cs="Liberation Serif"/>
          <w:color w:val="000000" w:themeColor="text1"/>
        </w:rPr>
        <w:br/>
        <w:t xml:space="preserve">с. Красноселькуп, в рамках предусматриваемого мероприятия по строительству КОС образующийся в резу</w:t>
      </w:r>
      <w:r>
        <w:rPr>
          <w:rFonts w:eastAsia="Liberation Serif" w:cs="Liberation Serif"/>
          <w:color w:val="000000" w:themeColor="text1"/>
        </w:rPr>
        <w:t xml:space="preserve">льтате очистки осадок предлагается складировать на специализированных площадках, которые должны располагаться на КОС, с целью его подсушивания и возможности дальнейшей утилизации в качестве сельско-хозяйственного удобрения либо в качестве засыпного грунта.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50" w:name="_Toc142312646"/>
      <w:r>
        <w:t xml:space="preserve"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50"/>
      <w:r/>
      <w:r/>
    </w:p>
    <w:p>
      <w:pPr>
        <w:pStyle w:val="1245"/>
        <w:jc w:val="left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51" w:name="_Toc142312647"/>
      <w:r>
        <w:t xml:space="preserve">Оценка потребности в капитальных вложениях</w:t>
      </w:r>
      <w:r>
        <w:t xml:space="preserve">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</w:t>
      </w:r>
      <w:r>
        <w:t xml:space="preserve">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финансирования.</w:t>
      </w:r>
      <w:bookmarkEnd w:id="151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водоотведения произведена в соответствии со следующими нормативными правовыми актами:</w:t>
      </w:r>
      <w:r/>
    </w:p>
    <w:p>
      <w:pPr>
        <w:pStyle w:val="1245"/>
        <w:numPr>
          <w:ilvl w:val="0"/>
          <w:numId w:val="30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81-02-14-20</w:t>
      </w:r>
      <w:r>
        <w:rPr>
          <w:rStyle w:val="1246"/>
        </w:rPr>
        <w:t xml:space="preserve">23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канализационных сетей в соответствии с НЦС 81-02-14-</w:t>
      </w:r>
      <w:r>
        <w:rPr>
          <w:rStyle w:val="1246"/>
        </w:rPr>
        <w:t xml:space="preserve">2023 </w:t>
      </w:r>
      <w:r>
        <w:rPr>
          <w:szCs w:val="28"/>
        </w:rPr>
        <w:t xml:space="preserve">приняты следующие положения: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канализационных сетей из полиэтиленовых труб;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без креплений (группа грунтов 1-3, глубина – 3м);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</w:t>
      </w:r>
      <w:r>
        <w:rPr>
          <w:rStyle w:val="1246"/>
        </w:rPr>
        <w:t xml:space="preserve">1,53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Kпер/зон=0,98;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1,04;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водоотведения в соответствии с НЦС 81-02-19-</w:t>
      </w:r>
      <w:r>
        <w:rPr>
          <w:rStyle w:val="1246"/>
        </w:rPr>
        <w:t xml:space="preserve">2023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rPr>
          <w:rStyle w:val="1246"/>
        </w:rPr>
        <w:t xml:space="preserve">,46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приведения стоимостей мероприятий от цен 20</w:t>
      </w:r>
      <w:r>
        <w:rPr>
          <w:rStyle w:val="1246"/>
        </w:rPr>
        <w:t xml:space="preserve">23</w:t>
      </w:r>
      <w:r>
        <w:rPr>
          <w:szCs w:val="28"/>
        </w:rPr>
        <w:t xml:space="preserve">г. к ценам лет их реализации применены определённые в соответствии Прогнозом социально-экономического развития Российской Федерации на пе</w:t>
      </w:r>
      <w:r>
        <w:rPr>
          <w:szCs w:val="28"/>
        </w:rPr>
        <w:t xml:space="preserve">риод до 2036 года 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2.6.1. </w:t>
      </w:r>
      <w:r/>
    </w:p>
    <w:p>
      <w:pPr>
        <w:pStyle w:val="1340"/>
        <w:keepLines/>
        <w:keepNext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tabs>
          <w:tab w:val="left" w:pos="992" w:leader="none"/>
        </w:tabs>
        <w:rPr>
          <w:color w:val="000000"/>
        </w:rPr>
      </w:pPr>
      <w:r>
        <w:rPr>
          <w:b/>
          <w:bCs/>
          <w:szCs w:val="28"/>
        </w:rPr>
        <w:t xml:space="preserve">Таблица 2.6.1 – Применённые для приведения стоимостей мероприятий от цен </w:t>
      </w:r>
      <w:r>
        <w:rPr>
          <w:rStyle w:val="1246"/>
          <w:b/>
          <w:bCs/>
        </w:rPr>
        <w:t xml:space="preserve">2023</w:t>
      </w:r>
      <w:r>
        <w:rPr>
          <w:b/>
          <w:bCs/>
          <w:szCs w:val="28"/>
        </w:rPr>
        <w:t xml:space="preserve">г. к ценам лет их реализации индексы-дефляторы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Оценка потребности в капитальных вложениях в строительство и реконструкцию объектов центр</w:t>
      </w:r>
      <w:r>
        <w:rPr>
          <w:rFonts w:eastAsia="Liberation Serif" w:cs="Liberation Serif"/>
          <w:color w:val="000000" w:themeColor="text1"/>
        </w:rPr>
        <w:t xml:space="preserve">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</w:t>
      </w:r>
      <w:r>
        <w:rPr>
          <w:rFonts w:eastAsia="Liberation Serif" w:cs="Liberation Serif"/>
          <w:color w:val="000000" w:themeColor="text1"/>
        </w:rPr>
        <w:t xml:space="preserve">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с. Красноселькуп, приведена в таблице 2.6.2.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  <w:sectPr>
          <w:footerReference w:type="default" r:id="rId17"/>
          <w:footnotePr/>
          <w:endnotePr/>
          <w:type w:val="nextPage"/>
          <w:pgSz w:w="11906" w:h="16838" w:orient="portrait"/>
          <w:pgMar w:top="1134" w:right="567" w:bottom="1134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2.6.2 – Оценка потребности в капитальных вложениях в строительство и </w:t>
      </w:r>
      <w:r>
        <w:rPr>
          <w:rFonts w:eastAsia="Liberation Serif" w:cs="Liberation Serif"/>
          <w:color w:val="000000" w:themeColor="text1"/>
        </w:rPr>
        <w:t xml:space="preserve">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</w:t>
      </w:r>
      <w:r>
        <w:rPr>
          <w:rFonts w:eastAsia="Liberation Serif" w:cs="Liberation Serif"/>
          <w:color w:val="000000" w:themeColor="text1"/>
        </w:rPr>
        <w:t xml:space="preserve">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с. Красноселькуп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4"/>
        <w:gridCol w:w="2850"/>
        <w:gridCol w:w="658"/>
        <w:gridCol w:w="658"/>
        <w:gridCol w:w="658"/>
        <w:gridCol w:w="658"/>
        <w:gridCol w:w="770"/>
        <w:gridCol w:w="709"/>
        <w:gridCol w:w="567"/>
        <w:gridCol w:w="586"/>
        <w:gridCol w:w="659"/>
        <w:gridCol w:w="658"/>
        <w:gridCol w:w="658"/>
        <w:gridCol w:w="658"/>
        <w:gridCol w:w="658"/>
        <w:gridCol w:w="658"/>
        <w:gridCol w:w="568"/>
        <w:gridCol w:w="567"/>
        <w:gridCol w:w="840"/>
      </w:tblGrid>
      <w:tr>
        <w:trPr>
          <w:trHeight w:val="20"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4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№ п.п.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2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1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798"/>
        </w:trPr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54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left w:val="single" w:color="auto" w:sz="6" w:space="0"/>
              <w:right w:val="single" w:color="auto" w:sz="6" w:space="0"/>
            </w:tcBorders>
            <w:tcW w:w="2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2023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2024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2025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2026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2027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2028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2029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2030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2031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2032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2033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2034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2035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2036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2037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2038 г.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Итого</w:t>
            </w:r>
            <w:r/>
          </w:p>
        </w:tc>
      </w:tr>
      <w:tr>
        <w:trPr>
          <w:trHeight w:val="20"/>
        </w:trPr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7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8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9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10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11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12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13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14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15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16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17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18</w:t>
            </w:r>
            <w:r/>
          </w:p>
        </w:tc>
        <w:tc>
          <w:tcPr>
            <w:shd w:val="clear" w:color="auto" w:fill="bfbfbf" w:themeFill="background1" w:themeFillShade="BF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Строительство КОС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20 499,2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625 000,0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549 643,3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1 195 142,5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2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Строительство КНС (2шт.)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10 184,0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10 632,1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11 089,3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31 905,4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3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Строительство самотечно-напорных канализационных сетей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52 484,1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54 793,4</w:t>
            </w:r>
            <w:r/>
          </w:p>
        </w:tc>
        <w:tc>
          <w:tcPr>
            <w:shd w:val="solid" w:color="ffffff" w:fill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cs="Liberation Serif" w:eastAsiaTheme="minorHAnsi"/>
                <w:color w:val="000000"/>
                <w:sz w:val="16"/>
                <w:szCs w:val="16"/>
                <w:lang w:eastAsia="en-US"/>
              </w:rPr>
              <w:t xml:space="preserve">57 149,5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164 427,0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ИТОГО (без учета НДС)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83 167,3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690 425,5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617 882,1</w:t>
            </w:r>
            <w:r/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1 391 474,9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НДС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16 633,5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138 085,1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123 576,4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278 295,0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ИТОГО (с учетом НДС)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99 800,8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7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828 510,6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741 458,5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0,0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Liberation Serif" w:hAnsi="Liberation Serif"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1 669 769,9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  <w:sectPr>
          <w:footnotePr/>
          <w:endnotePr/>
          <w:type w:val="nextPage"/>
          <w:pgSz w:w="16838" w:h="11906" w:orient="landscape"/>
          <w:pgMar w:top="1134" w:right="539" w:bottom="1276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/>
      <w:bookmarkStart w:id="152" w:name="_Плановые_значения_показателей"/>
      <w:r/>
      <w:bookmarkEnd w:id="152"/>
      <w:r>
        <w:rPr>
          <w:rFonts w:eastAsia="Liberation Serif" w:cs="Liberation Serif"/>
          <w:color w:val="000000" w:themeColor="text1"/>
        </w:rPr>
        <w:t xml:space="preserve">Для указанных выше мероприятий в качестве источников финансирования могут рассматриваться:</w:t>
      </w:r>
      <w:r/>
    </w:p>
    <w:p>
      <w:pPr>
        <w:pStyle w:val="1245"/>
        <w:numPr>
          <w:ilvl w:val="0"/>
          <w:numId w:val="3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бюджетные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245"/>
        <w:numPr>
          <w:ilvl w:val="0"/>
          <w:numId w:val="37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собственные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прибыли. </w:t>
      </w:r>
      <w:bookmarkStart w:id="153" w:name="_Плановые_значения_показателей_2"/>
      <w:r/>
      <w:bookmarkEnd w:id="153"/>
      <w:r/>
      <w:r/>
    </w:p>
    <w:p>
      <w:pPr>
        <w:pStyle w:val="1245"/>
        <w:ind w:firstLine="0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54" w:name="_Toc142312648"/>
      <w:r>
        <w:t xml:space="preserve">Цены (тарифы) в сфере водоотведения</w:t>
      </w:r>
      <w:bookmarkEnd w:id="154"/>
      <w:r/>
      <w:r/>
    </w:p>
    <w:p>
      <w:pPr>
        <w:pStyle w:val="1245"/>
        <w:ind w:firstLine="0"/>
        <w:jc w:val="center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55" w:name="_Toc142312649"/>
      <w:r>
        <w:t xml:space="preserve">Динамика утвержд</w:t>
      </w:r>
      <w:r>
        <w:t xml:space="preserve">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лет.</w:t>
      </w:r>
      <w:bookmarkEnd w:id="155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56" w:name="_Toc142312650"/>
      <w:r>
        <w:t xml:space="preserve">Структура цен (тарифов), установленных на момент актуализации схемы водоотведения.</w:t>
      </w:r>
      <w:bookmarkEnd w:id="15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r/>
    </w:p>
    <w:p>
      <w:pPr>
        <w:pStyle w:val="1075"/>
      </w:pPr>
      <w:r/>
      <w:bookmarkStart w:id="157" w:name="_Toc142312651"/>
      <w:r>
        <w:t xml:space="preserve">Плата за подключение к системе водоотведения и поступление денежных средств от осуществления деятельности по водоотведению.</w:t>
      </w:r>
      <w:bookmarkEnd w:id="15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 </w:t>
      </w:r>
      <w:bookmarkStart w:id="158" w:name="_Плановые_значения_показателей_5"/>
      <w:r/>
      <w:bookmarkEnd w:id="15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59" w:name="_Toc142312652"/>
      <w:r>
        <w:t xml:space="preserve">Плановые значения показателей развития централизованных систем водоотведения</w:t>
      </w:r>
      <w:bookmarkEnd w:id="159"/>
      <w:r/>
      <w:r/>
    </w:p>
    <w:p>
      <w:pPr>
        <w:pStyle w:val="1245"/>
        <w:jc w:val="center"/>
        <w:rPr>
          <w:rFonts w:eastAsia="Liberation Serif" w:cs="Liberation Serif"/>
          <w:b/>
          <w:color w:val="000000"/>
        </w:rPr>
      </w:pPr>
      <w:r>
        <w:rPr>
          <w:rFonts w:eastAsia="Liberation Serif" w:cs="Liberation Serif"/>
          <w:b/>
          <w:color w:val="000000"/>
        </w:rPr>
      </w:r>
      <w:r/>
    </w:p>
    <w:p>
      <w:pPr>
        <w:pStyle w:val="1245"/>
        <w:rPr>
          <w:rFonts w:eastAsia="Liberation Serif"/>
          <w:color w:val="000000"/>
        </w:rPr>
      </w:pPr>
      <w:r>
        <w:rPr>
          <w:rFonts w:eastAsia="Liberation Serif"/>
        </w:rPr>
        <w:t xml:space="preserve">В соответствии с пунктом 2 Перечня показателе</w:t>
      </w:r>
      <w:r>
        <w:rPr>
          <w:rFonts w:eastAsia="Liberation Serif"/>
        </w:rPr>
        <w:t xml:space="preserve">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утвержденного Приказом Минстроя РФ от 04.04.2014 № 162/пр, к показателям развития ЦС ВО относятся: 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водоотведения: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количество аварий и засоров в расчете на протяженность канализационной сети в год (ед./км);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очистки сточных вод: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(%);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(%);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ьно для </w:t>
      </w:r>
      <w:r>
        <w:rPr>
          <w:rFonts w:eastAsia="Liberation Serif" w:cs="Liberation Serif"/>
          <w:color w:val="000000" w:themeColor="text1"/>
        </w:rPr>
        <w:t xml:space="preserve">централизованной общесплавной (бытовой) и централизованной ливневой систем водоотведения (%);</w:t>
      </w:r>
      <w:r/>
    </w:p>
    <w:p>
      <w:pPr>
        <w:pStyle w:val="1245"/>
        <w:numPr>
          <w:ilvl w:val="0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энергетической эффективности: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/>
      <w:bookmarkStart w:id="160" w:name="_Hlk106138155"/>
      <w:r>
        <w:rPr>
          <w:rFonts w:eastAsia="Liberation Serif" w:cs="Liberation Serif"/>
          <w:color w:val="000000" w:themeColor="text1"/>
        </w:rPr>
        <w:t xml:space="preserve">удельный расход электрической энергии, потребляемой в технологическом процессе очистки сточных вод, на единицу объема очищаемых сточных вод (кВт·ч/м³);</w:t>
      </w:r>
      <w:r/>
    </w:p>
    <w:p>
      <w:pPr>
        <w:pStyle w:val="1245"/>
        <w:numPr>
          <w:ilvl w:val="1"/>
          <w:numId w:val="23"/>
        </w:numPr>
        <w:ind w:left="0" w:firstLine="709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удельный расход электрической энергии, потребляемой в технологическом процессе транспортировке сточных вод, на единицу объема транспортируемых сточных вод (кВт·ч/м³).</w:t>
      </w:r>
      <w:bookmarkEnd w:id="160"/>
      <w:r/>
      <w:r/>
    </w:p>
    <w:p>
      <w:pPr>
        <w:pStyle w:val="1245"/>
        <w:tabs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Плановые значения показателей развития ЦС ВО с. Красноселькуп приведены в таблице 2.8.1.</w:t>
      </w:r>
      <w:r/>
    </w:p>
    <w:p>
      <w:pPr>
        <w:pStyle w:val="1230"/>
        <w:spacing w:before="0"/>
        <w:rPr>
          <w:rFonts w:eastAsia="Liberation Serif" w:cs="Liberation Serif"/>
          <w:color w:val="000000"/>
        </w:rPr>
        <w:sectPr>
          <w:headerReference w:type="default" r:id="rId12"/>
          <w:footerReference w:type="default" r:id="rId18"/>
          <w:footnotePr/>
          <w:endnotePr/>
          <w:type w:val="nextPage"/>
          <w:pgSz w:w="11906" w:h="16838" w:orient="portrait"/>
          <w:pgMar w:top="1134" w:right="567" w:bottom="1134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230"/>
        <w:jc w:val="right"/>
        <w:spacing w:before="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Таблица 2.8.1 – Плановые значения показателей развития ЦС ВО с. Красноселькуп</w:t>
      </w:r>
      <w:r/>
    </w:p>
    <w:p>
      <w:pPr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color w:val="000000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3"/>
        <w:gridCol w:w="3016"/>
        <w:gridCol w:w="625"/>
        <w:gridCol w:w="944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4"/>
        <w:gridCol w:w="554"/>
        <w:gridCol w:w="554"/>
        <w:gridCol w:w="557"/>
      </w:tblGrid>
      <w:tr>
        <w:trPr>
          <w:trHeight w:val="630"/>
          <w:tblHeader/>
        </w:trPr>
        <w:tc>
          <w:tcPr>
            <w:shd w:val="clear" w:color="000000" w:fill="bfbfbf"/>
            <w:tcW w:w="2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108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W w:w="2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Фактические значения</w:t>
            </w:r>
            <w:r/>
          </w:p>
        </w:tc>
        <w:tc>
          <w:tcPr>
            <w:gridSpan w:val="16"/>
            <w:shd w:val="clear" w:color="000000" w:fill="bfbfbf"/>
            <w:tcW w:w="32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Плановые значения</w:t>
            </w:r>
            <w:r/>
          </w:p>
        </w:tc>
      </w:tr>
      <w:tr>
        <w:trPr>
          <w:trHeight w:val="765"/>
          <w:tblHeader/>
        </w:trPr>
        <w:tc>
          <w:tcPr>
            <w:tcW w:w="204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W w:w="1084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W w:w="204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bfbfbf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1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Показатели надежности и бесперебойности водоотведения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1.1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Количество аварий и засоров в расчете на протяженность канализационной сети в год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ед./км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2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Показатели очистки сточных вод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2.1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2.2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2.3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Доля проб сточных вод, не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3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  <w:lang w:eastAsia="en-US"/>
              </w:rPr>
              <w:t xml:space="preserve">Показатели энергетической эффективности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3.1</w:t>
            </w:r>
            <w:r/>
          </w:p>
        </w:tc>
        <w:tc>
          <w:tcPr>
            <w:shd w:val="clear" w:color="auto" w:fill="auto"/>
            <w:tcW w:w="10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  <w:lang w:eastAsia="en-US"/>
              </w:rPr>
              <w:t xml:space="preserve">Удельный расход электрической энергии, потребляемой в технологических процессах очистки и транспортировки сточных вод, на единицу объема соответственно очищаемых и транспортируемых сточных вод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кВт·ч/м³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  <w:tc>
          <w:tcPr>
            <w:shd w:val="clear" w:color="auto" w:fill="auto"/>
            <w:tcW w:w="2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</w:t>
            </w:r>
            <w:r/>
          </w:p>
        </w:tc>
      </w:tr>
    </w:tbl>
    <w:p>
      <w:pPr>
        <w:pStyle w:val="1245"/>
        <w:rPr>
          <w:rFonts w:eastAsia="Liberation Serif" w:cs="Liberation Serif"/>
          <w:color w:val="000000"/>
        </w:rPr>
        <w:sectPr>
          <w:headerReference w:type="default" r:id="rId13"/>
          <w:footnotePr/>
          <w:endnotePr/>
          <w:type w:val="nextPage"/>
          <w:pgSz w:w="16838" w:h="11906" w:orient="landscape"/>
          <w:pgMar w:top="1134" w:right="1134" w:bottom="567" w:left="1701" w:header="567" w:footer="510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61" w:name="_Toc142312653"/>
      <w:r>
        <w:t xml:space="preserve">Показатели надежности и бесперебойности водоотведения.</w:t>
      </w:r>
      <w:bookmarkEnd w:id="161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надежности и бесперебойности водоотведения по ЦС ВО </w:t>
      </w:r>
      <w:r>
        <w:rPr>
          <w:rFonts w:eastAsia="Liberation Serif" w:cs="Liberation Serif"/>
          <w:color w:val="000000" w:themeColor="text1"/>
        </w:rPr>
        <w:br/>
        <w:t xml:space="preserve">с. Красноселькуп приведены выше в начале раздел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а 2.8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162" w:name="_Toc142312654"/>
      <w:r>
        <w:t xml:space="preserve">Показатели качества обслуживания абонентов.</w:t>
      </w:r>
      <w:bookmarkEnd w:id="162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данного показателя не предусматривается в рамках на</w:t>
      </w:r>
      <w:r>
        <w:rPr>
          <w:rFonts w:eastAsia="Liberation Serif" w:cs="Liberation Serif"/>
          <w:color w:val="000000" w:themeColor="text1"/>
        </w:rPr>
        <w:t xml:space="preserve">стоящей актуализации Схемы ВСиВО с. Красноселькуп в соответствии с Федеральным законом Российской Федерации от 07.05.2013 № 103-ФЗ «О концессионных соглашениях», регламентирующим исключение данного показателя с 01.01.2014г. из ФЗ РФ от 07.12.2011 № 416-ФЗ.</w:t>
      </w:r>
      <w:r/>
    </w:p>
    <w:p>
      <w:pPr>
        <w:pStyle w:val="1075"/>
      </w:pPr>
      <w:r/>
      <w:bookmarkStart w:id="163" w:name="_Toc142312655"/>
      <w:r>
        <w:t xml:space="preserve">Показатели очистки сточных вод.</w:t>
      </w:r>
      <w:bookmarkEnd w:id="163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очистки сточных вод по ЦС ВО с. Красноселькуп приведены выше в начале раздел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а 2.8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164" w:name="_Toc142312656"/>
      <w:r>
        <w:t xml:space="preserve">Показатели эффективности использования ресурсов при транспортировке сточных вод.</w:t>
      </w:r>
      <w:bookmarkEnd w:id="16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Показатели эффективности использования ресурсов при транспортировке сточных вод по ЦС ВО с. Красноселькуп приведены выше в начале </w:t>
      </w:r>
      <w:hyperlink w:tooltip="#_Плановые_значения_показателей_5" w:anchor="_Плановые_значения_показателей_5" w:history="1">
        <w:r>
          <w:rPr>
            <w:rStyle w:val="1267"/>
            <w:rFonts w:eastAsia="Liberation Serif" w:cs="Liberation Serif"/>
            <w:color w:val="000000" w:themeColor="text1"/>
            <w:u w:val="none"/>
          </w:rPr>
          <w:t xml:space="preserve">раздела 2.8</w:t>
        </w:r>
      </w:hyperlink>
      <w:r>
        <w:rPr>
          <w:rFonts w:eastAsia="Liberation Serif" w:cs="Liberation Serif"/>
          <w:color w:val="000000" w:themeColor="text1"/>
        </w:rPr>
        <w:t xml:space="preserve">.</w:t>
      </w:r>
      <w:r/>
    </w:p>
    <w:p>
      <w:pPr>
        <w:pStyle w:val="1075"/>
      </w:pPr>
      <w:r/>
      <w:bookmarkStart w:id="165" w:name="_Toc142312657"/>
      <w:r>
        <w:t xml:space="preserve">Соотношение цены реализации мероприятий инвестиционной программы и их эффективности - улучшение качества очистки сточных вод.</w:t>
      </w:r>
      <w:bookmarkEnd w:id="165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Расчет данного показателя не предусматривается в рамках на</w:t>
      </w:r>
      <w:r>
        <w:rPr>
          <w:rFonts w:eastAsia="Liberation Serif" w:cs="Liberation Serif"/>
          <w:color w:val="000000" w:themeColor="text1"/>
        </w:rPr>
        <w:t xml:space="preserve">стоящей актуализации Схемы ВСиВО с. Красноселькуп в соответствии с Федеральным законом Российской Федерации от 07.05.2013 № 103-ФЗ «О концессионных соглашениях», регламентирующим исключение данного показателя с 01.01.2014г. из ФЗ РФ от 07.12.2011 № 416-ФЗ.</w:t>
      </w:r>
      <w:r/>
    </w:p>
    <w:p>
      <w:pPr>
        <w:pStyle w:val="1075"/>
      </w:pPr>
      <w:r/>
      <w:bookmarkStart w:id="166" w:name="_Toc142312658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166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Федеральным органом исполнительной власти, осуществляющим функции по выработ</w:t>
      </w:r>
      <w:r>
        <w:rPr>
          <w:rFonts w:eastAsia="Liberation Serif" w:cs="Liberation Serif"/>
          <w:color w:val="000000" w:themeColor="text1"/>
        </w:rPr>
        <w:t xml:space="preserve">ке государственной политики и нормативно-правовому регулированию в сфере жилищно-коммунального хозяйства, иные показатели функционирования в сфере централизованного водоотведения на момент настоящей актуализации Схемы ВСиВО с. Красноселькуп не установлены.</w:t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167" w:name="_Toc142312659"/>
      <w:r>
        <w:t xml:space="preserve"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67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168" w:name="_Toc142312660"/>
      <w:r>
        <w:t xml:space="preserve">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</w:r>
      <w:bookmarkEnd w:id="168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ЦС ВО на территории с. Красноселькуп отсутствуют.</w:t>
      </w:r>
      <w:bookmarkEnd w:id="1"/>
      <w:r/>
      <w:r/>
    </w:p>
    <w:p>
      <w:pPr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br w:type="page" w:clear="all"/>
      </w:r>
      <w:r/>
    </w:p>
    <w:p>
      <w:pPr>
        <w:pStyle w:val="2167"/>
        <w:rPr>
          <w:rFonts w:asciiTheme="minorHAnsi" w:hAnsiTheme="minorHAnsi"/>
        </w:rPr>
      </w:pPr>
      <w:r>
        <w:t xml:space="preserve"> </w:t>
      </w:r>
      <w:bookmarkStart w:id="169" w:name="_Toc142312661"/>
      <w:r>
        <w:t xml:space="preserve">Том 2. СЕЛО ТОЛЬКА</w:t>
      </w:r>
      <w:bookmarkEnd w:id="169"/>
      <w:r/>
      <w:r/>
    </w:p>
    <w:p>
      <w:pPr>
        <w:pStyle w:val="1340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073"/>
        <w:numPr>
          <w:ilvl w:val="0"/>
          <w:numId w:val="112"/>
        </w:numPr>
        <w:rPr>
          <w:color w:val="000000"/>
        </w:rPr>
      </w:pPr>
      <w:r/>
      <w:bookmarkStart w:id="170" w:name="_Toc109995749"/>
      <w:r/>
      <w:bookmarkStart w:id="171" w:name="_Toc142312662"/>
      <w:r>
        <w:t xml:space="preserve">Схема водоснабжения</w:t>
      </w:r>
      <w:bookmarkEnd w:id="170"/>
      <w:r/>
      <w:bookmarkEnd w:id="171"/>
      <w:r/>
      <w:r/>
    </w:p>
    <w:p>
      <w:pPr>
        <w:pStyle w:val="1340"/>
        <w:jc w:val="center"/>
        <w:tabs>
          <w:tab w:val="left" w:pos="4814" w:leader="none"/>
          <w:tab w:val="left" w:pos="6301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rFonts w:asciiTheme="minorHAnsi" w:hAnsiTheme="minorHAnsi"/>
        </w:rPr>
      </w:pPr>
      <w:r/>
      <w:bookmarkStart w:id="172" w:name="_Toc109995750"/>
      <w:r/>
      <w:bookmarkStart w:id="173" w:name="_Toc142312663"/>
      <w:r>
        <w:t xml:space="preserve">Технико-экономическое состояние централизованных систем водоснабжения</w:t>
      </w:r>
      <w:bookmarkEnd w:id="172"/>
      <w:r/>
      <w:bookmarkEnd w:id="173"/>
      <w:r/>
      <w:r/>
    </w:p>
    <w:p>
      <w:pPr>
        <w:pStyle w:val="1464"/>
      </w:pPr>
      <w:r/>
      <w:r/>
    </w:p>
    <w:p>
      <w:pPr>
        <w:pStyle w:val="1075"/>
      </w:pPr>
      <w:r/>
      <w:bookmarkStart w:id="174" w:name="_Toc109995751"/>
      <w:r/>
      <w:bookmarkStart w:id="175" w:name="_Toc142312664"/>
      <w:r/>
      <w:bookmarkStart w:id="176" w:name="_GoBack"/>
      <w:r/>
      <w:bookmarkEnd w:id="176"/>
      <w:r>
        <w:t xml:space="preserve">Описание системы и структуры водоснабжения и деление территории на эксплуатационные зоны.</w:t>
      </w:r>
      <w:bookmarkEnd w:id="174"/>
      <w:r/>
      <w:bookmarkEnd w:id="175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Перечень организаций ВКХ, осуществляющих эксплуатацию объектов централизованных систем водоснабжения на территории с. Толька, приведен в таблице 1.1.1.</w:t>
      </w:r>
      <w:r/>
    </w:p>
    <w:p>
      <w:pPr>
        <w:pStyle w:val="1340"/>
        <w:keepLines/>
        <w:keepNext/>
      </w:pPr>
      <w:r>
        <w:t xml:space="preserve"> </w:t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1.1.1 – Перечень организаций ВКХ, осуществляющих эксплуатацию объектов централизованных систем водоснабжения на территории 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7"/>
        <w:gridCol w:w="2015"/>
        <w:gridCol w:w="1511"/>
        <w:gridCol w:w="2363"/>
        <w:gridCol w:w="1216"/>
        <w:gridCol w:w="1976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Полное наименование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Сокращенное наименование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Юридический адрес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ИНН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КПП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Виды осуществляемой регулируемой деятельности в сфере водоснабжения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Общество с ограниченной ответственностью «Ямал-Энерго»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ООО «Ямал-Энерго»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629382, Ямало-Ненецкий автономный округ, Красноселькупский р-н, с. Толька, ул. Сидорова, д.1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8912002546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891201001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Холодное водоснабжение</w:t>
            </w:r>
            <w:r/>
          </w:p>
        </w:tc>
      </w:tr>
    </w:tbl>
    <w:p>
      <w:pPr>
        <w:contextualSpacing/>
        <w:ind w:firstLine="709"/>
        <w:jc w:val="both"/>
        <w:spacing w:before="0" w:beforeAutospacing="0" w:after="0" w:afterAutospacing="0" w:line="240" w:lineRule="auto"/>
        <w:rPr>
          <w:rFonts w:ascii="Liberation Serif" w:hAnsi="Liberation Serif" w:eastAsia="Liberation Serif" w:cs="Liberation Serif"/>
          <w:spacing w:val="-1"/>
          <w:sz w:val="28"/>
          <w:szCs w:val="24"/>
          <w:highlight w:val="white"/>
        </w:rPr>
      </w:pPr>
      <w:r>
        <w:rPr>
          <w:rFonts w:ascii="Liberation Serif" w:hAnsi="Liberation Serif" w:eastAsia="Liberation Serif" w:cs="Liberation Serif"/>
          <w:spacing w:val="-1"/>
          <w:sz w:val="28"/>
          <w:szCs w:val="24"/>
          <w:highlight w:val="none"/>
          <w:lang w:eastAsia="ru-RU"/>
        </w:rPr>
      </w:r>
      <w:r>
        <w:rPr>
          <w:rFonts w:ascii="Liberation Serif" w:hAnsi="Liberation Serif" w:eastAsia="Liberation Serif" w:cs="Liberation Serif"/>
          <w:spacing w:val="-1"/>
          <w:sz w:val="28"/>
          <w:szCs w:val="24"/>
          <w:highlight w:val="none"/>
          <w:lang w:eastAsia="ru-RU"/>
        </w:rPr>
      </w:r>
      <w:r/>
    </w:p>
    <w:p>
      <w:pPr>
        <w:pStyle w:val="1340"/>
        <w:rPr>
          <w:szCs w:val="28"/>
          <w:highlight w:val="none"/>
        </w:rPr>
      </w:pPr>
      <w:r>
        <w:rPr>
          <w:szCs w:val="28"/>
        </w:rPr>
        <w:t xml:space="preserve">Структурная схема централизованного водоснабжения с. Толька </w:t>
      </w:r>
      <w:r>
        <w:rPr>
          <w:szCs w:val="28"/>
        </w:rPr>
        <w:t xml:space="preserve">приведена на рисунке 1.1.1.</w:t>
      </w:r>
      <w:r>
        <w:rPr>
          <w:szCs w:val="28"/>
        </w:rPr>
      </w:r>
      <w:r/>
    </w:p>
    <w:p>
      <w:pPr>
        <w:pStyle w:val="1340"/>
        <w:rPr>
          <w:szCs w:val="28"/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340"/>
        <w:ind w:left="0" w:right="0" w:firstLine="0"/>
        <w:jc w:val="center"/>
        <w:rPr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6490" cy="2784391"/>
                <wp:effectExtent l="6350" t="6350" r="6350" b="6350"/>
                <wp:docPr id="14" name="Рисунок 1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9372689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6026490" cy="2784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5pt;height:219.2pt;mso-wrap-distance-left:0.0pt;mso-wrap-distance-top:0.0pt;mso-wrap-distance-right:0.0pt;mso-wrap-distance-bottom:0.0pt;" strokecolor="#000000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1340"/>
        <w:ind w:firstLine="0"/>
        <w:jc w:val="center"/>
        <w:keepLines/>
        <w:rPr>
          <w:b/>
          <w:bCs/>
        </w:rPr>
      </w:pPr>
      <w:r>
        <w:rPr>
          <w:b/>
          <w:bCs/>
        </w:rPr>
        <w:t xml:space="preserve">Рисунок 1.1.1 – Структурная схема централизованного водоснабжения с. Толька</w:t>
      </w:r>
      <w:r/>
    </w:p>
    <w:p>
      <w:pPr>
        <w:pStyle w:val="1340"/>
        <w:ind w:firstLine="0"/>
        <w:jc w:val="center"/>
        <w:keepLines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</w:rPr>
      </w:pPr>
      <w:r>
        <w:t xml:space="preserve"> </w:t>
      </w:r>
      <w:r>
        <w:rPr>
          <w:szCs w:val="28"/>
        </w:rPr>
        <w:t xml:space="preserve">Регулируемые виды деятельности в сфере водоснабжения на территории </w:t>
      </w:r>
      <w:r>
        <w:rPr>
          <w:szCs w:val="28"/>
        </w:rPr>
        <w:br/>
        <w:t xml:space="preserve"> с. Тольк</w:t>
      </w:r>
      <w:r>
        <w:rPr>
          <w:szCs w:val="28"/>
        </w:rPr>
        <w:t xml:space="preserve">а осуществляет единственная организация – ООО «Ямал-Энерго», которая осуществляет цикл операций по водоснабжению питьевой водой, включая транспортировку и подачу воды абонентам. ООО «Ямал-Энерго» образует на территории с. Толька одну эксплуатационную зону.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эксплуатационной зоне ООО «Ямал-Энерго» находятся все объекты ЦС ХВС, посредством которых обеспечивается водоснабжение питьевой водой абонентов на территории с. Толька.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Эксплуатационная зона ООО «Ямал-Энерго» представлена на рисунке 1.1.2.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ind w:firstLine="0"/>
        <w:rPr>
          <w:color w:val="000000"/>
        </w:rPr>
      </w:pPr>
      <w:r>
        <w:rPr>
          <w:rFonts w:eastAsia="Liberation Serif" w:cs="Liberation Serif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4590" cy="6496962"/>
                <wp:effectExtent l="19050" t="19050" r="12700" b="18415"/>
                <wp:docPr id="15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064589" cy="6496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7.5pt;height:511.6pt;mso-wrap-distance-left:0.0pt;mso-wrap-distance-top:0.0pt;mso-wrap-distance-right:0.0pt;mso-wrap-distance-bottom:0.0pt;" strokecolor="#000000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1340"/>
        <w:ind w:firstLine="0"/>
        <w:jc w:val="center"/>
        <w:rPr>
          <w:color w:val="000000"/>
        </w:rPr>
      </w:pPr>
      <w:r>
        <w:rPr>
          <w:b/>
          <w:bCs/>
        </w:rPr>
        <w:t xml:space="preserve">Рисунок 1.1.2 – Эксплуатационная зона ООО «Ямал-Энерго»</w:t>
      </w:r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Объекты ЦС ХВС на территории с. Толька относятся к: ТЗ ВС с. Толька.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Описание ТЗ ВС с. Толька представлено в </w:t>
      </w:r>
      <w:hyperlink w:tooltip="#_Описание_технологических_зон_1" w:anchor="_Описание_технологических_зон_1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1.1.3</w:t>
        </w:r>
      </w:hyperlink>
      <w:r>
        <w:rPr>
          <w:szCs w:val="28"/>
        </w:rPr>
        <w:t xml:space="preserve">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Вода из водозаборных скважин с. Толька с помощью установленных насосных агрегатов поступает на станц</w:t>
      </w:r>
      <w:r>
        <w:rPr>
          <w:szCs w:val="28"/>
        </w:rPr>
        <w:t xml:space="preserve">ии водоподготовки, где проходит предварительная очистка воды перед подачей в водопроводную сеть. Далее очищенная вода подается в распределительную водопроводную сеть для обеспечения хозяйственно-бытовых нужд населения с. Толька. Информация о ЗСО указана в </w:t>
      </w:r>
      <w:hyperlink w:tooltip="#_Описание_состояния_существующих" w:anchor="_Описание_состояния_существующих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пункте 1.1.4.1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177" w:name="_Toc109995752"/>
      <w:r/>
      <w:bookmarkStart w:id="178" w:name="_Toc142312665"/>
      <w:r>
        <w:t xml:space="preserve">Описание территорий населенного пункта, не охваченных централизованными системами водоснабжения</w:t>
      </w:r>
      <w:bookmarkEnd w:id="177"/>
      <w:r>
        <w:t xml:space="preserve">.</w:t>
      </w:r>
      <w:bookmarkEnd w:id="17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Территории с. Толька, не охваченные централизованными системами водоснабжения, отсутствуют.  </w:t>
      </w:r>
      <w:r/>
    </w:p>
    <w:p>
      <w:pPr>
        <w:pStyle w:val="1075"/>
      </w:pPr>
      <w:r/>
      <w:bookmarkStart w:id="179" w:name="_Toc109995753"/>
      <w:r/>
      <w:bookmarkStart w:id="180" w:name="_Toc142312666"/>
      <w:r>
        <w:t xml:space="preserve">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</w:t>
      </w:r>
      <w:bookmarkEnd w:id="179"/>
      <w:r>
        <w:t xml:space="preserve">.</w:t>
      </w:r>
      <w:bookmarkEnd w:id="18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соответствии со статьей 2 главы 1 ФЗ РФ от 07.12.2011 № 416-ФЗ: </w:t>
      </w:r>
      <w:r/>
    </w:p>
    <w:p>
      <w:pPr>
        <w:pStyle w:val="1340"/>
        <w:numPr>
          <w:ilvl w:val="0"/>
          <w:numId w:val="5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централизованная система холодного водоснабжения –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пунктом 2 Требований к содержанию схем водоснабжения и водоотведения, утверждённых ПП РФ от 05.09.2013 № 782: </w:t>
      </w:r>
      <w:r/>
    </w:p>
    <w:p>
      <w:pPr>
        <w:pStyle w:val="1340"/>
        <w:numPr>
          <w:ilvl w:val="0"/>
          <w:numId w:val="5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технологическая зона водоснабжен</w:t>
      </w:r>
      <w:r>
        <w:rPr>
          <w:szCs w:val="28"/>
        </w:rPr>
        <w:t xml:space="preserve">ия – часть водопроводной сети, принадлежащая организации, осуществляющей горячее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Исходя из указанных выше</w:t>
      </w:r>
      <w:r>
        <w:rPr>
          <w:szCs w:val="28"/>
        </w:rPr>
        <w:t xml:space="preserve"> определений, следует сделать вывод о том, что в границах действия одной ЦС ХВС может быть выделено как несколько технологических зон водоснабжения, разграничиваемых по признаку принадлежности (эксплуатационной ответственности) объектов централизованных си</w:t>
      </w:r>
      <w:r>
        <w:rPr>
          <w:szCs w:val="28"/>
        </w:rPr>
        <w:t xml:space="preserve">стем водоснабжения к той или иной организации ВКХ, так и одна технологическая зона в том случае, если все входящие в ЦС ХВС объекты централизованных систем водоснабжения принадлежат (находятся в зоне эксплуатационной ответственности) одной организации ВКХ.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Таким образом, на территории с. Толька выделены следующие технологические зоны водоснабжения:</w:t>
      </w:r>
      <w:r/>
    </w:p>
    <w:p>
      <w:pPr>
        <w:pStyle w:val="1340"/>
        <w:numPr>
          <w:ilvl w:val="0"/>
          <w:numId w:val="5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ТЗ ВС с. Толька.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границах выделенной ТЗ ВС обеспечиваются нормативные значения напора (давления) воды при ее подаче в соответствии с расчетным расходом воды.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состав ТЗ ВС с. Толька входит: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водозаборный комплекс, представленный двумя водозаборными скважинами (№ 1, № 7), расположенные в с. Толька по ул. Надежды, д. 2;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водозаборный комплекс, представленный двумя водозаборными скважинами (№ 1, № 9), расположенные в с. Толька по </w:t>
      </w:r>
      <w:r>
        <w:rPr>
          <w:szCs w:val="28"/>
        </w:rPr>
        <w:br/>
        <w:t xml:space="preserve"> ул. Механизаторов;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водозаборный комплекс, представленный двумя водозаборными скважинами (№ 6, № </w:t>
      </w:r>
      <w:r>
        <w:rPr>
          <w:szCs w:val="28"/>
        </w:rPr>
        <w:t xml:space="preserve">8</w:t>
      </w:r>
      <w:r>
        <w:rPr>
          <w:szCs w:val="28"/>
        </w:rPr>
        <w:t xml:space="preserve">), расположенные в с. Толька по ул. Геофизиков, д. 1;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сооружение из подземного источника, представленное одной водозаборной скважиной (№ </w:t>
      </w:r>
      <w:r>
        <w:rPr>
          <w:szCs w:val="28"/>
        </w:rPr>
        <w:t xml:space="preserve">2</w:t>
      </w:r>
      <w:r>
        <w:rPr>
          <w:szCs w:val="28"/>
        </w:rPr>
        <w:t xml:space="preserve">, наблюдательная), расположенная в </w:t>
      </w:r>
      <w:r>
        <w:rPr>
          <w:szCs w:val="28"/>
        </w:rPr>
        <w:br/>
        <w:t xml:space="preserve"> с. Толька по Солнечная, д. 13;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одна СВП (СКПВ</w:t>
      </w:r>
      <w:r>
        <w:rPr>
          <w:szCs w:val="28"/>
        </w:rPr>
        <w:t xml:space="preserve">-</w:t>
      </w:r>
      <w:r>
        <w:rPr>
          <w:szCs w:val="28"/>
        </w:rPr>
        <w:t xml:space="preserve">250), расположенная </w:t>
      </w:r>
      <w:r>
        <w:rPr>
          <w:szCs w:val="28"/>
        </w:rPr>
        <w:t xml:space="preserve">в c. Толька по ул. Надежды, д. 2 и представляющая собой комплекс технологического оборудования, предназначенного для водоподготовки питьевой воды. В составе СВП находится ВНС II-го подъема, осуществляющая подачу питьевой воды в распределительные сети села;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одна СВП (СКПВ</w:t>
      </w:r>
      <w:r>
        <w:rPr>
          <w:szCs w:val="28"/>
        </w:rPr>
        <w:t xml:space="preserve">-</w:t>
      </w:r>
      <w:r>
        <w:rPr>
          <w:szCs w:val="28"/>
        </w:rPr>
        <w:t xml:space="preserve">500), расположенная </w:t>
      </w:r>
      <w:r>
        <w:rPr>
          <w:szCs w:val="28"/>
        </w:rPr>
        <w:t xml:space="preserve">в c. Толька по ул. Механизаторов и представляющая собой комплекс технологического оборудования, предназначенного для водоподготовки питьевой воды. В составе СВП находится ВНС II-го подъема, осуществляющая подачу питьевой воды в распределительные сети села;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две СВП (СКПВ</w:t>
      </w:r>
      <w:r>
        <w:rPr>
          <w:szCs w:val="28"/>
        </w:rPr>
        <w:t xml:space="preserve">-</w:t>
      </w:r>
      <w:r>
        <w:rPr>
          <w:szCs w:val="28"/>
        </w:rPr>
        <w:t xml:space="preserve">70), расположенная в c. Толька по ул. Геофизиков, </w:t>
      </w:r>
      <w:r>
        <w:rPr>
          <w:szCs w:val="28"/>
        </w:rPr>
        <w:br/>
        <w:t xml:space="preserve"> д. 1 и представляющая собой комплекс технологического оборудования, предназначенного для водоподготовки питьевой воды. В составе СВП находится ВНС II-го подъема, осуществляющая подачу питьевой воды в распределительные сети села;</w:t>
      </w:r>
      <w:r/>
    </w:p>
    <w:p>
      <w:pPr>
        <w:pStyle w:val="1340"/>
        <w:numPr>
          <w:ilvl w:val="0"/>
          <w:numId w:val="5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водопроводные сети суммарной протяженностью 1</w:t>
      </w:r>
      <w:r>
        <w:rPr>
          <w:szCs w:val="28"/>
        </w:rPr>
        <w:t xml:space="preserve">9,55</w:t>
      </w:r>
      <w:r>
        <w:rPr>
          <w:szCs w:val="28"/>
        </w:rPr>
        <w:t xml:space="preserve">км.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Границы ТЗ ВС с. Толька совпадает с эксплуатационной зоной ответственности ООО «Ямал-Энерго», указанной в </w:t>
      </w:r>
      <w:hyperlink w:tooltip="#_Описание_системы_и" w:anchor="_Описание_системы_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1.1.1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181" w:name="_Toc109995754"/>
      <w:r/>
      <w:bookmarkStart w:id="182" w:name="_Toc142312667"/>
      <w:r>
        <w:t xml:space="preserve">Описание</w:t>
      </w:r>
      <w:r>
        <w:t xml:space="preserve"> результатов технического обследования централизованных систем водоснабжения</w:t>
      </w:r>
      <w:bookmarkEnd w:id="181"/>
      <w:r>
        <w:t xml:space="preserve">.</w:t>
      </w:r>
      <w:bookmarkEnd w:id="18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Техническое обследование объектов централизованных систем водоснабжения в соответствии с Требованиями к проведению технического обследования централизованных систем горячего </w:t>
      </w:r>
      <w:r>
        <w:rPr>
          <w:szCs w:val="28"/>
        </w:rPr>
        <w:t xml:space="preserve">водоснабжения, холодного водоснабжения и (или) водоотведения, утвержденными Приказом Минстроя РФ от 05.08.2014 № 437/пр, организациями ВКХ, осуществляющими эксплуатацию объектов централизованных систем водоснабжения на территории с. Толька, не проводилось.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Ниже в пунктах 1.1.4.1-1.1.4.6 приведено описание и характеристики объектов централизованных систем водосн</w:t>
      </w:r>
      <w:r>
        <w:rPr>
          <w:szCs w:val="28"/>
        </w:rPr>
        <w:t xml:space="preserve">абжения, действующих на территории с. Толька, составленное на основании материалов (исходных данных), предоставленных Заказчиком работ и организациями ВКХ, осуществляющими эксплуатацию объектов централизованных систем водоснабжения на территории с. Толька.</w:t>
      </w:r>
      <w:r/>
    </w:p>
    <w:p>
      <w:pPr>
        <w:pStyle w:val="1076"/>
      </w:pPr>
      <w:r/>
      <w:bookmarkStart w:id="183" w:name="_Описание_состояния_существующих"/>
      <w:r/>
      <w:bookmarkStart w:id="184" w:name="_Toc109995755"/>
      <w:r/>
      <w:bookmarkStart w:id="185" w:name="_Toc142312668"/>
      <w:r/>
      <w:bookmarkEnd w:id="183"/>
      <w:r>
        <w:t xml:space="preserve">Описание состояния существующих источников водоснабжения и водозаборных сооружений</w:t>
      </w:r>
      <w:bookmarkEnd w:id="184"/>
      <w:r>
        <w:t xml:space="preserve">.</w:t>
      </w:r>
      <w:bookmarkEnd w:id="185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Источником водоснабжения на территории с. Толька являются подземные воды, представленные семью водозаборными скважинами. По химическому составу подземные в</w:t>
      </w:r>
      <w:r>
        <w:rPr>
          <w:szCs w:val="28"/>
        </w:rPr>
        <w:t xml:space="preserve">оды гидрокарбонатные, сульфатные магниево-кальциевые. Глубина водозаборных скважин составляет 106,5–152м. Все скважины оборудованы деревянными павильонами, обеспечена круглосуточная охрана. Устье каждой скважины имеет обвязку с системой задвижек, датчиком </w:t>
      </w:r>
      <w:r>
        <w:rPr>
          <w:szCs w:val="28"/>
        </w:rPr>
        <w:t xml:space="preserve">давления, водоотводом и водомером. Максимальный разрешенный водоотбор из всех водозаборных скважин установлен в 532м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/сут.</w:t>
      </w:r>
      <w:r/>
    </w:p>
    <w:p>
      <w:pPr>
        <w:pStyle w:val="1340"/>
        <w:rPr>
          <w:rStyle w:val="1246"/>
        </w:rPr>
      </w:pPr>
      <w:r>
        <w:rPr>
          <w:szCs w:val="28"/>
        </w:rPr>
        <w:t xml:space="preserve">Забор воды осуществляется в соответствии с Лицензией </w:t>
      </w:r>
      <w:r>
        <w:t xml:space="preserve">от 0</w:t>
      </w:r>
      <w:r>
        <w:t xml:space="preserve">8</w:t>
      </w:r>
      <w:r>
        <w:t xml:space="preserve">.0</w:t>
      </w:r>
      <w:r>
        <w:t xml:space="preserve">8</w:t>
      </w:r>
      <w:r>
        <w:t xml:space="preserve">.20</w:t>
      </w:r>
      <w:r>
        <w:t xml:space="preserve">14</w:t>
      </w:r>
      <w:r>
        <w:t xml:space="preserve"> СЛХ</w:t>
      </w:r>
      <w:r>
        <w:rPr>
          <w:szCs w:val="28"/>
        </w:rPr>
        <w:t xml:space="preserve"> </w:t>
      </w:r>
      <w:r>
        <w:rPr>
          <w:rStyle w:val="1246"/>
        </w:rPr>
        <w:t xml:space="preserve">02412</w:t>
      </w:r>
      <w:r>
        <w:rPr>
          <w:szCs w:val="28"/>
        </w:rPr>
        <w:t xml:space="preserve"> ВЭ</w:t>
      </w:r>
      <w:r>
        <w:rPr>
          <w:rStyle w:val="1246"/>
        </w:rPr>
        <w:t xml:space="preserve">, срок действия до 01.09.2034</w:t>
      </w:r>
      <w:r>
        <w:rPr>
          <w:rStyle w:val="1246"/>
        </w:rPr>
        <w:t xml:space="preserve">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Для всех водозаборных скважин разработаны проекты ЗСО, включающие в себя 3 пояса ЗСО. I и II пояс ЗСО установлен в радиусе 30м вокруг скважины, III пояс в радиусе 252м. Территории участков водозаборов в пределах I пояса ЗСО представлены</w:t>
      </w:r>
      <w:r>
        <w:rPr>
          <w:szCs w:val="28"/>
        </w:rPr>
        <w:t xml:space="preserve"> спланированной естественной поверхностью земли (отсыпка отсутствует). Площадки огорожены капитальными заборами, очищены от мусора, ухожены и имеют хорошее санитарное состояние. Все скважины расположены в капитальных запирающихся павильонах деревянного исп</w:t>
      </w:r>
      <w:r>
        <w:rPr>
          <w:szCs w:val="28"/>
        </w:rPr>
        <w:t xml:space="preserve">олнения с бетонным полом и обеспечены круглосуточной охраной. В течение 10 лет эксплуатации водозаборных скважин в них не проявились следы бактериального и химического загрязнения, что свидетельствуют о надежной защите водоносного горизонта от загрязнения.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Границы ЗСО водозаборных скважин с. Толька представлены на рисунке 1.1.3.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ind w:firstLine="0"/>
        <w:jc w:val="center"/>
        <w:rPr>
          <w:color w:val="000000"/>
        </w:rPr>
      </w:pPr>
      <w:r>
        <w:rPr>
          <w:rFonts w:eastAsia="Liberation Serif" w:cs="Liberation Serif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41420" cy="5552634"/>
                <wp:effectExtent l="6350" t="6350" r="6350" b="6350"/>
                <wp:docPr id="16" name="Рисунок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83931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4041418" cy="5552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18.2pt;height:437.2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1475"/>
        <w:rPr>
          <w:color w:val="000000"/>
        </w:rPr>
      </w:pPr>
      <w:r>
        <w:t xml:space="preserve">Рисунок 1.1.3 – Границы ЗСО водозаборных скважин с. Толька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  <w:szCs w:val="28"/>
        </w:rPr>
      </w:pPr>
      <w:r>
        <w:rPr>
          <w:szCs w:val="28"/>
        </w:rPr>
        <w:t xml:space="preserve">Перечень водозаборных скважин на территории с. Толька приведен в таблице 1.1.2.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1.1.2 – Перечень водозаборных скважин на территории с. Толька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134"/>
        <w:gridCol w:w="1559"/>
        <w:gridCol w:w="1134"/>
        <w:gridCol w:w="1559"/>
        <w:gridCol w:w="1843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п.п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.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Наименование 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br/>
              <w:t xml:space="preserve"> и адрес водозаборной скважины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Глубина, м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Год ввода в эксплуатацию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Марка насосного агрегата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Дебит водозаборной скважины, м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/час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Характеристика водонапорной башни, </w:t>
            </w:r>
            <w:r>
              <w:rPr>
                <w:rFonts w:ascii="Liberation Serif" w:hAnsi="Liberation Serif"/>
                <w:b/>
                <w:bCs/>
                <w:color w:val="000000" w:themeColor="text1"/>
                <w:sz w:val="20"/>
                <w:szCs w:val="20"/>
              </w:rPr>
              <w:t xml:space="preserve">РдВ</w:t>
            </w:r>
            <w:r>
              <w:rPr>
                <w:color w:val="000000"/>
              </w:rPr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Артезианская скважина № 1, ул. Надежды, д. 2, строение № 1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149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1989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30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Накопительная емкость 700м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 - 1шт.</w:t>
            </w:r>
            <w:r>
              <w:rPr>
                <w:color w:val="00000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Артезианская скважина № 7, ул. Надежды, д. 2, строение № 2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106,5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2005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Накопительная емкость 700м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 – 1шт., накопительная емкость 200м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 - 1шт.</w:t>
            </w:r>
            <w:r>
              <w:rPr>
                <w:color w:val="00000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Водяная скважина № 1, ул. Механизаторов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152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1990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Водяная скважина № 9, ул. Механизаторов Пожарное ДЕПО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152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1999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-</w:t>
            </w:r>
            <w:r>
              <w:rPr>
                <w:color w:val="00000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Артезианская скважина № 2, ул. Солнечная, д. 13, строение № 1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145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2002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35</w:t>
            </w: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Артезианская скважина № 6, ул. Геофизиков, д. 1, строение 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br/>
              <w:t xml:space="preserve"> № 2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141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1995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Накопительная емкость 400м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 - 1шт.</w:t>
            </w:r>
            <w:r>
              <w:rPr>
                <w:color w:val="000000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Артезианская скважина № 8, ул. Геофизиков, д. 1, строение </w:t>
            </w: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br/>
              <w:t xml:space="preserve"> № 3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141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1999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ЭЦВ</w:t>
            </w:r>
            <w:r>
              <w:rPr>
                <w:color w:val="00000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pStyle w:val="1340"/>
              <w:ind w:left="0" w:right="0" w:firstLine="0"/>
              <w:jc w:val="center"/>
              <w:spacing w:before="0" w:beforeAutospacing="0" w:after="0" w:afterAutospacing="0"/>
              <w:rPr>
                <w:color w:val="000000"/>
              </w:rPr>
              <w:suppressLineNumbers w:val="0"/>
            </w:pPr>
            <w:r>
              <w:rPr>
                <w:rFonts w:ascii="Liberation Serif" w:hAnsi="Liberation Serif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uppressLineNumbers w:val="0"/>
            </w:pPr>
            <w:r/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Артезианская скважина №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, ул. Геофизиков, д. 1, строение № 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141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1999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ЭЦВ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/>
      <w:bookmarkStart w:id="186" w:name="_Toc109995756"/>
      <w:r>
        <w:rPr>
          <w:szCs w:val="28"/>
        </w:rPr>
        <w:t xml:space="preserve">Действующие водозаборные скважины оборудованы резервными источниками электроснабжения, представленные в виде стационарных дизельных электростанций.</w:t>
      </w:r>
      <w:bookmarkEnd w:id="186"/>
      <w:r/>
      <w:r/>
    </w:p>
    <w:p>
      <w:pPr>
        <w:pStyle w:val="1076"/>
      </w:pPr>
      <w:r/>
      <w:bookmarkStart w:id="187" w:name="_Toc142312669"/>
      <w:r>
        <w:t xml:space="preserve"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bookmarkEnd w:id="187"/>
      <w:r/>
      <w:r/>
    </w:p>
    <w:p>
      <w:pPr>
        <w:pStyle w:val="1245"/>
        <w:rPr>
          <w:rFonts w:ascii="Liberation Serif" w:hAnsi="Liberation Serif"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Перед подачей воды в распределительную водопроводную сеть осуществляется ее водоподготовка на четырех СВП. СВП представлены в виде: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</w:r>
      <w:r/>
    </w:p>
    <w:p>
      <w:pPr>
        <w:pStyle w:val="1245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- одной установки СКВП 500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производительностью 500м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/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сут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,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введена в эксплуатацию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 2017г.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;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</w:r>
      <w:r/>
    </w:p>
    <w:p>
      <w:pPr>
        <w:pStyle w:val="1245"/>
        <w:rPr>
          <w:rFonts w:ascii="Liberation Serif" w:hAnsi="Liberation Serif"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- одной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СКПВ 250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производительностью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250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/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сут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, введена в эксплуатацию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 2021г.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;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</w:r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- двух СКВП 70 производительностью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70м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/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сут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каждая,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введены в эксплуатацию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 2017г.</w:t>
      </w:r>
      <w:r>
        <w:rPr>
          <w:rFonts w:eastAsia="Liberation Serif" w:cs="Liberation Serif"/>
          <w:color w:val="000000"/>
        </w:rPr>
      </w:r>
      <w:r/>
    </w:p>
    <w:p>
      <w:pPr>
        <w:pStyle w:val="1340"/>
        <w:rPr>
          <w:highlight w:val="none"/>
        </w:rPr>
      </w:pPr>
      <w:r/>
      <w:bookmarkStart w:id="188" w:name="_Hlk111629851"/>
      <w:r>
        <w:rPr>
          <w:szCs w:val="28"/>
        </w:rPr>
        <w:t xml:space="preserve">Технологическая схема очистки питьевой воды на СВП представлена на рисунке 1.1.4.</w:t>
      </w:r>
      <w:bookmarkEnd w:id="188"/>
      <w:r/>
      <w:r/>
    </w:p>
    <w:p>
      <w:pPr>
        <w:pStyle w:val="1340"/>
        <w:rPr>
          <w:color w:val="000000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340"/>
        <w:ind w:firstLine="0"/>
        <w:jc w:val="center"/>
        <w:rPr>
          <w:color w:val="000000"/>
        </w:rPr>
      </w:pPr>
      <w:r>
        <w:rPr>
          <w:rFonts w:eastAsia="Liberation Serif" w:cs="Liberation Serif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5065" cy="4321097"/>
                <wp:effectExtent l="6350" t="6350" r="6350" b="6350"/>
                <wp:docPr id="17" name="Рисунок 1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6055065" cy="43210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6.8pt;height:340.2pt;mso-wrap-distance-left:0.0pt;mso-wrap-distance-top:0.0pt;mso-wrap-distance-right:0.0pt;mso-wrap-distance-bottom:0.0pt;" strokecolor="#000000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1475"/>
      </w:pPr>
      <w:r>
        <w:t xml:space="preserve">Рисунок 1.1.4 – Технологическая схема очистки питьевой воды на СВП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состав СВП входят следующие основные элементы: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гидроциклон;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блок эжекционной обработки;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узел дозирования реагента;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блок электрокоагуляторов;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камера взвешенного слоя;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резервуар буферный;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блок тонкослойного отстаивания;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механический фильтр;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сорбционный фильтр;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  <w:tab w:val="left" w:pos="1134" w:leader="none"/>
        </w:tabs>
        <w:rPr>
          <w:color w:val="000000"/>
        </w:rPr>
      </w:pPr>
      <w:r>
        <w:rPr>
          <w:szCs w:val="28"/>
        </w:rPr>
        <w:t xml:space="preserve">резервуар сгуститель;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  <w:tab w:val="left" w:pos="1134" w:leader="none"/>
        </w:tabs>
        <w:rPr>
          <w:color w:val="000000"/>
        </w:rPr>
      </w:pPr>
      <w:r>
        <w:rPr>
          <w:szCs w:val="28"/>
        </w:rPr>
        <w:t xml:space="preserve">камерный фильтр-пресс;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  <w:tab w:val="left" w:pos="1134" w:leader="none"/>
        </w:tabs>
        <w:rPr>
          <w:color w:val="000000"/>
        </w:rPr>
      </w:pPr>
      <w:r>
        <w:rPr>
          <w:szCs w:val="28"/>
        </w:rPr>
        <w:t xml:space="preserve">установка бактерицидной обработки;</w:t>
      </w:r>
      <w:r/>
    </w:p>
    <w:p>
      <w:pPr>
        <w:pStyle w:val="1340"/>
        <w:numPr>
          <w:ilvl w:val="0"/>
          <w:numId w:val="58"/>
        </w:numPr>
        <w:ind w:left="0" w:firstLine="709"/>
        <w:tabs>
          <w:tab w:val="clear" w:pos="720" w:leader="none"/>
          <w:tab w:val="left" w:pos="992" w:leader="none"/>
          <w:tab w:val="left" w:pos="1134" w:leader="none"/>
        </w:tabs>
        <w:rPr>
          <w:color w:val="000000"/>
        </w:rPr>
      </w:pPr>
      <w:r>
        <w:rPr>
          <w:szCs w:val="28"/>
        </w:rPr>
        <w:t xml:space="preserve">усреднительно-накопительный резервуар.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Начальная стадия очистки предусматривает удаление твердых частицы из воды в виде песка, окалин. Для этого предусмотрена установка гидроциклона-песколовки, работающая по принципу центробежной сепарации. После удаления твёрдых частиц обрабатываемая</w:t>
      </w:r>
      <w:r>
        <w:rPr>
          <w:szCs w:val="28"/>
        </w:rPr>
        <w:t xml:space="preserve"> вода поступает на блок гравитационно-эжекционной обработки. Данный блок предназначен для объединения молекул и ионов в агрегаты коллоидных размеров. Молекулярные и ионные растворы переходят в коллоидные путем перехода растворенных веществ в нерастворимое </w:t>
      </w:r>
      <w:r>
        <w:rPr>
          <w:szCs w:val="28"/>
        </w:rPr>
        <w:t xml:space="preserve">состояние. Для этого применяется конденсационный метод получения коллоидных растворов, в основе которого лежит явление конденсации паров. Водовоздушная смесь в блоке образуется с помощью электродвигателя, вращающихся форсунок и применении эффект</w:t>
      </w:r>
      <w:r>
        <w:rPr>
          <w:szCs w:val="28"/>
        </w:rPr>
        <w:t xml:space="preserve">а эжекции для интенсификации процесса. Затем по технологической схеме вода насосом подается на блок электрообработки где происходит ряд электрохимических реакций восстановления и окисления, сопровождающиеся образованием твёрдых или газообразных продуктов. 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Далее вода поступает в камеру взвешенного слоя, при движении воды через взвешенный слой осадка происходит ее осветление. Затем по технологической схеме вода поступает в блок тонкослойного отстаивания, где происходит процесс осаждения примесей. Процесс оса</w:t>
      </w:r>
      <w:r>
        <w:rPr>
          <w:szCs w:val="28"/>
        </w:rPr>
        <w:t xml:space="preserve">ждения примесей происходит в малом по толщине слое воды внутри тонкослойного модуля с наклонными элементами. Такая конструкция позволяет быстрее осаждать взвесь, а собранные примеси самотеком сползают по уклону в зону хлопьеобразование и уплотнения осадка.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Далее вода поступает в буферную емкость, откуда насосом подается на механический и сорбционный фильтры, которые предназначены для доочистки обрабатываемой воды. В конечной стадии очистки производится УФ обеззараживание.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Накопившийс</w:t>
      </w:r>
      <w:r>
        <w:rPr>
          <w:szCs w:val="28"/>
        </w:rPr>
        <w:t xml:space="preserve">я осадок в камере взвешенного слоя сбрасывается периодически в дренажный трубопровод, промывная вода от фильтров при промывках также сбрасывается в дренажный трубопровод, по которому осадок поступает в дренажную систему накопительной емкости (септик 25мЗ).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качестве реагентов на СВП применяются:</w:t>
      </w:r>
      <w:r/>
    </w:p>
    <w:p>
      <w:pPr>
        <w:pStyle w:val="1340"/>
        <w:numPr>
          <w:ilvl w:val="0"/>
          <w:numId w:val="5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гидрокс хлорид алюминия и щелочь, вводимые в блок коагуляции;</w:t>
      </w:r>
      <w:r/>
    </w:p>
    <w:p>
      <w:pPr>
        <w:pStyle w:val="1340"/>
        <w:numPr>
          <w:ilvl w:val="0"/>
          <w:numId w:val="5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цеолит, используемый в качестве загрузки в механических и сорбционных фильтрах.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Согласно результатам анализов проб воды на выходе с источников в</w:t>
      </w:r>
      <w:r>
        <w:rPr>
          <w:szCs w:val="28"/>
        </w:rPr>
        <w:t xml:space="preserve">одоснабжения отсутствуют превышения по показателям качества питьевой воды. С учетом отсутствия превышений показателей качества питьевой воды действующая технология водоподготовки отвечает требованиям обеспечения нормативов качества воды СанПиН 1.2.3685-21.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 за 202</w:t>
      </w:r>
      <w:r>
        <w:rPr>
          <w:szCs w:val="28"/>
        </w:rPr>
        <w:t xml:space="preserve">2</w:t>
      </w:r>
      <w:r>
        <w:rPr>
          <w:szCs w:val="28"/>
        </w:rPr>
        <w:t xml:space="preserve">г. составляет 0%, что в свою очередь подтверждает соответствие качества подаваемой в сеть воды.</w:t>
      </w:r>
      <w:r/>
    </w:p>
    <w:p>
      <w:pPr>
        <w:pStyle w:val="1076"/>
        <w:rPr>
          <w:color w:val="000000"/>
        </w:rPr>
      </w:pPr>
      <w:r/>
      <w:bookmarkStart w:id="189" w:name="_Toc109995757"/>
      <w:r/>
      <w:bookmarkStart w:id="190" w:name="_Toc142312670"/>
      <w:r>
        <w:t xml:space="preserve">Описание состояния и функционирования существующих </w:t>
      </w:r>
      <w:r>
        <w:t xml:space="preserve">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89"/>
      <w:r>
        <w:t xml:space="preserve">.</w:t>
      </w:r>
      <w:bookmarkEnd w:id="19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составе ЦС ХВС с. Толька отсутствуют отдельные насосные централизованные станции, обеспечивающие поддержания необходимого давления в распр</w:t>
      </w:r>
      <w:r>
        <w:rPr>
          <w:szCs w:val="28"/>
        </w:rPr>
        <w:t xml:space="preserve">еделительной водопроводной сети. В составе СВП имеются ВНС II-го подъема, осуществляющая подачу воды в распределительную водопроводную сеть после водоподготовки. Удельный расход электрической энергии на водоподготовку и транспортировку питьевой воды за 202</w:t>
      </w:r>
      <w:r>
        <w:rPr>
          <w:szCs w:val="28"/>
        </w:rPr>
        <w:t xml:space="preserve">2</w:t>
      </w:r>
      <w:r>
        <w:rPr>
          <w:szCs w:val="28"/>
        </w:rPr>
        <w:t xml:space="preserve">г. составил 2,</w:t>
      </w:r>
      <w:r>
        <w:rPr>
          <w:szCs w:val="28"/>
        </w:rPr>
        <w:t xml:space="preserve">56</w:t>
      </w:r>
      <w:r>
        <w:rPr>
          <w:szCs w:val="28"/>
        </w:rPr>
        <w:t xml:space="preserve">кВт·ч/м³.</w:t>
      </w:r>
      <w:r/>
    </w:p>
    <w:p>
      <w:pPr>
        <w:pStyle w:val="1076"/>
      </w:pPr>
      <w:r/>
      <w:bookmarkStart w:id="191" w:name="_Toc109995758"/>
      <w:r/>
      <w:bookmarkStart w:id="192" w:name="_Toc142312671"/>
      <w:r>
        <w:t xml:space="preserve"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91"/>
      <w:r>
        <w:t xml:space="preserve">.</w:t>
      </w:r>
      <w:bookmarkEnd w:id="19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Общая протяженность водопроводных сетей на территории с. Толька составляет 1</w:t>
      </w:r>
      <w:r>
        <w:rPr>
          <w:szCs w:val="28"/>
        </w:rPr>
        <w:t xml:space="preserve">9</w:t>
      </w:r>
      <w:r>
        <w:rPr>
          <w:szCs w:val="28"/>
        </w:rPr>
        <w:t xml:space="preserve">,</w:t>
      </w:r>
      <w:r>
        <w:rPr>
          <w:szCs w:val="28"/>
        </w:rPr>
        <w:t xml:space="preserve">55</w:t>
      </w:r>
      <w:r>
        <w:rPr>
          <w:szCs w:val="28"/>
        </w:rPr>
        <w:t xml:space="preserve">км. Трубопроводы проложены надземно, на низких опорах</w:t>
      </w:r>
      <w:r>
        <w:rPr>
          <w:szCs w:val="28"/>
        </w:rPr>
        <w:t xml:space="preserve">, либо подземно</w:t>
      </w:r>
      <w:r>
        <w:rPr>
          <w:szCs w:val="28"/>
        </w:rPr>
        <w:t xml:space="preserve">. В качестве теплового сопровождения трубопроводы проложены в совместной конструкции тепловой изоляции с обратным трубопроводом тепловой сети. Трубопроводы выполнены из стали. Диаметр трубопроводов варьируется от 50</w:t>
      </w:r>
      <w:r>
        <w:rPr>
          <w:szCs w:val="28"/>
        </w:rPr>
        <w:t xml:space="preserve"> до 300мм. На сетях водоснабжения предусмотрены противопожарные гидранты, располагающиеся в надземных павильонах и заглубленных тепловых камерах. Один раз в год проводится промывка сетей водоснабжения и РдВ водой с повышенным содержанием остаточного хлора.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Характеристики водопроводных сетей в с. Толька приведены в таблице 1.1.3.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  <w:szCs w:val="28"/>
        </w:rPr>
        <w:t xml:space="preserve">Таблица 1.1.3 – Характеристики водопроводных сетей в 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1083"/>
        <w:gridCol w:w="1185"/>
        <w:gridCol w:w="1701"/>
        <w:gridCol w:w="1134"/>
        <w:gridCol w:w="1836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Месторасположение сетей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Диаметр, мм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Материал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Протяженность, м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Год прокладки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Способ прокладки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70 лет Октября (565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Комсомольская (магазин "Мечта") (85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Комсомольская (от ТП 64) (430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Комсомольская (от ТП 71) (80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Лесная (магазин "Подарки", "Столовая- ресторан") (81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Лесная (от котельной до ТП 63, ТП 59, ТП 24)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Механизаторов (от ТП 76) (317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Сидорова (от ТП 5) (285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Солнечная (от ТП 4 и ТП 3) (524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Центральная (от ТП 24 до ТП 31) (229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Толька, ул. Центральная (от ТП 24) (1792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Вернадского (899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Геофизиков- 70 лет Октября (от ТП 7 до ТП 25) (340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 Толька, ул. Губкина (от котельной № 3 и ТП 6) (992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50/100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 / 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подземная/надземная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Комсомольская (от ТП 65 до ТП 73) (360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Комсомольская (от ТП 70) (80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Мангазейская (от ТП 13) (195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Молодежная (от котельной № 4) (899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Набережная (от ТП 24)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Надежды (пож.водоем)   (15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Перспективная (от ТП 1 до ТП 13) (536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Полевая (от ТП 1) (301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 Толька, ул. Советская (от ТП 10) (95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Строителей (от ТП 64) (320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Таежная (дом ремесел) (96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Таежная (от котельной № 2 до ТП 64)  (510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Таежная (от котельной № 2 до ТП 76) (245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 Толька, ул. Таежная (от ТП 76 до электростанции) (100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Таежная (от котельной № 2 до ТП 8) (509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Толька, ул. Ямальский тупик (от ТП 4) (363 пог.м.)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полиэтилен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 ул. Светлогорская (от котельной "№ 1)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с.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Толька ул. Сидорова 11, Внутриплощадочные инженерные сети, Сети тепловодоснабжения.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Бесхозяйные сети (отводы к жилым домам и прочим объектам водопотребления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5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5352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Надземная</w:t>
            </w:r>
            <w:r/>
          </w:p>
        </w:tc>
      </w:tr>
      <w:tr>
        <w:trPr>
          <w:trHeight w:val="20"/>
        </w:trPr>
        <w:tc>
          <w:tcPr>
            <w:gridSpan w:val="4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57" w:type="dxa"/>
            <w:vAlign w:val="bottom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  <w:t xml:space="preserve">Итого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bottom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  <w:t xml:space="preserve">19550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3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/>
      <w:bookmarkStart w:id="193" w:name="_Toc109995759"/>
      <w:r>
        <w:rPr>
          <w:szCs w:val="28"/>
        </w:rPr>
        <w:t xml:space="preserve">Доля проб питьевой воды в распределительной водопроводной сети, не соответствующих установленным требованиям, за 202</w:t>
      </w:r>
      <w:r>
        <w:rPr>
          <w:szCs w:val="28"/>
        </w:rPr>
        <w:t xml:space="preserve">2</w:t>
      </w:r>
      <w:r>
        <w:rPr>
          <w:szCs w:val="28"/>
        </w:rPr>
        <w:t xml:space="preserve">г. составила 0%, что в свою очередь свидетельствует о возможности обеспечения качества воды в процессе транспортировки.</w:t>
      </w:r>
      <w:bookmarkEnd w:id="193"/>
      <w:r/>
      <w:r/>
    </w:p>
    <w:p>
      <w:pPr>
        <w:pStyle w:val="1076"/>
      </w:pPr>
      <w:r/>
      <w:bookmarkStart w:id="194" w:name="_Toc142312672"/>
      <w:r>
        <w:t xml:space="preserve">Описание существующих технических технологических проблем, возникающих при водоснабжении населенного пункта.</w:t>
      </w:r>
      <w:bookmarkEnd w:id="194"/>
      <w:r/>
      <w:r/>
    </w:p>
    <w:p>
      <w:pPr>
        <w:pStyle w:val="1340"/>
        <w:tabs>
          <w:tab w:val="left" w:pos="709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Основными техническими и технологическими проблемами централизованной системы водоснабжения с. Толька являются:</w:t>
      </w:r>
      <w:r/>
    </w:p>
    <w:p>
      <w:pPr>
        <w:pStyle w:val="1340"/>
        <w:numPr>
          <w:ilvl w:val="0"/>
          <w:numId w:val="60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Отсутствие систем управления (автоматизации и диспетчеризации) на части основных объектах ЦС ХВС;</w:t>
      </w:r>
      <w:r/>
    </w:p>
    <w:p>
      <w:pPr>
        <w:pStyle w:val="1340"/>
        <w:numPr>
          <w:ilvl w:val="0"/>
          <w:numId w:val="60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Высокий физический износ водопроводных сетей, вызывающий значительные потери питьевой воды при транспортировке.</w:t>
      </w:r>
      <w:r/>
    </w:p>
    <w:p>
      <w:pPr>
        <w:pStyle w:val="1340"/>
        <w:tabs>
          <w:tab w:val="left" w:pos="709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Предписания органов, осуществляющих государственный надзор, муниципальный контроль, об устранении нарушений, влияющих на качество и </w:t>
      </w:r>
      <w:r>
        <w:rPr>
          <w:szCs w:val="28"/>
        </w:rPr>
        <w:t xml:space="preserve">безопасность воды,</w:t>
      </w:r>
      <w:r>
        <w:rPr>
          <w:szCs w:val="28"/>
        </w:rPr>
        <w:t xml:space="preserve"> отсутствуют.</w:t>
      </w:r>
      <w:r/>
    </w:p>
    <w:p>
      <w:pPr>
        <w:pStyle w:val="1076"/>
      </w:pPr>
      <w:r/>
      <w:bookmarkStart w:id="195" w:name="_Toc109995760"/>
      <w:r/>
      <w:bookmarkStart w:id="196" w:name="_Toc142312673"/>
      <w: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95"/>
      <w:r>
        <w:t xml:space="preserve">.</w:t>
      </w:r>
      <w:bookmarkEnd w:id="19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Централизованная система горячего водоснабжения с использованием закрытых систем горячего водоснабжения на территории с. Толька отсутствует.</w:t>
      </w:r>
      <w:r/>
    </w:p>
    <w:p>
      <w:pPr>
        <w:pStyle w:val="1075"/>
      </w:pPr>
      <w:r>
        <w:tab/>
      </w:r>
      <w:bookmarkStart w:id="197" w:name="_Toc109995761"/>
      <w:r/>
      <w:bookmarkStart w:id="198" w:name="_Toc142312674"/>
      <w:r>
        <w:t xml:space="preserve">Описание</w:t>
      </w:r>
      <w:r>
        <w:t xml:space="preserve">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97"/>
      <w:r>
        <w:t xml:space="preserve">.</w:t>
      </w:r>
      <w:bookmarkEnd w:id="19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На территории с. Толька присутствуют зоны распространения вечномерзлых грунтов. Территория с. Толька находится во 2-ой зоне морозостойкости, глубина промерзания грунта может доходить до 3м. С учетом расположения с. Толька возможно замерзание воды в ЦС ХВС.</w:t>
      </w:r>
      <w:r/>
    </w:p>
    <w:p>
      <w:pPr>
        <w:pStyle w:val="1340"/>
        <w:tabs>
          <w:tab w:val="left" w:pos="992" w:leader="none"/>
        </w:tabs>
        <w:rPr>
          <w:color w:val="000000"/>
          <w:szCs w:val="28"/>
        </w:rPr>
      </w:pPr>
      <w:r>
        <w:rPr>
          <w:szCs w:val="28"/>
        </w:rPr>
        <w:t xml:space="preserve">Для предотвращения замерзания воды в сетях в</w:t>
      </w:r>
      <w:r>
        <w:rPr>
          <w:szCs w:val="28"/>
        </w:rPr>
        <w:t xml:space="preserve">одоснабжения в качестве технического решения предусматривается прокладка трубопроводов водоснабжения совместно с сетями теплоснабжения, организация закольцовок на тупиковых участка распределительной сети, организация контролируемых спусков воды из системы.</w:t>
      </w:r>
      <w:r/>
    </w:p>
    <w:p>
      <w:pPr>
        <w:pStyle w:val="1075"/>
      </w:pPr>
      <w:r/>
      <w:bookmarkStart w:id="199" w:name="_Toc109995762"/>
      <w:r/>
      <w:bookmarkStart w:id="200" w:name="_Toc142312675"/>
      <w: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99"/>
      <w:r>
        <w:t xml:space="preserve">.</w:t>
      </w:r>
      <w:bookmarkEnd w:id="20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Все объекты ЦС ХВС, относящиеся к ТЗ ВС с. Толька на территории </w:t>
      </w:r>
      <w:r>
        <w:rPr>
          <w:szCs w:val="28"/>
        </w:rPr>
        <w:br/>
        <w:t xml:space="preserve"> с. Толька, являются объектами недвижимого имущества и находятся в собственности администрации </w:t>
      </w:r>
      <w:r>
        <w:rPr>
          <w:szCs w:val="28"/>
        </w:rPr>
        <w:t xml:space="preserve">Красноселькупского района. В целях осуществления эксплуатации, поддержания и развития объектов ЦС ХВС было заключено концессионное соглашение от 24.12.2020г. № 101-19/59 с ООО «Ямал-Энерго», предусматривающее передачу данных объектов во временное владение.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01" w:name="_Toc109995763"/>
      <w:r/>
      <w:bookmarkStart w:id="202" w:name="_Toc142312676"/>
      <w:r>
        <w:t xml:space="preserve">Направления развития централизованных систем водоснабжения</w:t>
      </w:r>
      <w:bookmarkEnd w:id="201"/>
      <w:r/>
      <w:bookmarkEnd w:id="202"/>
      <w:r/>
      <w:r/>
    </w:p>
    <w:p>
      <w:pPr>
        <w:pStyle w:val="1340"/>
        <w:jc w:val="center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>
        <w:tab/>
      </w:r>
      <w:bookmarkStart w:id="203" w:name="_Toc109995764"/>
      <w:r/>
      <w:bookmarkStart w:id="204" w:name="_Toc142312677"/>
      <w:r>
        <w:t xml:space="preserve">Основные направления, принципы, задачи и плановые значения показателей развития централизованных систем водоснабжения</w:t>
      </w:r>
      <w:bookmarkEnd w:id="203"/>
      <w:r>
        <w:t xml:space="preserve">.</w:t>
      </w:r>
      <w:bookmarkEnd w:id="204"/>
      <w:r/>
      <w:r/>
    </w:p>
    <w:p>
      <w:pPr>
        <w:pStyle w:val="1340"/>
        <w:keepNext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пунктом 1 статьи 3 ФЗ РФ от 07.12.2011 № 416-ФЗ государственная политика в сфере водоснабжения и водоотведения направлена на достижение следующих целей:</w:t>
      </w:r>
      <w:r/>
    </w:p>
    <w:p>
      <w:pPr>
        <w:pStyle w:val="1340"/>
        <w:numPr>
          <w:ilvl w:val="0"/>
          <w:numId w:val="6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  <w:r/>
    </w:p>
    <w:p>
      <w:pPr>
        <w:pStyle w:val="1340"/>
        <w:numPr>
          <w:ilvl w:val="0"/>
          <w:numId w:val="6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Повышения энергетической эффективности путем экономного потребления воды;</w:t>
      </w:r>
      <w:r/>
    </w:p>
    <w:p>
      <w:pPr>
        <w:pStyle w:val="1340"/>
        <w:numPr>
          <w:ilvl w:val="0"/>
          <w:numId w:val="6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Снижения негативного воздействия на водные объекты путем повышения качества очистки сточных вод;</w:t>
      </w:r>
      <w:r/>
    </w:p>
    <w:p>
      <w:pPr>
        <w:pStyle w:val="1340"/>
        <w:numPr>
          <w:ilvl w:val="0"/>
          <w:numId w:val="6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Обеспечения доступности водоснабжения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 водоотведение;</w:t>
      </w:r>
      <w:r/>
    </w:p>
    <w:p>
      <w:pPr>
        <w:pStyle w:val="1340"/>
        <w:numPr>
          <w:ilvl w:val="0"/>
          <w:numId w:val="6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Обеспечения развития централизованных систем горячего водоснабже</w:t>
      </w:r>
      <w:r>
        <w:rPr>
          <w:szCs w:val="28"/>
        </w:rPr>
        <w:t xml:space="preserve">ния,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  <w:r/>
    </w:p>
    <w:p>
      <w:pPr>
        <w:pStyle w:val="1340"/>
        <w:keepNext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пунктом 2 статьи 3 ФЗ РФ от 07.12.2011 № 416-ФЗ общими принципами государственной политики в сфере водоснабжения и водоотведения являются: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Приоритетность обеспечения населения питьевой водой, горячей водой и услугами по водоотведению;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Создание условий для привлечения инвестиций в сферу водоснабжения и водоотведения, обеспечение гарантий возврата частных инвестиций;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технологического и организационного единства и целостности централизованных систем горячего водоснабжения, холодного водоснабжения и (или) водоотведения;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Достижение и соблюдение баланса экономических интересов организаций, осуществляющих горячее водоснабжение, холодное водоснабжение и (или) водоотведение, и их абонентов;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Установлени</w:t>
      </w:r>
      <w:r>
        <w:rPr>
          <w:szCs w:val="28"/>
        </w:rPr>
        <w:t xml:space="preserve">е тарифов в сфере водоснабжения и водоотведения исходя из экономически обоснованных расходов организаций, осуществляющих горячее водоснабжение, холодное водоснабжение и (или) водоотведение, необходимых для осуществления водоснабжения и (или) водоотведения;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стабильных и недискриминационных условий для осуществления предпринимательской деятельности в сфере водоснабжения и водоотведения;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равных условий доступа абонентов к водоснабжению и водоотведению;</w:t>
      </w:r>
      <w:r/>
    </w:p>
    <w:p>
      <w:pPr>
        <w:pStyle w:val="1340"/>
        <w:numPr>
          <w:ilvl w:val="0"/>
          <w:numId w:val="6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Открытость деятельности организаций, осуществляющих горячее водоснабжение, холодно</w:t>
      </w:r>
      <w:r>
        <w:rPr>
          <w:szCs w:val="28"/>
        </w:rPr>
        <w:t xml:space="preserve">е водоснабжение и (или)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 водоотведения.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Исходя из обозначенных целей и принципов государственной политики в сфере водоснабжения и водоотведения, а также в соответствии с пунктом 10 Правил р</w:t>
      </w:r>
      <w:r>
        <w:rPr>
          <w:szCs w:val="28"/>
        </w:rPr>
        <w:t xml:space="preserve">азработки и утверждения схем водоснабжения и водоотведения, утверждённых ПП РФ от 05.09.2013 № 782, в рамках настоящей актуализации Схемы ВСиВО Красноселькупского района сформированы следующие основные задачи развития централизованных систем водоснабжения: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подачи абонентам определенного объема горячей, питьевой воды установленного качества;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организация и обеспечение централизованного водоснабжения на территориях, где оно отсутствует;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водоснабжения объектов перспективной застройки населенного пункта;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сокращение потерь воды при ее транспортировке;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выполнение мероприятий, направленных на обеспечение соответствия качества питьевой воды, горячей воды</w:t>
      </w:r>
      <w:r>
        <w:rPr>
          <w:rFonts w:asciiTheme="minorHAnsi" w:hAnsiTheme="minorHAnsi"/>
          <w:color w:val="000000"/>
        </w:rPr>
        <w:t xml:space="preserve"> </w:t>
      </w:r>
      <w:r>
        <w:rPr>
          <w:szCs w:val="28"/>
        </w:rPr>
        <w:t xml:space="preserve">требованиям </w:t>
      </w:r>
      <w:hyperlink w:tooltip="https://base.garant.ru/70103066/67ed58225b4b05deea11771e0271c2f2/#block_622" w:anchor="block_622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законодательства</w:t>
        </w:r>
      </w:hyperlink>
      <w:r>
        <w:rPr>
          <w:szCs w:val="28"/>
        </w:rPr>
        <w:t xml:space="preserve"> Российской Федерации;</w:t>
      </w:r>
      <w:r/>
    </w:p>
    <w:p>
      <w:pPr>
        <w:pStyle w:val="1340"/>
        <w:numPr>
          <w:ilvl w:val="0"/>
          <w:numId w:val="6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обеспечение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</w:t>
      </w:r>
      <w:r>
        <w:rPr>
          <w:szCs w:val="28"/>
        </w:rPr>
        <w:t xml:space="preserve">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выполнения перечисленных выше задач по развитию централизованных систем водоснабжения с. Толька разработаны мероприятия по строительству, реконструкции и модернизации объектов централизованных систем водоснабжения, приведенные ниже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 1.4</w:t>
        </w:r>
      </w:hyperlink>
      <w:r>
        <w:rPr>
          <w:szCs w:val="28"/>
        </w:rPr>
        <w:t xml:space="preserve">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пунктом 2 Перечня показателей надежности, качества, энергетической эффективности объектов централизованных сис</w:t>
      </w:r>
      <w:r>
        <w:rPr>
          <w:szCs w:val="28"/>
        </w:rPr>
        <w:t xml:space="preserve">тем горячего водоснабжения, холодного водоснабжения и (или) водоотведения, утвержденного Приказом Минстроя РФ от 04.04.2014 № 162/пр, к показателям развития централизованных систем горячего водоснабжения, холодного водоснабжения и водоотведения относятся: </w:t>
      </w:r>
      <w:r/>
    </w:p>
    <w:p>
      <w:pPr>
        <w:pStyle w:val="1340"/>
        <w:numPr>
          <w:ilvl w:val="0"/>
          <w:numId w:val="6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качества воды (в отношении питьевой воды и горячей воды);</w:t>
      </w:r>
      <w:r/>
    </w:p>
    <w:p>
      <w:pPr>
        <w:pStyle w:val="1340"/>
        <w:numPr>
          <w:ilvl w:val="0"/>
          <w:numId w:val="6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надежности и бесперебойности водоснабжения и водоотведения;</w:t>
      </w:r>
      <w:r/>
    </w:p>
    <w:p>
      <w:pPr>
        <w:pStyle w:val="1340"/>
        <w:numPr>
          <w:ilvl w:val="0"/>
          <w:numId w:val="6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очистки сточных вод;</w:t>
      </w:r>
      <w:r/>
    </w:p>
    <w:p>
      <w:pPr>
        <w:pStyle w:val="1340"/>
        <w:numPr>
          <w:ilvl w:val="0"/>
          <w:numId w:val="6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эффективности использования ресурсов, в том числе уровень потерь воды (тепловой энергии в составе горячей воды).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Применительно к централизованным системам водоснабжения с. Толька данные показатели приведены ниже в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 1.8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>
        <w:tab/>
      </w:r>
      <w:bookmarkStart w:id="205" w:name="_Toc109995765"/>
      <w:r/>
      <w:bookmarkStart w:id="206" w:name="_Toc142312678"/>
      <w:r>
        <w:t xml:space="preserve">Различные сценарии развития централизованных систем водоснабжения в зависимости от различных сценариев развития населенного пункта</w:t>
      </w:r>
      <w:bookmarkEnd w:id="205"/>
      <w:r>
        <w:t xml:space="preserve">.</w:t>
      </w:r>
      <w:bookmarkEnd w:id="20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части определения перспективных балансов по централизованным системам водоснабжения и водоотведения зна</w:t>
      </w:r>
      <w:r>
        <w:rPr>
          <w:szCs w:val="28"/>
        </w:rPr>
        <w:t xml:space="preserve">чимым фактором является определение перспективы численности населения, поскольку для большинства данных систем, действующих на территории Российской Федерации, на долю данной категории абонентов приходится основная часть потребления соответствующих услуг.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С целью определения фактической и перспективной численности постоянного населения с. Толька проанализированы и использованы следующие материалы:</w:t>
      </w:r>
      <w:r/>
    </w:p>
    <w:p>
      <w:pPr>
        <w:pStyle w:val="1340"/>
        <w:numPr>
          <w:ilvl w:val="0"/>
          <w:numId w:val="6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данные о численности постоянного населения Российской Федерации по муниципальным образованиям за период 2019-20</w:t>
      </w:r>
      <w:r>
        <w:rPr>
          <w:rStyle w:val="1246"/>
        </w:rPr>
        <w:t xml:space="preserve">2</w:t>
      </w:r>
      <w:r>
        <w:rPr>
          <w:rStyle w:val="1246"/>
        </w:rPr>
        <w:t xml:space="preserve">2</w:t>
      </w:r>
      <w:r>
        <w:rPr>
          <w:szCs w:val="28"/>
        </w:rPr>
        <w:t xml:space="preserve">гг., опубликованные Федеральной службой государственной статистики;</w:t>
      </w:r>
      <w:r/>
    </w:p>
    <w:p>
      <w:pPr>
        <w:pStyle w:val="1340"/>
        <w:numPr>
          <w:ilvl w:val="0"/>
          <w:numId w:val="6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генеральный план с. Толька, разработанный обществом с ограниченной ответственностью «Институт территориального планирования «Град» в рамках муниципального контракта от 11.06.2019 № 0190200000319005247/164.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указанными выше данными предлагается рассмотреть следующие варианты развития:</w:t>
      </w:r>
      <w:r/>
    </w:p>
    <w:p>
      <w:pPr>
        <w:pStyle w:val="1340"/>
        <w:numPr>
          <w:ilvl w:val="0"/>
          <w:numId w:val="6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первый вариант развития предполагает положительную динамику численности населения, реали</w:t>
      </w:r>
      <w:r>
        <w:rPr>
          <w:szCs w:val="28"/>
        </w:rPr>
        <w:t xml:space="preserve">зуемую за счет комплекса социально-экономических мероприятий, реализации демографических программ по стимулированию рождаемости, программ направленных на поддержку семей с детьми и молодых семей, приоритетного национального проекта в сфере здравоохранения;</w:t>
      </w:r>
      <w:r/>
    </w:p>
    <w:p>
      <w:pPr>
        <w:pStyle w:val="1340"/>
        <w:numPr>
          <w:ilvl w:val="0"/>
          <w:numId w:val="6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второй вариант развития предполагает сохранение отрицательной динамики численности населения в соответствии с данными о численности населения за 2019</w:t>
      </w:r>
      <w:r>
        <w:rPr>
          <w:rStyle w:val="1246"/>
        </w:rPr>
        <w:t xml:space="preserve">-202</w:t>
      </w:r>
      <w:r>
        <w:rPr>
          <w:rStyle w:val="1246"/>
        </w:rPr>
        <w:t xml:space="preserve">2</w:t>
      </w:r>
      <w:r>
        <w:rPr>
          <w:rStyle w:val="1246"/>
        </w:rPr>
        <w:t xml:space="preserve">гг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Наиболее приоритетным вариантом развития с. Толька принимается первый вариант развития, предполагаемый Генеральным планом с. Толька. Далее в Схеме ВСиВО будет рассматриваться данный вариант развития.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фактической численности постоянного населения за период 2019-</w:t>
      </w:r>
      <w:r>
        <w:rPr>
          <w:rStyle w:val="1246"/>
        </w:rPr>
        <w:t xml:space="preserve">202</w:t>
      </w:r>
      <w:r>
        <w:rPr>
          <w:rStyle w:val="1246"/>
        </w:rPr>
        <w:t xml:space="preserve">2</w:t>
      </w:r>
      <w:r>
        <w:rPr>
          <w:rStyle w:val="1246"/>
        </w:rPr>
        <w:t xml:space="preserve">гг. и результаты определения прогнозной численности постоянного населения на период 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rStyle w:val="1246"/>
        </w:rPr>
        <w:t xml:space="preserve">-203</w:t>
      </w:r>
      <w:r>
        <w:rPr>
          <w:rStyle w:val="1246"/>
        </w:rPr>
        <w:t xml:space="preserve">8</w:t>
      </w:r>
      <w:r>
        <w:rPr>
          <w:rStyle w:val="1246"/>
        </w:rPr>
        <w:t xml:space="preserve">гг</w:t>
      </w:r>
      <w:r>
        <w:rPr>
          <w:szCs w:val="28"/>
        </w:rPr>
        <w:t xml:space="preserve">. по с. Толька с учетом принятого варианта развития приведены в таблице 1.2.1.</w:t>
      </w:r>
      <w:r/>
    </w:p>
    <w:p>
      <w:pPr>
        <w:pStyle w:val="1340"/>
        <w:keepLines/>
        <w:keepNext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tabs>
          <w:tab w:val="left" w:pos="992" w:leader="none"/>
        </w:tabs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1.2.1 – Показатели фактической численности постоянного населения за период 2019-</w:t>
      </w:r>
      <w:r>
        <w:rPr>
          <w:rStyle w:val="1246"/>
          <w:b/>
          <w:bCs/>
        </w:rPr>
        <w:t xml:space="preserve">202</w:t>
      </w:r>
      <w:r>
        <w:rPr>
          <w:rStyle w:val="1246"/>
          <w:b/>
          <w:bCs/>
        </w:rPr>
        <w:t xml:space="preserve">2</w:t>
      </w:r>
      <w:r>
        <w:rPr>
          <w:rStyle w:val="1246"/>
          <w:b/>
          <w:bCs/>
        </w:rPr>
        <w:t xml:space="preserve">гг. и результаты определения прогнозной численности постоянного населения на период 202</w:t>
      </w:r>
      <w:r>
        <w:rPr>
          <w:rStyle w:val="1246"/>
          <w:b/>
          <w:bCs/>
        </w:rPr>
        <w:t xml:space="preserve">3</w:t>
      </w:r>
      <w:r>
        <w:rPr>
          <w:rStyle w:val="1246"/>
          <w:b/>
          <w:bCs/>
        </w:rPr>
        <w:t xml:space="preserve">-203</w:t>
      </w:r>
      <w:r>
        <w:rPr>
          <w:rStyle w:val="1246"/>
          <w:b/>
          <w:bCs/>
        </w:rPr>
        <w:t xml:space="preserve">8</w:t>
      </w:r>
      <w:r>
        <w:rPr>
          <w:rStyle w:val="1246"/>
          <w:b/>
          <w:bCs/>
        </w:rPr>
        <w:t xml:space="preserve">гг</w:t>
      </w:r>
      <w:r>
        <w:rPr>
          <w:b/>
          <w:bCs/>
          <w:szCs w:val="28"/>
        </w:rPr>
        <w:t xml:space="preserve">. по с. Толька, чел.на 01 января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"/>
        <w:gridCol w:w="1600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показателя</w:t>
            </w:r>
            <w:r/>
          </w:p>
        </w:tc>
        <w:tc>
          <w:tcPr>
            <w:gridSpan w:val="4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Фактические показатели</w:t>
            </w:r>
            <w:r/>
          </w:p>
        </w:tc>
        <w:tc>
          <w:tcPr>
            <w:gridSpan w:val="9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Прогнозные показатели</w:t>
            </w:r>
            <w:r/>
          </w:p>
        </w:tc>
      </w:tr>
      <w:tr>
        <w:trPr>
          <w:trHeight w:val="2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2021г.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Толька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1 678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1 786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1 830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1 874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1 918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1 962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2 006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2 050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2 094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2 138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2 490</w:t>
            </w:r>
            <w:r/>
          </w:p>
        </w:tc>
      </w:tr>
    </w:tbl>
    <w:p>
      <w:pPr>
        <w:pStyle w:val="134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340"/>
        <w:rPr>
          <w:color w:val="000000"/>
          <w:szCs w:val="28"/>
        </w:rPr>
      </w:pPr>
      <w:r>
        <w:t xml:space="preserve"> </w:t>
      </w:r>
      <w:r>
        <w:rPr>
          <w:szCs w:val="28"/>
        </w:rPr>
        <w:t xml:space="preserve">Планируемые объекты капитального строительства, обеспечиваемые централизованным водоснабжением и водоотведением, представлены на рисунке 1.2.1.</w:t>
      </w:r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340"/>
        <w:ind w:firstLine="0"/>
        <w:jc w:val="center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1035" cy="5743977"/>
                <wp:effectExtent l="19050" t="19050" r="20320" b="9525"/>
                <wp:docPr id="18" name="Рисунок 2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90408" cy="57529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0.9pt;height:452.3pt;mso-wrap-distance-left:0.0pt;mso-wrap-distance-top:0.0pt;mso-wrap-distance-right:0.0pt;mso-wrap-distance-bottom:0.0pt;" strokecolor="#000000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1475"/>
        <w:rPr>
          <w:color w:val="000000"/>
        </w:rPr>
      </w:pPr>
      <w:r>
        <w:t xml:space="preserve">Рисунок 1.2.1 – Планируемые объекты капитального строительства, </w:t>
      </w:r>
      <w:r/>
    </w:p>
    <w:p>
      <w:pPr>
        <w:pStyle w:val="1340"/>
        <w:ind w:firstLine="0"/>
        <w:jc w:val="center"/>
        <w:rPr>
          <w:color w:val="000000"/>
        </w:rPr>
      </w:pPr>
      <w:r>
        <w:rPr>
          <w:b/>
          <w:bCs/>
        </w:rPr>
        <w:t xml:space="preserve">обеспечиваемые централизованным водоснабжением и водоотведением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  <w:szCs w:val="28"/>
        </w:rPr>
      </w:pPr>
      <w:r>
        <w:rPr>
          <w:szCs w:val="28"/>
        </w:rPr>
        <w:t xml:space="preserve">Сводные показатели по подключаемым к централизованным системам водоснабжения и (или) водоотведения расчётным перспективным нагрузкам объектов капитальной застройки приведены в таблице 1.2.2.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  <w:szCs w:val="28"/>
        </w:rPr>
        <w:t xml:space="preserve">Таблица 1.2.2 – Сводные показатели по подключаемым к централизованным системам водоснабжения и (или) водоотведения расчётным перспективным нагрузкам объектов капитальной застройки</w:t>
      </w:r>
      <w:r>
        <w:t xml:space="preserve"> 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607"/>
        <w:gridCol w:w="2648"/>
        <w:gridCol w:w="2347"/>
        <w:gridCol w:w="2305"/>
        <w:gridCol w:w="1721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объекта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Параметры перспективной нагрузки ХВС, м³/ч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Параметры перспективной нагрузки ВО, м³/ч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Планируемый срок ввода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Детский сад на 140 мест ул. Центральная 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Котельная на 15 мВт ул. Таёжная (промышленная зона)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Жилой дом ул. Лесная 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Жилой дом ул. Лесная 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</w:tbl>
    <w:p>
      <w:pPr>
        <w:pStyle w:val="1340"/>
        <w:rPr>
          <w:rFonts w:asciiTheme="minorHAnsi" w:hAnsiTheme="minorHAnsi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Сформированные на основании указанных выше данных перспективные балансы и мероприятия по строительству, реконструкции и модернизации объектов централизованных систем водоснабжения с. Толька приведены ниже в </w:t>
      </w:r>
      <w:hyperlink w:tooltip="#_Баланс_водоснабжения_и" w:anchor="_Баланс_водоснабжения_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 1.3</w:t>
        </w:r>
      </w:hyperlink>
      <w:r>
        <w:rPr>
          <w:szCs w:val="28"/>
        </w:rPr>
        <w:t xml:space="preserve"> и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 1.4</w:t>
        </w:r>
      </w:hyperlink>
      <w:r>
        <w:rPr>
          <w:szCs w:val="28"/>
        </w:rPr>
        <w:t xml:space="preserve"> соответственно, по централизованным системам водоотведения – в </w:t>
      </w:r>
      <w:hyperlink w:tooltip="#_Прогноз_объема_сточных" w:anchor="_Прогноз_объема_сточных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 2.3</w:t>
        </w:r>
      </w:hyperlink>
      <w:r>
        <w:rPr>
          <w:szCs w:val="28"/>
        </w:rPr>
        <w:t xml:space="preserve"> и в </w:t>
      </w:r>
      <w:hyperlink w:tooltip="#_Предложения_по_строительству,_1" w:anchor="_Предложения_по_строительству,_1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 2.4</w:t>
        </w:r>
      </w:hyperlink>
      <w:r>
        <w:rPr>
          <w:szCs w:val="28"/>
        </w:rPr>
        <w:t xml:space="preserve"> соответственно.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07" w:name="_Toc109995766"/>
      <w:r/>
      <w:bookmarkStart w:id="208" w:name="_Toc142312679"/>
      <w:r>
        <w:t xml:space="preserve">Баланс водоснабжения и потребления горячей, питьевой, технической воды (при наличии)</w:t>
      </w:r>
      <w:bookmarkEnd w:id="207"/>
      <w:r/>
      <w:bookmarkEnd w:id="208"/>
      <w:r/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09" w:name="_Toc109995767"/>
      <w:r/>
      <w:bookmarkStart w:id="210" w:name="_Toc142312680"/>
      <w:r>
        <w:t xml:space="preserve">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9"/>
      <w:r>
        <w:t xml:space="preserve">.</w:t>
      </w:r>
      <w:bookmarkEnd w:id="21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Общий баланс подачи и реализации воды по с. Толька приведен в таблице 1.3.1.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1.3.1 – Общий баланс подачи и реализации воды по 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48"/>
        <w:gridCol w:w="3693"/>
        <w:gridCol w:w="805"/>
        <w:gridCol w:w="924"/>
        <w:gridCol w:w="924"/>
        <w:gridCol w:w="924"/>
        <w:gridCol w:w="805"/>
        <w:gridCol w:w="805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2022г.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  <w:t xml:space="preserve">ТЗ ВС с. Толька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134 811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150 965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118 842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124 987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129 604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101 678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125 475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97 144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100 081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111 425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Реализация питьевой воды, в т.ч.: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86 062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85 573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83 277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78 109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80 428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Население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76 826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76 179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75 977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69 224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71 523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Бюджетнофинансируемые организации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5 454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4 071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4 509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4 325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3.3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Прочие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4 254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3 940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3 229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4580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33 133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25 489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21 698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24 905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18 179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15 616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39 902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13 867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21 972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30 996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Забор (подъем) воды (среднесуточное потребление)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462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1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  <w:szCs w:val="28"/>
        </w:rPr>
      </w:pPr>
      <w:r>
        <w:t xml:space="preserve"> </w:t>
      </w:r>
      <w:r>
        <w:rPr>
          <w:szCs w:val="28"/>
        </w:rPr>
        <w:t xml:space="preserve">Как видно из приведенной таблицы, фактические потери холодной воды при ее транспортировке по ТЗ ВС с. Толька за 20</w:t>
      </w:r>
      <w:r>
        <w:rPr>
          <w:rStyle w:val="1246"/>
        </w:rPr>
        <w:t xml:space="preserve">2</w:t>
      </w:r>
      <w:r>
        <w:rPr>
          <w:rStyle w:val="1246"/>
        </w:rPr>
        <w:t xml:space="preserve">2</w:t>
      </w:r>
      <w:r>
        <w:rPr>
          <w:szCs w:val="28"/>
        </w:rPr>
        <w:t xml:space="preserve">г. составили </w:t>
      </w:r>
      <w:r>
        <w:rPr>
          <w:rStyle w:val="1246"/>
        </w:rPr>
        <w:t xml:space="preserve">30996</w:t>
      </w:r>
      <w:r>
        <w:rPr>
          <w:rStyle w:val="1246"/>
        </w:rPr>
        <w:t xml:space="preserve">м³, (</w:t>
      </w:r>
      <w:r>
        <w:rPr>
          <w:rStyle w:val="1246"/>
        </w:rPr>
        <w:t xml:space="preserve">13</w:t>
      </w:r>
      <w:r>
        <w:rPr>
          <w:szCs w:val="28"/>
        </w:rPr>
        <w:t xml:space="preserve">% от подачи холодной воды в водопроводные сети).</w:t>
      </w:r>
      <w:r/>
    </w:p>
    <w:p>
      <w:pPr>
        <w:pStyle w:val="1075"/>
      </w:pPr>
      <w:r/>
      <w:bookmarkStart w:id="211" w:name="_Toc109995768"/>
      <w:r/>
      <w:bookmarkStart w:id="212" w:name="_Toc142312681"/>
      <w: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211"/>
      <w:r/>
      <w:bookmarkEnd w:id="21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 по с. Толька приведен 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13" w:name="_Toc109995769"/>
      <w:r/>
      <w:bookmarkStart w:id="214" w:name="_Toc142312682"/>
      <w:r>
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</w:t>
      </w:r>
      <w:bookmarkEnd w:id="213"/>
      <w:r>
        <w:t xml:space="preserve">.</w:t>
      </w:r>
      <w:bookmarkEnd w:id="21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Структурный баланс реализац</w:t>
      </w:r>
      <w:r>
        <w:rPr>
          <w:szCs w:val="28"/>
        </w:rPr>
        <w:t xml:space="preserve">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 по с. Толька приведен 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15" w:name="_Toc109995770"/>
      <w:r/>
      <w:bookmarkStart w:id="216" w:name="_Toc142312683"/>
      <w:r>
        <w:t xml:space="preserve">Сведения о фактическом потреблении н</w:t>
      </w:r>
      <w:r>
        <w:t xml:space="preserve">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</w:t>
      </w:r>
      <w:bookmarkEnd w:id="215"/>
      <w:r>
        <w:t xml:space="preserve">.</w:t>
      </w:r>
      <w:bookmarkEnd w:id="21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Общее фактическое потребление холодной воды населением по с. Толька за </w:t>
      </w:r>
      <w:r>
        <w:rPr>
          <w:rStyle w:val="1246"/>
        </w:rPr>
        <w:t xml:space="preserve">202</w:t>
      </w:r>
      <w:r>
        <w:rPr>
          <w:rStyle w:val="1246"/>
        </w:rPr>
        <w:t xml:space="preserve">2</w:t>
      </w:r>
      <w:r>
        <w:rPr>
          <w:rStyle w:val="1246"/>
        </w:rPr>
        <w:t xml:space="preserve">г. составило ~</w:t>
      </w:r>
      <w:r>
        <w:rPr>
          <w:rStyle w:val="1246"/>
        </w:rPr>
        <w:t xml:space="preserve">71523</w:t>
      </w:r>
      <w:r>
        <w:rPr>
          <w:rStyle w:val="1246"/>
        </w:rPr>
        <w:t xml:space="preserve">м³.</w:t>
      </w:r>
      <w:r>
        <w:rPr>
          <w:szCs w:val="28"/>
        </w:rPr>
        <w:t xml:space="preserve"> </w:t>
      </w:r>
      <w:r/>
    </w:p>
    <w:p>
      <w:pPr>
        <w:pStyle w:val="1340"/>
        <w:rPr>
          <w:rFonts w:asciiTheme="minorHAnsi" w:hAnsiTheme="minorHAnsi"/>
          <w:color w:val="000000"/>
        </w:rPr>
      </w:pPr>
      <w:r>
        <w:rPr>
          <w:szCs w:val="28"/>
        </w:rPr>
        <w:t xml:space="preserve">Нормативы удельного потребления коммунальных услуг по водоснабжению и водоотведению в жилых помещениях на территории Красноселькупского района утверждены Постановлением Правительства Ямало-Ненецкого автономного округа о</w:t>
      </w:r>
      <w:r>
        <w:rPr>
          <w:szCs w:val="28"/>
        </w:rPr>
        <w:t xml:space="preserve">т 18.09.2017 № 982-П «Об утверждении нормативов потребления коммунальных услуг по холодному водоснабжению, горячему водоснабжению, отведению сточных вод, нормативов потребления горячей воды, нормативов потребления холодной, горячей воды, отведения сточных </w:t>
      </w:r>
      <w:r>
        <w:rPr>
          <w:szCs w:val="28"/>
        </w:rPr>
        <w:t xml:space="preserve">вод в целях содержания общего имущества в многоквартирном доме и нормативов расхода тепловой энергии на подогрев холодной воды для предоставления коммунальной услуги по горячему водоснабжению в Ямало-Ненецком автономном округе» и приведены в таблице 1.3.2.</w:t>
      </w:r>
      <w:r>
        <w:t xml:space="preserve"> </w:t>
      </w:r>
      <w:r/>
    </w:p>
    <w:p>
      <w:pPr>
        <w:pStyle w:val="134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  <w:szCs w:val="28"/>
        </w:rPr>
        <w:t xml:space="preserve">Таблица 1.3.2 – Нормативы удельного потребления коммунальных услуг по водоснабжению и водоотведению в жилых помещениях на территории Красноселькупского района</w:t>
      </w:r>
      <w:r/>
    </w:p>
    <w:p>
      <w:pPr>
        <w:pStyle w:val="1340"/>
        <w:jc w:val="right"/>
        <w:keepLines/>
        <w:keepNext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6"/>
        <w:gridCol w:w="3002"/>
        <w:gridCol w:w="1215"/>
        <w:gridCol w:w="1833"/>
        <w:gridCol w:w="1824"/>
        <w:gridCol w:w="1208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Категория жилых помещений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Единица измерения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потребления коммунальной услуги холодного водоснабжения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потребления коммунальной услуги горячего водоснабжения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отведения сточных вод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5,71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1550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1700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4,66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Дома, использующиеся в качестве общежитий, оборудованные мойками, раковинами, унитазами, с душевыми  с централизованным холодным и горячим водоснабжением, водоотведением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1550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1700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без водонагревателей с водопроводом и канализацией, оборудованные раковинами, мойками и унитазами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3,68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водоразборной колонкой, с водоотведением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1,56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водоразборной колонкой, без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Как видно из приведенной таблицы, в зависимости от степени благоустройства жилого помещения норматив потребления услуги по холодному водоснабжению в жилых помещениях составляет от 1,03 до 5,36м³/мес/чел.</w:t>
      </w:r>
      <w:r/>
    </w:p>
    <w:p>
      <w:pPr>
        <w:pStyle w:val="1075"/>
      </w:pPr>
      <w:r/>
      <w:bookmarkStart w:id="217" w:name="_Toc109995771"/>
      <w:r/>
      <w:bookmarkStart w:id="218" w:name="_Toc142312684"/>
      <w:r>
        <w:t xml:space="preserve">Описание существующей системы коммерческого учета горячей, питьевой, технической воды и планов по установке приборов учета</w:t>
      </w:r>
      <w:bookmarkEnd w:id="217"/>
      <w:r>
        <w:t xml:space="preserve">.</w:t>
      </w:r>
      <w:bookmarkEnd w:id="21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За 20</w:t>
      </w:r>
      <w:r>
        <w:rPr>
          <w:rStyle w:val="1246"/>
        </w:rPr>
        <w:t xml:space="preserve">2</w:t>
      </w:r>
      <w:r>
        <w:rPr>
          <w:rStyle w:val="1246"/>
        </w:rPr>
        <w:t xml:space="preserve">2</w:t>
      </w:r>
      <w:r>
        <w:rPr>
          <w:rStyle w:val="1246"/>
        </w:rPr>
        <w:t xml:space="preserve">г</w:t>
      </w:r>
      <w:r>
        <w:rPr>
          <w:szCs w:val="28"/>
        </w:rPr>
        <w:t xml:space="preserve">. в с. Толька от общего объема реализации холодной воды </w:t>
      </w:r>
      <w:r>
        <w:rPr>
          <w:rStyle w:val="1246"/>
        </w:rPr>
        <w:t xml:space="preserve">абонентам </w:t>
      </w:r>
      <w:r>
        <w:rPr>
          <w:rStyle w:val="1246"/>
        </w:rPr>
        <w:t xml:space="preserve">(</w:t>
      </w:r>
      <w:r>
        <w:rPr>
          <w:rStyle w:val="1246"/>
        </w:rPr>
        <w:t xml:space="preserve">80428</w:t>
      </w:r>
      <w:r>
        <w:rPr>
          <w:rStyle w:val="1246"/>
        </w:rPr>
        <w:t xml:space="preserve">м³) порядка </w:t>
      </w:r>
      <w:r>
        <w:rPr>
          <w:rStyle w:val="1246"/>
        </w:rPr>
        <w:t xml:space="preserve">56</w:t>
      </w:r>
      <w:r>
        <w:rPr>
          <w:rStyle w:val="1246"/>
        </w:rPr>
        <w:t xml:space="preserve">% (</w:t>
      </w:r>
      <w:r>
        <w:rPr>
          <w:rStyle w:val="1246"/>
        </w:rPr>
        <w:t xml:space="preserve">44901</w:t>
      </w:r>
      <w:r>
        <w:rPr>
          <w:rStyle w:val="1246"/>
        </w:rPr>
        <w:t xml:space="preserve">м³)</w:t>
      </w:r>
      <w:r>
        <w:rPr>
          <w:rStyle w:val="1246"/>
        </w:rPr>
        <w:t xml:space="preserve"> было</w:t>
      </w:r>
      <w:r>
        <w:rPr>
          <w:szCs w:val="28"/>
        </w:rPr>
        <w:t xml:space="preserve"> определено расчетным путем, что говорит о незначительной оснащенности приборами коммерческого учета абонентов.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муниципальных учреждениях с. Толька установлено 6 приборов учета холодной воды. Согласно плану установки приборов учета в ближайшей перспективе не планируется установка приборов учета холодной воды.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Расчет за потребленное количество воды абонентами ЦС ХВС с. Толька осуществляется на основании значений приборов учета воды. В случае отсутствия приборов учета объем воды определяется в соответствии с принятыми нормативами потребления питьевой воды.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соответствии с частью 5 статьи 13 ФЗ РФ от 23.11.2009 № 261-ФЗ до 01.07.2012 собственники жилых</w:t>
      </w:r>
      <w:r>
        <w:rPr>
          <w:szCs w:val="28"/>
        </w:rPr>
        <w:t xml:space="preserve"> домов, собственники помещений в многоквартирных домах, введенных в эксплуатацию на день вступления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</w:t>
      </w:r>
      <w:r>
        <w:rPr>
          <w:szCs w:val="28"/>
        </w:rPr>
        <w:t xml:space="preserve">а также ввод установленных приборов учета в эксплуатацию. При этом многоквартирные дома в ука</w:t>
      </w:r>
      <w:r>
        <w:rPr>
          <w:szCs w:val="28"/>
        </w:rPr>
        <w:t xml:space="preserve">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соответствии с пунктом 38_1 Правил содержания общего имущества в многоквартир</w:t>
      </w:r>
      <w:r>
        <w:rPr>
          <w:szCs w:val="28"/>
        </w:rPr>
        <w:t xml:space="preserve">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коллек</w:t>
      </w:r>
      <w:r>
        <w:rPr>
          <w:szCs w:val="28"/>
        </w:rP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rPr>
          <w:szCs w:val="28"/>
        </w:rP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Счета на оплату расходов на установку коллект</w:t>
      </w:r>
      <w:r>
        <w:rPr>
          <w:szCs w:val="28"/>
        </w:rP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rPr>
          <w:szCs w:val="28"/>
        </w:rP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Также, в соответствии с частью 9 статьи 1</w:t>
      </w:r>
      <w:r>
        <w:rPr>
          <w:szCs w:val="28"/>
        </w:rPr>
        <w:t xml:space="preserve">3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энергетических ресурсов, снабжение которыми или передачу которых они осуществляют.</w:t>
      </w:r>
      <w:r/>
    </w:p>
    <w:p>
      <w:pPr>
        <w:pStyle w:val="1075"/>
      </w:pPr>
      <w:r/>
      <w:bookmarkStart w:id="219" w:name="_Toc109995772"/>
      <w:r/>
      <w:bookmarkStart w:id="220" w:name="_Toc142312685"/>
      <w:r>
        <w:t xml:space="preserve">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</w:t>
      </w:r>
      <w:bookmarkEnd w:id="219"/>
      <w:r>
        <w:t xml:space="preserve">.</w:t>
      </w:r>
      <w:bookmarkEnd w:id="22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Анализ резервов и дефицитов производственных мощностей системы водоснабжения с. Толька приведен 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1.3.1</w:t>
        </w:r>
      </w:hyperlink>
      <w:r>
        <w:rPr>
          <w:szCs w:val="28"/>
        </w:rPr>
        <w:t xml:space="preserve">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По ТЗ ВС с. Толька </w:t>
      </w:r>
      <w:r>
        <w:rPr>
          <w:rStyle w:val="1246"/>
        </w:rPr>
        <w:t xml:space="preserve">на 202</w:t>
      </w:r>
      <w:r>
        <w:rPr>
          <w:rStyle w:val="1246"/>
        </w:rPr>
        <w:t xml:space="preserve">2</w:t>
      </w:r>
      <w:r>
        <w:rPr>
          <w:rStyle w:val="1246"/>
        </w:rPr>
        <w:t xml:space="preserve">г. резерв производственной мощности водозаборных сооружений составил 1</w:t>
      </w:r>
      <w:r>
        <w:rPr>
          <w:rStyle w:val="1246"/>
        </w:rPr>
        <w:t xml:space="preserve">3</w:t>
      </w:r>
      <w:r>
        <w:rPr>
          <w:rStyle w:val="1246"/>
        </w:rPr>
        <w:t xml:space="preserve">%.</w:t>
      </w:r>
      <w:r>
        <w:rPr>
          <w:szCs w:val="28"/>
        </w:rPr>
        <w:t xml:space="preserve"> В 2019г. наблюдался дефицит мощности производственной водозаборных сооружений (1%).</w:t>
      </w:r>
      <w:r/>
    </w:p>
    <w:p>
      <w:pPr>
        <w:pStyle w:val="1075"/>
      </w:pPr>
      <w:r/>
      <w:bookmarkStart w:id="221" w:name="_Toc109995773"/>
      <w:r/>
      <w:bookmarkStart w:id="222" w:name="_Toc142312686"/>
      <w:r>
        <w:t xml:space="preserve">Прогнозные балансы потребления горячей, питьевой, технической воды на срок до 20</w:t>
      </w:r>
      <w:r>
        <w:t xml:space="preserve">3</w:t>
      </w:r>
      <w:r>
        <w:t xml:space="preserve">8</w:t>
      </w:r>
      <w:r>
        <w:t xml:space="preserve"> года с учётом различных сценариев развития населенного пункта, рассчитанные на ос</w:t>
      </w:r>
      <w:r>
        <w:t xml:space="preserve">новании расхода горячей, питьевой, технической воды в соответствии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</w:t>
      </w:r>
      <w:bookmarkEnd w:id="221"/>
      <w:r>
        <w:t xml:space="preserve">.</w:t>
      </w:r>
      <w:bookmarkEnd w:id="22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Прогнозные балансы потребления горячей, питьевой, технической воды на период 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rStyle w:val="1246"/>
        </w:rPr>
        <w:t xml:space="preserve">-20</w:t>
      </w:r>
      <w:r>
        <w:rPr>
          <w:rStyle w:val="1246"/>
        </w:rPr>
        <w:t xml:space="preserve">3</w:t>
      </w:r>
      <w:r>
        <w:rPr>
          <w:rStyle w:val="1246"/>
        </w:rPr>
        <w:t xml:space="preserve">8</w:t>
      </w:r>
      <w:r>
        <w:rPr>
          <w:rStyle w:val="1246"/>
        </w:rPr>
        <w:t xml:space="preserve">г</w:t>
      </w:r>
      <w:r>
        <w:rPr>
          <w:rStyle w:val="1246"/>
        </w:rPr>
        <w:t xml:space="preserve">г</w:t>
      </w:r>
      <w:r>
        <w:rPr>
          <w:szCs w:val="28"/>
        </w:rPr>
        <w:t xml:space="preserve">. по с. Толька в соответствии с текущим потреблением воды приведены в таблице 1.3.3.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Прогнозные балансы потребления горячей, питьевой, технической воды на период 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rStyle w:val="1246"/>
        </w:rPr>
        <w:t xml:space="preserve">-20</w:t>
      </w:r>
      <w:r>
        <w:rPr>
          <w:rStyle w:val="1246"/>
        </w:rPr>
        <w:t xml:space="preserve">3</w:t>
      </w:r>
      <w:r>
        <w:rPr>
          <w:rStyle w:val="1246"/>
        </w:rPr>
        <w:t xml:space="preserve">8</w:t>
      </w:r>
      <w:r>
        <w:rPr>
          <w:rStyle w:val="1246"/>
        </w:rPr>
        <w:t xml:space="preserve">гг</w:t>
      </w:r>
      <w:r>
        <w:rPr>
          <w:szCs w:val="28"/>
        </w:rPr>
        <w:t xml:space="preserve">. по с. Толька в соответствии с СП31.13330.2021 приведены в таблице 1.3.4.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340"/>
        <w:keepLines/>
        <w:keepNext/>
        <w:rPr>
          <w:b/>
          <w:color w:val="000000"/>
          <w:szCs w:val="28"/>
        </w:rPr>
        <w:sectPr>
          <w:headerReference w:type="default" r:id="rId14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  <w:szCs w:val="28"/>
        </w:rPr>
      </w:r>
      <w:r/>
    </w:p>
    <w:p>
      <w:pPr>
        <w:pStyle w:val="1340"/>
        <w:jc w:val="right"/>
        <w:keepLines/>
        <w:keepNext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1.3.3 – Прогнозные балансы потребления горячей, питьевой, технической воды на период </w:t>
      </w:r>
      <w:r>
        <w:rPr>
          <w:rStyle w:val="1246"/>
          <w:b/>
          <w:bCs/>
        </w:rPr>
        <w:t xml:space="preserve">202</w:t>
      </w:r>
      <w:r>
        <w:rPr>
          <w:rStyle w:val="1246"/>
          <w:b/>
          <w:bCs/>
        </w:rPr>
        <w:t xml:space="preserve">3</w:t>
      </w:r>
      <w:r>
        <w:rPr>
          <w:rStyle w:val="1246"/>
          <w:b/>
          <w:bCs/>
        </w:rPr>
        <w:t xml:space="preserve">-20</w:t>
      </w:r>
      <w:r>
        <w:rPr>
          <w:rStyle w:val="1246"/>
          <w:b/>
          <w:bCs/>
        </w:rPr>
        <w:t xml:space="preserve">3</w:t>
      </w:r>
      <w:r>
        <w:rPr>
          <w:rStyle w:val="1246"/>
          <w:b/>
          <w:bCs/>
        </w:rPr>
        <w:t xml:space="preserve">8</w:t>
      </w:r>
      <w:r>
        <w:rPr>
          <w:rStyle w:val="1246"/>
          <w:b/>
          <w:bCs/>
        </w:rPr>
        <w:t xml:space="preserve">г</w:t>
      </w:r>
      <w:r>
        <w:rPr>
          <w:rStyle w:val="1246"/>
          <w:b/>
          <w:bCs/>
        </w:rPr>
        <w:t xml:space="preserve">г</w:t>
      </w:r>
      <w:r>
        <w:rPr>
          <w:b/>
          <w:bCs/>
          <w:szCs w:val="28"/>
        </w:rPr>
        <w:t xml:space="preserve">. по с. Толька в соответствии с текущим потреблением воды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5000" w:type="pct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2"/>
        <w:gridCol w:w="2335"/>
        <w:gridCol w:w="508"/>
        <w:gridCol w:w="717"/>
        <w:gridCol w:w="714"/>
        <w:gridCol w:w="714"/>
        <w:gridCol w:w="714"/>
        <w:gridCol w:w="714"/>
        <w:gridCol w:w="714"/>
        <w:gridCol w:w="714"/>
        <w:gridCol w:w="714"/>
        <w:gridCol w:w="713"/>
        <w:gridCol w:w="713"/>
        <w:gridCol w:w="713"/>
        <w:gridCol w:w="713"/>
        <w:gridCol w:w="713"/>
        <w:gridCol w:w="713"/>
        <w:gridCol w:w="713"/>
        <w:gridCol w:w="713"/>
      </w:tblGrid>
      <w:tr>
        <w:trPr>
          <w:trHeight w:val="20"/>
          <w:tblHeader/>
        </w:trPr>
        <w:tc>
          <w:tcPr>
            <w:shd w:val="clear" w:color="000000" w:fill="bfbfbf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ТЗ ВС с. Толька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W w:w="242" w:type="pct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132 641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134 393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136 047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137 673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139 272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140 846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142 396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143 921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145 423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146 903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148 361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149 798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151 215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152 612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153 990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155 349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114 013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115 318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116 523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117 702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118 853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119 980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121 081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122 159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123 213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124 245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125 255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126 244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127 213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128 162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129 092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130 003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Реализация питьевой воды, в т.ч.: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82 297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84 165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86 034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87 902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89 771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91 640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93 508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95 377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97 245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99 114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100 983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102 851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104 720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106 588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108 457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110 326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3.1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Население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73 285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75 047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76 809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78 571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80 333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82 095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83 857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85 619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87 381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89 143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90 905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92 667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94 429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96 191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97 953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99 715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3.2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Бюджетнофинансируемые организации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4 432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4 538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4 645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4 751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4 858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4 964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5 071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5 177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5 284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5 391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5 497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5 604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5 710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5 817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5 923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6 030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3.3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jc w:val="right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Прочие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4 580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18 627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19 075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19 523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19 971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20 419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20 867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21 315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21 762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22 210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22 658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23 106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23 554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24 002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24 450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24 898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25 345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31 717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31 152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30 490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29 799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29 082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28 340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27 573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26 782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25 968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25 131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24 273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23 393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22 493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21 574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20 635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19 678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(среднесуточное потребление)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472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479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485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490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496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507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513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518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523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528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539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544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548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553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327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311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306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302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40%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39%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38%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38%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37%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36%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35%</w:t>
            </w:r>
            <w:r/>
          </w:p>
        </w:tc>
        <w:tc>
          <w:tcPr>
            <w:shd w:val="clear" w:color="auto" w:fill="auto"/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35%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</w:rPr>
        <w:br w:type="page" w:clear="all"/>
      </w:r>
      <w:r>
        <w:rPr>
          <w:b/>
          <w:bCs/>
          <w:szCs w:val="28"/>
        </w:rPr>
        <w:t xml:space="preserve">Таблица 1.3.4 – Прогнозные балансы потребления горячей, питьевой, технической воды на период 20</w:t>
      </w:r>
      <w:r>
        <w:rPr>
          <w:rStyle w:val="1246"/>
          <w:b/>
          <w:bCs/>
        </w:rPr>
        <w:t xml:space="preserve">2</w:t>
      </w:r>
      <w:r>
        <w:rPr>
          <w:rStyle w:val="1246"/>
          <w:b/>
          <w:bCs/>
        </w:rPr>
        <w:t xml:space="preserve">3</w:t>
      </w:r>
      <w:r>
        <w:rPr>
          <w:b/>
          <w:bCs/>
          <w:szCs w:val="28"/>
        </w:rPr>
        <w:t xml:space="preserve">-2</w:t>
      </w:r>
      <w:r>
        <w:rPr>
          <w:b/>
          <w:bCs/>
        </w:rPr>
        <w:t xml:space="preserve">03</w:t>
      </w:r>
      <w:r>
        <w:rPr>
          <w:b/>
          <w:bCs/>
        </w:rPr>
        <w:t xml:space="preserve">8</w:t>
      </w:r>
      <w:r>
        <w:rPr>
          <w:b/>
          <w:bCs/>
          <w:szCs w:val="28"/>
        </w:rPr>
        <w:t xml:space="preserve">гг. по с. Толька в соответствии с СП 31.13330.2021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9"/>
        <w:gridCol w:w="2334"/>
        <w:gridCol w:w="508"/>
        <w:gridCol w:w="714"/>
        <w:gridCol w:w="714"/>
        <w:gridCol w:w="713"/>
        <w:gridCol w:w="713"/>
        <w:gridCol w:w="716"/>
        <w:gridCol w:w="713"/>
        <w:gridCol w:w="713"/>
        <w:gridCol w:w="713"/>
        <w:gridCol w:w="716"/>
        <w:gridCol w:w="713"/>
        <w:gridCol w:w="713"/>
        <w:gridCol w:w="713"/>
        <w:gridCol w:w="716"/>
        <w:gridCol w:w="713"/>
        <w:gridCol w:w="713"/>
        <w:gridCol w:w="713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ТЗ ВС с. Толька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188 610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198 875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202 150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205 398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208 619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211 815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214 986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218 132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221 256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224 358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227 437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230 496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233 534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236 552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239 552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242 532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169 982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172 743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175 404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178 038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180 646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183 228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185 785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188 319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190 829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193 316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195 783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198 228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200 652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203 057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205 443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207 810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Реализация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138 266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141 590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144 914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148 239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151 563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154 888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158 212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161 537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164 861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168 185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171 510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174 834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178 159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181 483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184 808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188 132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18 627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26 133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26 746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27 360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27 973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28 587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29 814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30 428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31 041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31 655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32 268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32 882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33 495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34 109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34 722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31 717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31 152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30 490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29 799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29 082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28 340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27 573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26 782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25 968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25 131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24 273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23 393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22 493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21 574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20 635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19 678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(среднесуточное потребление)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в сутки максимального водопотребления (требуемая производительность водозаборных сооружения и СВП)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864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-33%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-35%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-42%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-44%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-2%</w:t>
            </w:r>
            <w:r/>
          </w:p>
        </w:tc>
      </w:tr>
    </w:tbl>
    <w:p>
      <w:pPr>
        <w:pStyle w:val="1340"/>
        <w:rPr>
          <w:color w:val="000000"/>
        </w:rPr>
        <w:sectPr>
          <w:footnotePr/>
          <w:endnotePr/>
          <w:type w:val="nextPage"/>
          <w:pgSz w:w="16838" w:h="11906" w:orient="landscape"/>
          <w:pgMar w:top="1134" w:right="539" w:bottom="1134" w:left="1559" w:header="709" w:footer="709" w:gutter="0"/>
          <w:cols w:num="1" w:sep="0" w:space="708" w:equalWidth="1"/>
          <w:docGrid w:linePitch="360"/>
        </w:sectPr>
      </w:pPr>
      <w:r>
        <w:t xml:space="preserve"> 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Указанные в таблице выше расчетные показатели определены в соответствии со сценарием развития с. Толька, приведенным выше в </w:t>
      </w:r>
      <w:hyperlink w:tooltip="#_Различные_сценарии_развития" w:anchor="_Различные_сценарии_развит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1.2.2</w:t>
        </w:r>
      </w:hyperlink>
      <w:r>
        <w:rPr>
          <w:szCs w:val="28"/>
        </w:rPr>
        <w:t xml:space="preserve">, а также учитывают эффекты от реализации мероприятий по строительству, реконструкции и модернизации объектов централизованных систем водоснабжения, приведенных выше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Разделе 1.4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23" w:name="_Toc109995774"/>
      <w:r/>
      <w:bookmarkStart w:id="224" w:name="_Toc142312687"/>
      <w: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23"/>
      <w:r>
        <w:t xml:space="preserve">.</w:t>
      </w:r>
      <w:bookmarkEnd w:id="22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Централизованная система горячего водоснабжения с использованием закрытых систем горячего водоснабжения на территории с. Толька отсутствует.</w:t>
      </w:r>
      <w:r/>
    </w:p>
    <w:p>
      <w:pPr>
        <w:pStyle w:val="1075"/>
      </w:pPr>
      <w:r/>
      <w:bookmarkStart w:id="225" w:name="_Toc109995775"/>
      <w:r/>
      <w:bookmarkStart w:id="226" w:name="_Toc142312688"/>
      <w: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25"/>
      <w:r>
        <w:t xml:space="preserve">.</w:t>
      </w:r>
      <w:bookmarkEnd w:id="22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 по с. Толька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1.3.7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27" w:name="_Toc109995776"/>
      <w:r/>
      <w:bookmarkStart w:id="228" w:name="_Toc142312689"/>
      <w: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227"/>
      <w:r>
        <w:t xml:space="preserve">.</w:t>
      </w:r>
      <w:bookmarkEnd w:id="22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зонам, по с. Толька приведено 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29" w:name="_Toc109995777"/>
      <w:r/>
      <w:bookmarkStart w:id="230" w:name="_Toc142312690"/>
      <w:r>
        <w:t xml:space="preserve">Прогноз распределения расходов воды на водоснабжение по типам абонентов, в том чис</w:t>
      </w:r>
      <w:r>
        <w:t xml:space="preserve">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229"/>
      <w:r>
        <w:t xml:space="preserve">.</w:t>
      </w:r>
      <w:bookmarkEnd w:id="23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Прогноз распределения расходов воды на водоснабжение по типам абонентов, в том числе на водоснабжение жилых здан</w:t>
      </w:r>
      <w:r>
        <w:rPr>
          <w:szCs w:val="28"/>
        </w:rPr>
        <w:t xml:space="preserve">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 по с. Толька приведен 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1.3.7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31" w:name="_Toc109995778"/>
      <w:r/>
      <w:bookmarkStart w:id="232" w:name="_Toc142312691"/>
      <w: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231"/>
      <w:r>
        <w:t xml:space="preserve">.</w:t>
      </w:r>
      <w:bookmarkEnd w:id="232"/>
      <w:r/>
      <w:r/>
    </w:p>
    <w:p>
      <w:pPr>
        <w:pStyle w:val="1340"/>
        <w:tabs>
          <w:tab w:val="left" w:pos="992" w:leader="none"/>
        </w:tabs>
        <w:rPr>
          <w:color w:val="000000"/>
          <w:szCs w:val="28"/>
        </w:rPr>
      </w:pPr>
      <w:r>
        <w:rPr>
          <w:szCs w:val="28"/>
        </w:rP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 по с. Толька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1.3.7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33" w:name="_Toc109995779"/>
      <w:r/>
      <w:bookmarkStart w:id="234" w:name="_Toc142312692"/>
      <w:r>
        <w:t xml:space="preserve">Перспективные балансы водоснабжения и водоотведения (общий - балан</w:t>
      </w:r>
      <w:r>
        <w:t xml:space="preserve">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233"/>
      <w:r>
        <w:t xml:space="preserve">.</w:t>
      </w:r>
      <w:bookmarkEnd w:id="23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Перспективные балансы водоснабжения (общий – баланс подачи и реализации горячей, </w:t>
      </w:r>
      <w:r>
        <w:rPr>
          <w:szCs w:val="28"/>
        </w:rPr>
        <w:t xml:space="preserve">питьевой,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 по с. Толька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1.3.7</w:t>
        </w:r>
      </w:hyperlink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Перспективные балансы водоотведения по ЦС ВО, действующим на территории с. Толька, рассмотрены ниже в </w:t>
      </w:r>
      <w:hyperlink w:tooltip="#_Сведения_о_фактическом" w:anchor="_Сведения_о_фактическом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2.3.1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35" w:name="_Toc109995780"/>
      <w:r/>
      <w:bookmarkStart w:id="236" w:name="_Toc142312693"/>
      <w:r>
        <w:t xml:space="preserve">Расчет требуемой мощности водозаборных и очистных сооружений исходя из данных о перспективном потреблении горячей, питьевой, </w:t>
      </w:r>
      <w:r>
        <w:t xml:space="preserve">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235"/>
      <w:r>
        <w:t xml:space="preserve">.</w:t>
      </w:r>
      <w:bookmarkEnd w:id="23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</w:t>
      </w:r>
      <w:r>
        <w:rPr>
          <w:szCs w:val="28"/>
        </w:rPr>
        <w:t xml:space="preserve">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 по с. Толька приведен 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1.3.7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37" w:name="_Toc109995781"/>
      <w:r/>
      <w:bookmarkStart w:id="238" w:name="_Toc142312694"/>
      <w:r>
        <w:t xml:space="preserve">Наименование организации, которая наделена статусом гарантирующей организации</w:t>
      </w:r>
      <w:bookmarkEnd w:id="237"/>
      <w:r>
        <w:t xml:space="preserve">.</w:t>
      </w:r>
      <w:bookmarkEnd w:id="23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ФЗ РФ от 07.12.2011 № 416-ФЗ введены и определены следующие понятия и требования:</w:t>
      </w:r>
      <w:r/>
    </w:p>
    <w:p>
      <w:pPr>
        <w:pStyle w:val="1340"/>
        <w:numPr>
          <w:ilvl w:val="0"/>
          <w:numId w:val="6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статья 2 главы 1: «гарантирующая организация –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</w:t>
      </w:r>
      <w:r>
        <w:rPr>
          <w:szCs w:val="28"/>
        </w:rPr>
        <w:t xml:space="preserve">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водоотведения»;</w:t>
      </w:r>
      <w:r/>
    </w:p>
    <w:p>
      <w:pPr>
        <w:pStyle w:val="1340"/>
        <w:numPr>
          <w:ilvl w:val="0"/>
          <w:numId w:val="6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ст</w:t>
      </w:r>
      <w:r>
        <w:rPr>
          <w:szCs w:val="28"/>
        </w:rPr>
        <w:t xml:space="preserve">атья 6 главы 2: к полномочиям органов местного самоуправления поселений, городских округов относится определение для каждой централизованной системы холодного водоснабжения и (или) водоотведения гарантирующей организации и установление зон ее деятельности;</w:t>
      </w:r>
      <w:r/>
    </w:p>
    <w:p>
      <w:pPr>
        <w:pStyle w:val="1340"/>
        <w:numPr>
          <w:ilvl w:val="0"/>
          <w:numId w:val="6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1 статьи 12 главы 3: «Органы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</w:t>
      </w:r>
      <w:r>
        <w:rPr>
          <w:szCs w:val="28"/>
        </w:rPr>
        <w:t xml:space="preserve">организацию и устанавливают зоны ее деятельности. Для централизованных ливневых систем водоотведения гарантирующая организация не определяется»;</w:t>
      </w:r>
      <w:r/>
    </w:p>
    <w:p>
      <w:pPr>
        <w:pStyle w:val="1340"/>
        <w:numPr>
          <w:ilvl w:val="0"/>
          <w:numId w:val="6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2 статьи 12 главы 3: «Организация, осуществляющая холодное водоснабжение и (или) водоотведение и эксплуатирующая водопроводные и (или) канализа</w:t>
      </w:r>
      <w:r>
        <w:rPr>
          <w:szCs w:val="28"/>
        </w:rPr>
        <w:t xml:space="preserve">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водоотведение»;</w:t>
      </w:r>
      <w:r/>
    </w:p>
    <w:p>
      <w:pPr>
        <w:pStyle w:val="1340"/>
        <w:numPr>
          <w:ilvl w:val="0"/>
          <w:numId w:val="6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2 статьи 42 главы 8: «До 1 июля 2013 года органы местного самоуправления поселения, городского округа осуществляют ин</w:t>
      </w:r>
      <w:r>
        <w:rPr>
          <w:szCs w:val="28"/>
        </w:rPr>
        <w:t xml:space="preserve">вентаризацию водопроводных и канализационных сетей, участвующих в водоснабжении и водоотведении (транспортировке воды и сточных вод), утверждают схему водоснабжения и водоотведения, определяют гарантирующую организацию, устанавливают зоны ее деятельности».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На момент настоящей актуализации Схемы ВСиВО Красноселькупского района на территории с. Толька статусом гарантирующей организации наделена ООО «Ямал-Энерго».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39" w:name="_Toc109995782"/>
      <w:r/>
      <w:bookmarkStart w:id="240" w:name="_Toc142312695"/>
      <w:r>
        <w:t xml:space="preserve">Предложения по строительству, реконструкции и модернизации объектов централизованных систем водоснабжения</w:t>
      </w:r>
      <w:bookmarkEnd w:id="239"/>
      <w:r/>
      <w:bookmarkEnd w:id="24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41" w:name="_Toc109995783"/>
      <w:r/>
      <w:bookmarkStart w:id="242" w:name="_Toc142312696"/>
      <w:r>
        <w:t xml:space="preserve">Перечень основных мероприятий по реализации схем водоснабжения с разбивкой по годам</w:t>
      </w:r>
      <w:bookmarkEnd w:id="241"/>
      <w:r>
        <w:t xml:space="preserve">.</w:t>
      </w:r>
      <w:bookmarkEnd w:id="24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Перечень основных мероприятий по реализации Схемы водоснабжения </w:t>
      </w:r>
      <w:r>
        <w:rPr>
          <w:szCs w:val="28"/>
        </w:rPr>
        <w:br/>
        <w:t xml:space="preserve"> с. Толька с разбивкой по годам приведен в таблице 1.4.1.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1.4.1 – Перечень основных мероприятий по реализации Схемы водоснабжения с. Толька с разбивкой по годам</w:t>
      </w:r>
      <w:r/>
    </w:p>
    <w:p>
      <w:pPr>
        <w:rPr>
          <w:color w:val="000000"/>
        </w:rPr>
      </w:pPr>
      <w:r>
        <w:t xml:space="preserve"> </w:t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014"/>
        <w:gridCol w:w="6000"/>
        <w:gridCol w:w="1307"/>
        <w:gridCol w:w="1307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Период реализации, гг.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начало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конец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2-х водозаборных скважин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водозаборной скважины № 6 по ул. Геофизиков, д. 1 строение 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ТП №19-ул. Светлогорская, дом 1, протяженностью 157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 ул. Светлогорская (котельная №1), протяженность 613 м.п., ремонтируемый участок сети водоснабжения от ТП 4 до ТП 19 протяженностью 131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 ул. Молодежная, ремонтируемый участок сети теплоснабжения от УТ 226 до УТ 230, протяженностью 177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трубопровода водоснабжения в с. Толька, ул. Геофизиков - 70 лет Октября от  ТП 7 до ТП 25, протяженностью 340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Таежная (от котельной №2 до ТП 8), протяженностью 509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 Толька, ул .Сидорова от ТП-189, протяженностью 229м.п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Полевая от ТП-216, протяженностью 212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Механизаторов (от ТП 76), протяженностью  61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части тепловой и водопроводной сети, с.Толька, ул. Ямальский тупик, от ТП 4 (часть сети протяженностью 257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  с. Толька, ул. Механизаторов от ТП-96, протяженностью 222 п.м.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Геофизиков от ТП-216, протяженностью 335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Солнечная (от ТП 3 до ТП 4), протяженностью 524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с.Толька, ул. Советская (от ТП 10) , протяженностью 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65 до ТП 73), протяженностью 360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от ПНС-1 до ТП – 145),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протяженностью 220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ПТ 76 до электростанции), протяженностью 100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Перспективная (от ТП1 до ТП 14), протяженностью 536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Центральная (от ТП 24 до ТП 31),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котельной №2 до ТП 76), протяженностью 245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Вернадского, протяженностью 15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Надежды (пожводоём), протяженностью 899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  ул. Таежная от ТП 51 до ТП 63 (до ул.Лесная д. 25), протяженностью 140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 Строителей (ТП 64), протяженностью 253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70),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(магазин «Мечта»), протяженностью 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71),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Лесная (магазин «Подарки», «Столовая-ресторан»), протяженностью 81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119- ул. Центральная д. 15, протяженностью 98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108- ул. Набережная 19А, протяженностью 109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Мангазейская (от ТП 13), протяженностью 195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(дом ремёсел), протяженностью 96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Набережная (от ТП 24), протяженностью 613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Сидорова (от ТП 5), протяженностью 285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64), протяженностью 430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2035</w:t>
            </w:r>
            <w:r/>
          </w:p>
        </w:tc>
      </w:tr>
    </w:tbl>
    <w:p>
      <w:pPr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243" w:name="_Toc142312697"/>
      <w:r>
        <w:t xml:space="preserve">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характерис</w:t>
      </w:r>
      <w:r>
        <w:t xml:space="preserve">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Схемами.</w:t>
      </w:r>
      <w:bookmarkEnd w:id="243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Технические обоснования основных мероприятий по реализации схем водоснабжения, в том числе гидрогеологические характеристики</w:t>
      </w:r>
      <w:r>
        <w:rPr>
          <w:szCs w:val="28"/>
        </w:rPr>
        <w:t xml:space="preserve">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 с. Толька, приведены в таблице 1.4.2.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1.4.2 – Технические обоснования основных мероприятий по реализации схем водоснабжения, в том числе гидро</w:t>
      </w:r>
      <w:r>
        <w:rPr>
          <w:b/>
          <w:bCs/>
          <w:szCs w:val="28"/>
        </w:rPr>
        <w:t xml:space="preserve">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 с. Толька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914"/>
        <w:gridCol w:w="5417"/>
        <w:gridCol w:w="3297"/>
      </w:tblGrid>
      <w:tr>
        <w:trPr>
          <w:trHeight w:val="517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Техническое обоснование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2-х водозаборных скважин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Обеспечение подачи абонентам определенного объема горячей, </w:t>
            </w: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питьевой воды установленного качества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водозаборной скважины № 6 по ул. Геофизиков, д. 1 строение 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Обеспечение подачи абонентам определенного объема горячей, питьевой воды установленного качества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Организация и обеспечение централизованного водоснабжения на территориях, где оно отсутствует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ТП №19-ул. Светлогорская, дом 1, протяженностью 157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 ул. Светлогорская (котельная №1), протяженность 613 м.п., ремонтируемый участок сети водоснабжения от ТП 4 до ТП 19 протяженностью 131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 ул. Молодежная, ремонтируемый участок сети теплоснабжения от УТ 226 до УТ 230, протяженностью 177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трубопровода водоснабжения в с. Толька, ул. Геофизиков - 70 лет Октября от  ТП 7 до ТП 25, протяженностью 340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Таежная (от котельной №2 до ТП 8), протяженностью 509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 Толька, ул .Сидорова от ТП-189, протяженностью 229м.п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Полевая от ТП-216, протяженностью 212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Механизаторов (от ТП 76), протяженностью  61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части тепловой и водопроводной сети, с.Толька, ул. Ямальский тупик, от ТП 4 (часть сети протяженностью 257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  с. Толька, ул. Механизаторов от ТП-96, протяженностью 222 п.м.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Геофизиков от ТП-216, протяженностью 335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Солнечная (от ТП 3 до ТП 4), протяженностью 524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с.Толька, ул. Советская (от ТП 10) , протяженностью 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65 до ТП 73), протяженностью 360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от ПНС-1 до ТП – 145),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протяженностью 220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ПТ 76 до электростанции), протяженностью 100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Перспективная (от ТП1 до ТП 14), протяженностью 536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Центральная (от ТП 24 до ТП 31),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котельной №2 до ТП 76), протяженностью 245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Вернадского, протяженностью 15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Надежды (пожводоём), протяженностью 899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  ул. Таежная от ТП 51 до ТП 63 (до ул.Лесная д. 25), протяженностью 140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 Строителей (ТП 64), протяженностью 253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70),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(магазин «Мечта»), протяженностью 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71),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Лесная (магазин «Подарки», «Столовая-ресторан»), протяженностью 81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119- ул. Центральная д. 15, протяженностью 98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108- ул. Набережная 19А, протяженностью 109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Мангазейская (от ТП 13), протяженностью 195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(дом ремёсел), протяженностью 96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Набережная (от ТП 24), протяженностью 613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Сидорова (от ТП 5), протяженностью 285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64), протяженностью 430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</w:tbl>
    <w:p>
      <w:pPr>
        <w:rPr>
          <w:color w:val="000000"/>
        </w:rPr>
      </w:pPr>
      <w:r>
        <w:t xml:space="preserve"> </w:t>
      </w:r>
      <w:r>
        <w:tab/>
      </w:r>
      <w:r/>
    </w:p>
    <w:p>
      <w:pPr>
        <w:pStyle w:val="1075"/>
      </w:pPr>
      <w:r/>
      <w:bookmarkStart w:id="244" w:name="_Toc142312698"/>
      <w:r>
        <w:t xml:space="preserve">Сведения о вновь строящихся, реконструируемых и предлагаемых к выводу из эксплуатации объектах системы водоснабжения.</w:t>
      </w:r>
      <w:bookmarkEnd w:id="24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Сведения о вновь строящихся, реконструируемых и предлагаемых к выводу из эксплуатации объектах системы водоснабжения с. Толька приведены в таблице 1.4.3.</w:t>
      </w:r>
      <w:r>
        <w:t xml:space="preserve"> </w:t>
      </w:r>
      <w:r/>
    </w:p>
    <w:p>
      <w:pPr>
        <w:spacing w:after="200" w:line="276" w:lineRule="auto"/>
        <w:rPr>
          <w:rFonts w:ascii="Liberation Serif" w:hAnsi="Liberation Serif"/>
          <w:b/>
          <w:bCs/>
          <w:color w:val="000000"/>
          <w:sz w:val="28"/>
          <w:szCs w:val="28"/>
        </w:rPr>
      </w:pPr>
      <w:r>
        <w:rPr>
          <w:b/>
          <w:bCs/>
          <w:szCs w:val="28"/>
        </w:rPr>
        <w:br w:type="page" w:clear="all"/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1.4.3 – Сведения о вновь строящихся, реконструируемых и предлагаемых к выводу из эксплуатации объектах системы водоснабжения с. Толька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3948"/>
        <w:gridCol w:w="652"/>
        <w:gridCol w:w="1261"/>
        <w:gridCol w:w="1261"/>
        <w:gridCol w:w="486"/>
        <w:gridCol w:w="486"/>
        <w:gridCol w:w="486"/>
        <w:gridCol w:w="486"/>
      </w:tblGrid>
      <w:tr>
        <w:trPr>
          <w:trHeight w:val="43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245" w:name="_Toc109995786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43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водопроводные сети</w:t>
            </w:r>
            <w:r/>
          </w:p>
        </w:tc>
        <w:tc>
          <w:tcPr>
            <w:gridSpan w:val="5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прочие объекты</w:t>
            </w:r>
            <w:r/>
          </w:p>
        </w:tc>
      </w:tr>
      <w:tr>
        <w:trPr>
          <w:trHeight w:val="12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L, 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Dу, мм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водозаборные сооружения,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СВП,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ВНС, м³/ч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РдВ, м³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иное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</w:tr>
      <w:tr>
        <w:trPr>
          <w:trHeight w:val="10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2-х водозаборных скважин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10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водозаборной скважины № 6 по ул. Геофизиков, д. 1 строение 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127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7200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50-100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ТП №19-ул. Светлогорская, дом 1, протяженностью 157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127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 ул. Светлогорская (котельная №1), протяженность 613 м.п., ремонтируемый участок сети водоснабжения от ТП 4 до ТП 19 протяженностью 131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10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 ул. Молодежная, ремонтируемый участок сети теплоснабжения от УТ 226 до УТ 230, протяженностью 177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Реконструкция трубопровода водоснабжения в с. Толька, ул. Геофизиков - 70 лет Октября от  ТП 7 до ТП 25, протяженностью 340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Таежная (от котельной №2 до ТП 8), протяженностью 509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509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 Толька, ул .Сидорова от ТП-189, протяженностью 229м.п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299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Полевая от ТП-216, протяженностью 212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Механизаторов (от ТП 76), протяженностью  61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10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части тепловой и водопроводной сети, с.Толька, ул. Ямальский тупик, от ТП 4 (часть сети протяженностью 257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  с. Толька, ул. Механизаторов от ТП-96, протяженностью 222 п.м.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Геофизиков от ТП-216, протяженностью 335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трубопровода сети водоснабжения с. Толька, ул. Солнечная (от ТП 3 до ТП 4), протяженностью 524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участка трубопровода сети водоснабжения с.Толька, ул. Советская (от ТП 10) , протяженностью 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65 до ТП 73), протяженностью 360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от ПНС-1 до ТП – 145),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Arial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сети, с.Толька, ул. Центральная (от ТП 24) (часть сети протяженностью 220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ПТ 76 до электростанции), протяженностью 100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Перспективная (от ТП1 до ТП 14), протяженностью 536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536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Центральная (от ТП 24 до ТП 31),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(от котельной №2 до ТП 76), протяженностью 245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245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Вернадского, протяженностью 15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Надежды (пожводоём), протяженностью 899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899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с. Толька,  ул. Таежная от ТП 51 до ТП 63 (до ул.Лесная д. 25), протяженностью 140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 Строителей (ТП 64), протяженностью 253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70),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(магазин «Мечта»), протяженностью 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71),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Лесная (магазин «Подарки», «Столовая-ресторан»), протяженностью 81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119- ул. Центральная д. 15, протяженностью 98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ТП № 108- ул. Набережная 19А, протяженностью 109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Мангазейская (от ТП 13), протяженностью 195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Таёжная (дом ремёсел), протяженностью 96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Набережная (от ТП 24), протяженностью 613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5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Сидорова (от ТП 5), протяженностью 285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285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76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Капитальный ремонт водопроводной сети по ул. Комсомольская (от ТП 64), протяженностью 430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1075"/>
        <w:numPr>
          <w:ilvl w:val="0"/>
          <w:numId w:val="0"/>
        </w:numPr>
        <w:ind w:left="0"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75"/>
      </w:pPr>
      <w:r/>
      <w:bookmarkStart w:id="246" w:name="_Toc142312699"/>
      <w:r>
        <w:t xml:space="preserve"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245"/>
      <w:r>
        <w:t xml:space="preserve">.</w:t>
      </w:r>
      <w:bookmarkEnd w:id="24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К числу основных особенностей централизованных систем водоснабжения, как объектов автоматизации, относятся: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высокая степень ответственности работы сооружений, требующая обеспечения их надёжной бесперебойной работы;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работа сооружений в условиях постоянно меняющейся нагрузки;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зависимость режима работы сооружений от изменения качества исходной воды;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территориальная разрозненность сооружений и необходимость координирования их работы из одного центра;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сложность технологического процесса и необходимость обеспечения высокого качества обработки воды;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необходимость сохранения работоспособности при авариях на отдельных участках системы;</w:t>
      </w:r>
      <w:r/>
    </w:p>
    <w:p>
      <w:pPr>
        <w:pStyle w:val="1340"/>
        <w:numPr>
          <w:ilvl w:val="0"/>
          <w:numId w:val="6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значительная инерционность ряда технологических процессов.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Задачи автоматизации процессов водозабора, водоподготовки и транспортировки воды в основном состоят в следующем:</w:t>
      </w:r>
      <w:r/>
    </w:p>
    <w:p>
      <w:pPr>
        <w:pStyle w:val="1340"/>
        <w:numPr>
          <w:ilvl w:val="0"/>
          <w:numId w:val="6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создание оптимальных условий работы отдельных сооружений;</w:t>
      </w:r>
      <w:r/>
    </w:p>
    <w:p>
      <w:pPr>
        <w:pStyle w:val="1340"/>
        <w:numPr>
          <w:ilvl w:val="0"/>
          <w:numId w:val="6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улучшение технологического контроля за работой отдельных элементов системы водоснабжения и ходом процесса водоснабжения в целом;</w:t>
      </w:r>
      <w:r/>
    </w:p>
    <w:p>
      <w:pPr>
        <w:pStyle w:val="1340"/>
        <w:numPr>
          <w:ilvl w:val="0"/>
          <w:numId w:val="6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улучшение условий труда эксплуатационного персонала с одновременным сокращением штатов обслуживающего персонала;</w:t>
      </w:r>
      <w:r/>
    </w:p>
    <w:p>
      <w:pPr>
        <w:pStyle w:val="1340"/>
        <w:numPr>
          <w:ilvl w:val="0"/>
          <w:numId w:val="6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уменьшение стоимости подготовки воды требуемого качества.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развитии систем автоматизации и диспетчеризации объектов централизованных систем водосн</w:t>
      </w:r>
      <w:r>
        <w:rPr>
          <w:szCs w:val="28"/>
        </w:rPr>
        <w:t xml:space="preserve">абжения предлагается организация двухступенчатой структуры диспетчерского управления, с наличием единого центрального пункта управления и двух действующих местных пультов управления. Функции центрального пункта управления заключаются в контроле всех основн</w:t>
      </w:r>
      <w:r>
        <w:rPr>
          <w:szCs w:val="28"/>
        </w:rPr>
        <w:t xml:space="preserve">ых объектов централизованных систем водоснабжения, как единого комплекса и координации работы всех местных пультов управления, с реализацией SCADA-системы. Функции местных пультов управления ограничиваются управлением подчинённых им технологических узлов.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Автоматизация процесса подачи воды в водопроводные сети от насосных агрегатов на станциях водоподготовки и на насосных станциях второго подъёма заключается в частотном управлении работой данных н</w:t>
      </w:r>
      <w:r>
        <w:rPr>
          <w:szCs w:val="28"/>
        </w:rPr>
        <w:t xml:space="preserve">асосных агрегатов с регулированием значения давления в напорном трубопроводе и передачей сигналов как в местную операторскую, так и на центральный пункт управления эксплуатирующей организации. Контролироваться на данных объектах должны следующие параметры: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давление, развиваемое каждым насосным агрегатом;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давление в напорном водоводе; 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расход перекачиваемой воды;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уровень воды в дренажном приямке;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работающие насосные агрегаты;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наработка каждого насосного агрегата;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потребляемый ток (мощность) каждым скважинным насосным агрегатом;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число оборотов насосного агрегата при частотном регулировании;</w:t>
      </w:r>
      <w:r/>
    </w:p>
    <w:p>
      <w:pPr>
        <w:pStyle w:val="1340"/>
        <w:numPr>
          <w:ilvl w:val="0"/>
          <w:numId w:val="7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аварийные ситуации.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Подробное опи</w:t>
      </w:r>
      <w:r>
        <w:rPr>
          <w:szCs w:val="28"/>
        </w:rPr>
        <w:t xml:space="preserve">сание, выбор требуемых технических решений по автоматизации процессов, оборудования и необходимых материалов требуется предусмотреть в соответствующих проектах по реконструкции (модернизации) соответствующих объектов централизованных систем водоснабжения.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Все локальн</w:t>
      </w:r>
      <w:r>
        <w:rPr>
          <w:szCs w:val="28"/>
        </w:rPr>
        <w:t xml:space="preserve">ые системы управления и диспетчеризации объектов централизованных систем водоснабжения должны быть связаны в общую систему диспетчерского управления с единым центральным пунктом управления, организованным в диспетчерской комнате эксплуатирующей организации</w:t>
      </w:r>
      <w:r>
        <w:rPr>
          <w:szCs w:val="28"/>
        </w:rPr>
        <w:t xml:space="preserve"> (как вариант – на одном из двух действующих дистанционных пультов управления). Это позволит полностью контролировать и оперативно изменять ход действия технологических процессов, выполняемых каждым отдельным объектом централизованных систем водоснабжения.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предлагаемой системе управления следует предусмотреть организацию контрольных (диктующих) точек с целью постоянного измерен</w:t>
      </w:r>
      <w:r>
        <w:rPr>
          <w:szCs w:val="28"/>
        </w:rPr>
        <w:t xml:space="preserve">ия и контроля значений давления в водопроводных сетях. Значения с датчиков давления следует передавать на центральный пункт управления для возможной корректировки режимов работы насосных агрегатов на основных объектах централизованных систем водоснабжения.</w:t>
      </w:r>
      <w:r/>
    </w:p>
    <w:p>
      <w:pPr>
        <w:pStyle w:val="1340"/>
        <w:tabs>
          <w:tab w:val="left" w:pos="992" w:leader="none"/>
        </w:tabs>
        <w:rPr>
          <w:color w:val="000000"/>
          <w:szCs w:val="28"/>
        </w:rPr>
      </w:pPr>
      <w:r>
        <w:rPr>
          <w:szCs w:val="28"/>
        </w:rPr>
        <w:t xml:space="preserve">Подробное описание системы диспетчерского управления, разработка конкретных технических решений, определение состава оборудования и перечня необходимых материалов для реализации системы диспетчерского контроля должно быть предусмотр</w:t>
      </w:r>
      <w:r>
        <w:rPr>
          <w:szCs w:val="28"/>
        </w:rPr>
        <w:t xml:space="preserve">ено соответствующим проектом. Предпочтение в проекте следует отдавать современным технологиям автоматизации с целью разработки и внедрения технических решений, способных оставаться актуальными на протяжении многих лет эксплуатации соответствующих объектов.</w:t>
      </w:r>
      <w:r/>
    </w:p>
    <w:p>
      <w:pPr>
        <w:pStyle w:val="1075"/>
      </w:pPr>
      <w:r/>
      <w:bookmarkStart w:id="247" w:name="_Toc109995787"/>
      <w:r/>
      <w:bookmarkStart w:id="248" w:name="_Toc142312700"/>
      <w:r>
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247"/>
      <w:r>
        <w:t xml:space="preserve">.</w:t>
      </w:r>
      <w:bookmarkEnd w:id="24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За 20</w:t>
      </w:r>
      <w:r>
        <w:rPr>
          <w:rStyle w:val="1246"/>
        </w:rPr>
        <w:t xml:space="preserve">22г</w:t>
      </w:r>
      <w:r>
        <w:rPr>
          <w:szCs w:val="28"/>
        </w:rPr>
        <w:t xml:space="preserve">. в с. Толька от общего объема реализации холодной воды </w:t>
      </w:r>
      <w:r>
        <w:rPr>
          <w:rStyle w:val="1246"/>
        </w:rPr>
        <w:t xml:space="preserve">абонентам </w:t>
      </w:r>
      <w:r>
        <w:rPr>
          <w:rStyle w:val="1246"/>
        </w:rPr>
        <w:t xml:space="preserve">(80428м³) порядка 56% (44901м³)</w:t>
      </w:r>
      <w:r>
        <w:rPr>
          <w:rStyle w:val="1246"/>
        </w:rPr>
        <w:t xml:space="preserve"> было</w:t>
      </w:r>
      <w:r>
        <w:rPr>
          <w:szCs w:val="28"/>
        </w:rPr>
        <w:t xml:space="preserve"> определено расчетным путем, что говорит о незначительной оснащенности приборами коммерческого учета абонентов.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муниципальных учреждениях с. Толька установлено 6 приборов учета холодной воды. Согласно плану установки приборов учета в ближайшей перспективе не планируется установка приборов учета холодной воды.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Расчет за потребленное количество воды абонентами ЦС ХВС с. Толька осуществляется на основании значений приборов учета воды. В случае отсутствия приборов учета объем воды определяется в соответствии с принятыми нормативами потребления питьевой воды.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частью 5 статьи 13 ФЗ РФ от 23.11.2009 № 261-ФЗ до 01.07.2012 собственники жилых домов, собственники помещений в многоквартирных домах, введенных в эксплуатацию на день всту</w:t>
      </w:r>
      <w:r>
        <w:rPr>
          <w:szCs w:val="28"/>
        </w:rPr>
        <w:t xml:space="preserve">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а также ввод установленных приборов учета в эксплуатацию. При этом многоквартирные дома в ука</w:t>
      </w:r>
      <w:r>
        <w:rPr>
          <w:szCs w:val="28"/>
        </w:rPr>
        <w:t xml:space="preserve">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пунктом 38_1 Правил содержания общего имущества в многоквартир</w:t>
      </w:r>
      <w:r>
        <w:rPr>
          <w:szCs w:val="28"/>
        </w:rPr>
        <w:t xml:space="preserve">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коллек</w:t>
      </w:r>
      <w:r>
        <w:rPr>
          <w:szCs w:val="28"/>
        </w:rP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rPr>
          <w:szCs w:val="28"/>
        </w:rP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Счета на оплату расходов на установку коллект</w:t>
      </w:r>
      <w:r>
        <w:rPr>
          <w:szCs w:val="28"/>
        </w:rP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rPr>
          <w:szCs w:val="28"/>
        </w:rP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Также, в соответствии с частью 9 статьи 1</w:t>
      </w:r>
      <w:r>
        <w:rPr>
          <w:szCs w:val="28"/>
        </w:rPr>
        <w:t xml:space="preserve">3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энергетических ресурсов, снабжение которыми или передачу которых они осуществляют.</w:t>
      </w:r>
      <w:r/>
    </w:p>
    <w:p>
      <w:pPr>
        <w:pStyle w:val="1075"/>
      </w:pPr>
      <w:r/>
      <w:bookmarkStart w:id="249" w:name="_Toc109995788"/>
      <w:r/>
      <w:bookmarkStart w:id="250" w:name="_Toc142312701"/>
      <w:r>
        <w:t xml:space="preserve">Описание вариантов маршрутов прохождения трубопроводов (трасс) по территории населенного пункта и их обоснование</w:t>
      </w:r>
      <w:bookmarkEnd w:id="249"/>
      <w:r>
        <w:t xml:space="preserve">.</w:t>
      </w:r>
      <w:bookmarkEnd w:id="25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Вариант маршрутов прохождения трубопроводов (трасс) по территории </w:t>
      </w:r>
      <w:r>
        <w:rPr>
          <w:szCs w:val="28"/>
        </w:rPr>
        <w:br/>
        <w:t xml:space="preserve"> с. Толька представлен на рисунке 1.4.1.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340"/>
        <w:ind w:firstLine="0"/>
        <w:jc w:val="center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723" cy="6279515"/>
                <wp:effectExtent l="19050" t="19050" r="28575" b="26034"/>
                <wp:docPr id="19" name="Рисунок 2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014153" cy="62830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3.3pt;height:494.4pt;mso-wrap-distance-left:0.0pt;mso-wrap-distance-top:0.0pt;mso-wrap-distance-right:0.0pt;mso-wrap-distance-bottom:0.0pt;" strokecolor="#000000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1475"/>
        <w:rPr>
          <w:color w:val="000000"/>
        </w:rPr>
      </w:pPr>
      <w:r>
        <w:t xml:space="preserve">Рисунок 1.4.1 – Вариант маршрутов прохождения трубопроводов (трасс) по территории 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Трассы прокладки перспективных водопроводных </w:t>
      </w:r>
      <w:r>
        <w:rPr>
          <w:szCs w:val="28"/>
        </w:rPr>
        <w:t xml:space="preserve">сетей </w:t>
      </w:r>
      <w:r>
        <w:rPr>
          <w:szCs w:val="28"/>
        </w:rPr>
        <w:t xml:space="preserve">следует выбирать с учётом обеспечения кратчайшего расстояния до точек подключения перспективных абонентов, рельефа местности, искусственных и естественных преград. 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Трассы прокладки перспективных водопроводных сетей и места расположения площадок иных объектов централизованных систем водоснабжения подлежат уточнению и корректировке на стадии проектирования объектов.</w:t>
      </w:r>
      <w:r/>
    </w:p>
    <w:p>
      <w:pPr>
        <w:pStyle w:val="1075"/>
      </w:pPr>
      <w:r/>
      <w:bookmarkStart w:id="251" w:name="_Toc109995789"/>
      <w:r/>
      <w:bookmarkStart w:id="252" w:name="_Toc142312702"/>
      <w:r>
        <w:t xml:space="preserve">Рекомендации о месте размещения насосных станций, резервуаров, водонапорных башен</w:t>
      </w:r>
      <w:bookmarkEnd w:id="251"/>
      <w:r>
        <w:t xml:space="preserve">.</w:t>
      </w:r>
      <w:bookmarkEnd w:id="25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Места размещения насосных станций, резервуаров, водонапорных башен по территории с. Толька представлены на рисунке 1.4.1. Окончательное место размещения площадных объектов водоснабжения определяется на стадии проектирования.</w:t>
      </w:r>
      <w:r/>
    </w:p>
    <w:p>
      <w:pPr>
        <w:pStyle w:val="1075"/>
      </w:pPr>
      <w:r/>
      <w:bookmarkStart w:id="253" w:name="_Toc109995790"/>
      <w:r/>
      <w:bookmarkStart w:id="254" w:name="_Toc142312703"/>
      <w:r>
        <w:t xml:space="preserve">Границы планируемых зон размещения объектов централизованных систем горячего водоснабжения, холодного водоснабжения</w:t>
      </w:r>
      <w:bookmarkEnd w:id="253"/>
      <w:r>
        <w:t xml:space="preserve">.</w:t>
      </w:r>
      <w:bookmarkEnd w:id="25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Границы планируемых зон размещения объектов централизованных систем горячего водоснабжения, холодного водоснабжения по территории с. Толька представлены на рисунке 1.4.1.</w:t>
      </w:r>
      <w:r/>
    </w:p>
    <w:p>
      <w:pPr>
        <w:pStyle w:val="1075"/>
      </w:pPr>
      <w:r/>
      <w:bookmarkStart w:id="255" w:name="_Toc109995791"/>
      <w:r/>
      <w:bookmarkStart w:id="256" w:name="_Toc142312704"/>
      <w: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255"/>
      <w:r>
        <w:t xml:space="preserve">.</w:t>
      </w:r>
      <w:bookmarkEnd w:id="25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 по территории с. Толька представлены на рисунке 1.4.1.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57" w:name="_Toc109995792"/>
      <w:r/>
      <w:bookmarkStart w:id="258" w:name="_Toc142312705"/>
      <w:r>
        <w:t xml:space="preserve"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257"/>
      <w:r/>
      <w:bookmarkEnd w:id="258"/>
      <w:r/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59" w:name="_Toc109995793"/>
      <w:r/>
      <w:bookmarkStart w:id="260" w:name="_Toc142312706"/>
      <w: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259"/>
      <w:r>
        <w:t xml:space="preserve">.</w:t>
      </w:r>
      <w:bookmarkEnd w:id="26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При реализации основного сценария развития централизованных систем водоснабжения, действующих на территории с. Толька, не предусматривается мероприятий, в результате реализации которых оказывалось бы вредное воздействие на водные бассейны.</w:t>
      </w:r>
      <w:r/>
    </w:p>
    <w:p>
      <w:pPr>
        <w:pStyle w:val="1075"/>
      </w:pPr>
      <w:r/>
      <w:bookmarkStart w:id="261" w:name="_Toc109995794"/>
      <w:r/>
      <w:bookmarkStart w:id="262" w:name="_Toc142312707"/>
      <w:r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261"/>
      <w:r>
        <w:t xml:space="preserve">.</w:t>
      </w:r>
      <w:bookmarkEnd w:id="26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При реализации предлагаемого варианта развития ЦС ХВС на территории </w:t>
      </w:r>
      <w:r>
        <w:rPr>
          <w:szCs w:val="28"/>
        </w:rPr>
        <w:br/>
        <w:t xml:space="preserve"> с. Толька не предусматривается мероприятий, в которых необходимым было бы применение химических реагентов (хлора и т.п.).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63" w:name="_Toc109995795"/>
      <w:r/>
      <w:bookmarkStart w:id="264" w:name="_Toc142312708"/>
      <w:r>
        <w:t xml:space="preserve"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263"/>
      <w:r/>
      <w:bookmarkEnd w:id="26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65" w:name="_Toc109995796"/>
      <w:r/>
      <w:bookmarkStart w:id="266" w:name="_Toc142312709"/>
      <w:r>
        <w:t xml:space="preserve">Оценка стоимости основных мероприятий по реализации схем водоснабжения</w:t>
      </w:r>
      <w:bookmarkEnd w:id="265"/>
      <w:r>
        <w:t xml:space="preserve">.</w:t>
      </w:r>
      <w:bookmarkEnd w:id="26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водоснабжения произведена в соответствии со следующими нормативными правовыми актами: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</w:t>
      </w:r>
      <w:r>
        <w:rPr>
          <w:rStyle w:val="1246"/>
        </w:rPr>
        <w:t xml:space="preserve">14-202</w:t>
      </w:r>
      <w:r>
        <w:rPr>
          <w:rStyle w:val="1246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</w:t>
      </w:r>
      <w:r>
        <w:rPr>
          <w:rStyle w:val="1246"/>
        </w:rPr>
        <w:t xml:space="preserve">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водопроводных сетей в соответствии с НЦС 81-02-14-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rStyle w:val="1246"/>
        </w:rPr>
        <w:t xml:space="preserve"> п</w:t>
      </w:r>
      <w:r>
        <w:rPr>
          <w:szCs w:val="28"/>
        </w:rPr>
        <w:t xml:space="preserve">риняты следующие положения:</w:t>
      </w:r>
      <w:r>
        <w:rPr>
          <w:rFonts w:asciiTheme="minorHAnsi" w:hAnsiTheme="minorHAnsi"/>
          <w:szCs w:val="28"/>
        </w:rPr>
        <w:t xml:space="preserve"> 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водопроводных сетей из полиэтиленовых труб;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</w:t>
      </w:r>
      <w:r>
        <w:rPr>
          <w:rFonts w:asciiTheme="minorHAnsi" w:hAnsiTheme="minorHAnsi"/>
        </w:rPr>
        <w:t xml:space="preserve">без</w:t>
      </w:r>
      <w:r>
        <w:t xml:space="preserve"> креплени</w:t>
      </w:r>
      <w:r>
        <w:rPr>
          <w:rFonts w:asciiTheme="minorHAnsi" w:hAnsiTheme="minorHAnsi"/>
        </w:rPr>
        <w:t xml:space="preserve">й</w:t>
      </w:r>
      <w:r>
        <w:t xml:space="preserve"> (группа гру</w:t>
      </w:r>
      <w:r>
        <w:rPr>
          <w:szCs w:val="28"/>
        </w:rPr>
        <w:t xml:space="preserve">нтов 1-3, глубина – 3м);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Kпер=1,5</w:t>
      </w:r>
      <w:r>
        <w:t xml:space="preserve">5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</w:t>
      </w:r>
      <w:r>
        <w:t xml:space="preserve">9</w:t>
      </w:r>
      <w:r>
        <w:t xml:space="preserve">8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водоснабжения в соответствии с НЦС 81-02-19-20</w:t>
      </w:r>
      <w:r>
        <w:t xml:space="preserve">2</w:t>
      </w:r>
      <w:r>
        <w:t xml:space="preserve">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t xml:space="preserve">,4</w:t>
      </w:r>
      <w:r>
        <w:t xml:space="preserve">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szCs w:val="28"/>
        </w:rPr>
      </w:pPr>
      <w:r>
        <w:rPr>
          <w:szCs w:val="28"/>
        </w:rPr>
        <w:t xml:space="preserve">Для приведения стоимостей мероприятий от цен 20</w:t>
      </w:r>
      <w:r>
        <w:t xml:space="preserve">2</w:t>
      </w:r>
      <w:r>
        <w:t xml:space="preserve">3</w:t>
      </w:r>
      <w:r>
        <w:rPr>
          <w:szCs w:val="28"/>
        </w:rPr>
        <w:t xml:space="preserve">г. к ценам лет их реализации применены определённые в соответствии Прогнозом социально-экономического развития Российской Федерации на период до 2036 года </w:t>
      </w:r>
      <w:r>
        <w:rPr>
          <w:szCs w:val="28"/>
        </w:rPr>
        <w:t xml:space="preserve">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1.6.1.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color w:val="000000"/>
        </w:rPr>
      </w:pPr>
      <w:r>
        <w:t xml:space="preserve"> </w:t>
      </w:r>
      <w:r>
        <w:rPr>
          <w:b/>
          <w:bCs/>
          <w:szCs w:val="28"/>
        </w:rPr>
        <w:t xml:space="preserve">Таблица 1.6.1 – Применённые для приведения стоимостей мероприятий от цен 20</w:t>
      </w:r>
      <w:r>
        <w:rPr>
          <w:b/>
          <w:bCs/>
        </w:rPr>
        <w:t xml:space="preserve">2</w:t>
      </w:r>
      <w:r>
        <w:rPr>
          <w:b/>
          <w:bCs/>
        </w:rPr>
        <w:t xml:space="preserve">3</w:t>
      </w:r>
      <w:r>
        <w:rPr>
          <w:b/>
          <w:bCs/>
          <w:szCs w:val="28"/>
        </w:rPr>
        <w:t xml:space="preserve">г. к ценам лет их реализации индексы-дефляторы</w:t>
      </w:r>
      <w:r/>
    </w:p>
    <w:p>
      <w:pPr>
        <w:pStyle w:val="1340"/>
        <w:rPr>
          <w:rFonts w:asciiTheme="minorHAnsi" w:hAnsiTheme="minorHAnsi"/>
        </w:rPr>
      </w:pPr>
      <w:r>
        <w:t xml:space="preserve">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pStyle w:val="134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075"/>
      </w:pPr>
      <w:r/>
      <w:bookmarkStart w:id="267" w:name="_Toc109995797"/>
      <w:r/>
      <w:bookmarkStart w:id="268" w:name="_Toc142312710"/>
      <w: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</w:t>
      </w:r>
      <w:bookmarkEnd w:id="267"/>
      <w:r>
        <w:t xml:space="preserve">.</w:t>
      </w:r>
      <w:bookmarkEnd w:id="268"/>
      <w:r/>
      <w:r/>
    </w:p>
    <w:p>
      <w:pPr>
        <w:pStyle w:val="1340"/>
        <w:rPr>
          <w:color w:val="000000"/>
        </w:rPr>
      </w:pPr>
      <w: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 по с. Толька, приведена в таблице 1.6.2.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b/>
          <w:color w:val="000000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</w:rPr>
        <w:t xml:space="preserve">Таблица 1.6.2 –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 по с. Толька</w:t>
      </w:r>
      <w:r/>
    </w:p>
    <w:p>
      <w:pPr>
        <w:pStyle w:val="1340"/>
        <w:rPr>
          <w:rFonts w:asciiTheme="minorHAnsi" w:hAnsiTheme="minorHAnsi"/>
          <w:color w:val="000000"/>
          <w:szCs w:val="28"/>
        </w:rPr>
      </w:pPr>
      <w:r>
        <w:t xml:space="preserve">  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4"/>
        <w:gridCol w:w="3213"/>
        <w:gridCol w:w="637"/>
        <w:gridCol w:w="637"/>
        <w:gridCol w:w="636"/>
        <w:gridCol w:w="636"/>
        <w:gridCol w:w="636"/>
        <w:gridCol w:w="639"/>
        <w:gridCol w:w="636"/>
        <w:gridCol w:w="636"/>
        <w:gridCol w:w="636"/>
        <w:gridCol w:w="636"/>
        <w:gridCol w:w="636"/>
        <w:gridCol w:w="639"/>
        <w:gridCol w:w="636"/>
        <w:gridCol w:w="578"/>
        <w:gridCol w:w="567"/>
        <w:gridCol w:w="709"/>
        <w:gridCol w:w="702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3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Итого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Строительство 2-х водозаборных скважин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14 161,1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14 727,6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28 888,7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Реконструкция водозаборной скважины № 6 по ул. Геофизиков, д. 1 строение 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4 474,4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4 474,4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20 343,1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21 238,1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22 151,4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23 081,7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24 028,1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110 842,4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ТП №19-ул. Светлогорская, дом 1, протяженностью 157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3 194,3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3 194,3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с. Толька, ул. Светлогорская (котельная №1), протяженность 613 м.п., ремонтируемый участок сети водоснабжения от ТП 4 до ТП 19 протяженностью 131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735,6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735,6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сети, с.Толька ул. Молодежная, ремонтируемый участок сети теплоснабжения от УТ 226 до УТ 230, протяженностью 177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435,7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435,7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Реконструкция трубопровода водоснабжения в с. Толька, ул. Геофизиков - 70 лет Октября от  ТП 7 до ТП 25, протяженностью 340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1 098,2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1 098,2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Таежная (от котельной №2 до ТП 8), протяженностью 509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11 649,2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11 649,2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участка трубопровода сети водоснабжения с. Толька, ул .Сидорова от ТП-189, протяженностью 229м.п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383,1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383,1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трубопровода сети водоснабжения с. Толька, ул. Полевая от ТП-216, протяженностью 212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342,0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342,0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трубопровода сети водоснабжения с. Толька, ул. Механизаторов (от ТП 76), протяженностью  61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266,2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266,2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части тепловой и водопроводной сети, с.Толька, ул. Ямальский тупик, от ТП 4 (часть сети протяженностью 257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397,7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397,7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трубопровода сети водоснабжения  с. Толька, ул. Механизаторов от ТП-96, протяженностью 222 п.м.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711,6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711,6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трубопровода сети водоснабжения с. Толька, ул. Геофизиков от ТП-216, протяженностью 335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1 073,8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1 073,8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трубопровода сети водоснабжения с. Толька, ул. Солнечная (от ТП 3 до ТП 4), протяженностью 524 п.м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12 949,8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12 949,8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участка трубопровода сети водоснабжения с.Толька, ул. Советская (от ТП 10) , протяженностью 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1 410,2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1 410,2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Комсомольская (от ТП 65 до ТП 73), протяженностью 360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1 162,8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1 162,8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сети, с.Толька, ул. Центральная (от ТП 24) (часть сети от ПНС-1 до ТП – 145),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10 068,7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10 068,7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сети, с.Толька, ул. Центральная (от ТП 24) (часть сети протяженностью 220 м.п.)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1 856,5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1 856,5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Таёжная (от ПТ 76 до электростанции), протяженностью 100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323,0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323,0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Перспективная (от ТП1 до ТП 14), протяженностью 536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1 731,3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1 731,3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Центральная (от ТП 24 до ТП 31), протяженностью 229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739,7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739,7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Таёжная (от котельной №2 до ТП 76), протяженностью 245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791,4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791,4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Вернадского, протяженностью 15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2 903,8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2 903,8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Надежды (пожводоём), протяженностью 899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48,5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48,5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с. Толька,  ул. Таежная от ТП 51 до ТП 63 (до ул.Лесная д. 25), протяженностью 140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452,2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452,2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 Строителей (ТП 64), протяженностью 253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817,2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817,2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Комсомольская (от ТП 70),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258,4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258,4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Комсомольская (магазин «Мечта»), протяженностью 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274,6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274,6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Комсомольская (от ТП 71), протяженностью 80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258,4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258,4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Лесная (магазин «Подарки», «Столовая-ресторан»), протяженностью 81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261,6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261,6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ТП № 119- ул. Центральная д. 15, протяженностью 98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316,5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316,5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ТП № 108- ул. Набережная 19А, протяженностью 109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352,1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352,1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Мангазейская (от ТП 13), протяженностью 195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629,9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629,9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Таёжная (дом ремёсел), протяженностью 96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310,1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310,1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Набережная (от ТП 24), протяженностью 613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1 980,0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1 980,0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Сидорова (от ТП 5), протяженностью 285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4 594,1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4 594,1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38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Капитальный ремонт водопроводной сети по ул. Комсомольская (от ТП 64), протяженностью 430 м.п.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7 170,1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7 170,1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(без учета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30 281,3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34 276,3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36 886,6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37 902,8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27 290,4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17 113,3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16 255,4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1 463,2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2 919,9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11 764,2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216 153,4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НДС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6 056,3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6 855,3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7 377,3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7 580,6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5 458,1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3 422,7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3 251,1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292,6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584,0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2 352,8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43 230,7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(с учетом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36 337,5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41 131,5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44 264,0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45 483,4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32 748,5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20 536,0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19 506,5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1 755,8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3 503,9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14 117,0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259 384,1</w:t>
            </w:r>
            <w:r/>
          </w:p>
        </w:tc>
      </w:tr>
    </w:tbl>
    <w:p>
      <w:pPr>
        <w:pStyle w:val="1340"/>
        <w:tabs>
          <w:tab w:val="left" w:pos="992" w:leader="none"/>
        </w:tabs>
        <w:rPr>
          <w:rFonts w:asciiTheme="minorHAnsi" w:hAnsiTheme="minorHAnsi"/>
          <w:color w:val="000000"/>
          <w:szCs w:val="28"/>
        </w:rPr>
        <w:sectPr>
          <w:footnotePr/>
          <w:endnotePr/>
          <w:type w:val="nextPage"/>
          <w:pgSz w:w="16838" w:h="11906" w:orient="landscape"/>
          <w:pgMar w:top="1134" w:right="680" w:bottom="1276" w:left="1559" w:header="709" w:footer="709" w:gutter="0"/>
          <w:cols w:num="1" w:sep="0" w:space="708" w:equalWidth="1"/>
          <w:docGrid w:linePitch="360"/>
        </w:sectPr>
      </w:pPr>
      <w:r>
        <w:rPr>
          <w:rFonts w:asciiTheme="minorHAnsi" w:hAnsiTheme="minorHAnsi"/>
          <w:color w:val="000000"/>
          <w:szCs w:val="28"/>
        </w:rPr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szCs w:val="28"/>
        </w:rPr>
      </w:pPr>
      <w:r>
        <w:rPr>
          <w:szCs w:val="28"/>
        </w:rPr>
        <w:t xml:space="preserve">Приведенные в таблице выше мероприяти</w:t>
      </w:r>
      <w:r>
        <w:rPr>
          <w:rFonts w:asciiTheme="minorHAnsi" w:hAnsiTheme="minorHAnsi"/>
          <w:szCs w:val="28"/>
        </w:rPr>
        <w:t xml:space="preserve">я</w:t>
      </w:r>
      <w:r>
        <w:rPr>
          <w:szCs w:val="28"/>
        </w:rPr>
        <w:t xml:space="preserve"> по п. 2 предусматривается выполнять в рамках</w:t>
      </w:r>
      <w:r>
        <w:rPr>
          <w:rFonts w:asciiTheme="minorHAnsi" w:hAnsiTheme="minorHAnsi"/>
          <w:szCs w:val="28"/>
        </w:rPr>
        <w:t xml:space="preserve"> </w:t>
      </w:r>
      <w:r>
        <w:rPr>
          <w:rStyle w:val="1246"/>
        </w:rPr>
        <w:t xml:space="preserve">инвестиционной программы</w:t>
      </w:r>
      <w:r>
        <w:rPr>
          <w:rStyle w:val="1246"/>
        </w:rPr>
        <w:t xml:space="preserve"> ООО</w:t>
      </w:r>
      <w:r>
        <w:rPr>
          <w:szCs w:val="28"/>
        </w:rPr>
        <w:t xml:space="preserve"> «Ямал-Энерго».</w:t>
      </w:r>
      <w:r/>
    </w:p>
    <w:p>
      <w:pPr>
        <w:pStyle w:val="1245"/>
        <w:rPr>
          <w:color w:val="000000"/>
        </w:rPr>
      </w:pPr>
      <w:r>
        <w:t xml:space="preserve">Приведенные в таблице выше мероприяти</w:t>
      </w:r>
      <w:r>
        <w:rPr>
          <w:rFonts w:asciiTheme="minorHAnsi" w:hAnsiTheme="minorHAnsi"/>
        </w:rPr>
        <w:t xml:space="preserve">я</w:t>
      </w:r>
      <w:r>
        <w:t xml:space="preserve"> по п. </w:t>
      </w:r>
      <w:r>
        <w:t xml:space="preserve">4</w:t>
      </w:r>
      <w:r>
        <w:t xml:space="preserve">, </w:t>
      </w:r>
      <w:r>
        <w:t xml:space="preserve">6</w:t>
      </w:r>
      <w:r>
        <w:t xml:space="preserve">, 9, 10, 13, 14, 18 </w:t>
      </w:r>
      <w:r>
        <w:t xml:space="preserve"> </w:t>
      </w:r>
      <w:r>
        <w:t xml:space="preserve">предусматривается выполнять в рамках программы энергосбережения и повышения энергетической эффективности в сфере водоснабжения с. Толька ООО «Ямал-Энерго» на 2023 г. и на период до 2025 г.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прочих мероприятий в качестве источников финансирования могут рассматриваться:</w:t>
      </w:r>
      <w:r/>
    </w:p>
    <w:p>
      <w:pPr>
        <w:pStyle w:val="1340"/>
        <w:numPr>
          <w:ilvl w:val="0"/>
          <w:numId w:val="7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</w:t>
      </w:r>
      <w:r>
        <w:rPr>
          <w:szCs w:val="28"/>
        </w:rPr>
        <w:t xml:space="preserve">юджетные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340"/>
        <w:numPr>
          <w:ilvl w:val="0"/>
          <w:numId w:val="7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</w:t>
      </w:r>
      <w:r>
        <w:rPr>
          <w:szCs w:val="28"/>
        </w:rPr>
        <w:t xml:space="preserve">обственные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прибыли;</w:t>
      </w:r>
      <w:r/>
    </w:p>
    <w:p>
      <w:pPr>
        <w:pStyle w:val="1340"/>
        <w:numPr>
          <w:ilvl w:val="0"/>
          <w:numId w:val="7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</w:t>
      </w:r>
      <w:r>
        <w:rPr>
          <w:szCs w:val="28"/>
        </w:rPr>
        <w:t xml:space="preserve">редства абонентов, вносимые в качестве платы за подключение перспективных объектов капитального строительства к централизованным системам водоснабжения.</w:t>
      </w:r>
      <w:bookmarkStart w:id="269" w:name="_Toc109995798"/>
      <w:r/>
      <w:bookmarkEnd w:id="269"/>
      <w:r/>
      <w:r/>
    </w:p>
    <w:p>
      <w:pPr>
        <w:pStyle w:val="1340"/>
        <w:ind w:left="709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70" w:name="_Toc142312711"/>
      <w:r>
        <w:t xml:space="preserve">Цены (тарифы) в сфере водоснабжения</w:t>
      </w:r>
      <w:bookmarkEnd w:id="270"/>
      <w:r/>
      <w:r/>
    </w:p>
    <w:p>
      <w:pPr>
        <w:pStyle w:val="1340"/>
        <w:ind w:left="709"/>
        <w:jc w:val="center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71" w:name="_Toc109995799"/>
      <w:r/>
      <w:bookmarkStart w:id="272" w:name="_Toc142312712"/>
      <w:r>
        <w:t xml:space="preserve">Динамика утверж</w:t>
      </w:r>
      <w:r>
        <w:t xml:space="preserve">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</w:t>
      </w:r>
      <w:bookmarkEnd w:id="271"/>
      <w:r>
        <w:t xml:space="preserve">.</w:t>
      </w:r>
      <w:bookmarkEnd w:id="27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Тарифы в сфере питьевого водоснабжения для ООО «Ямал-Энерго» установлены в соответствии с Приказом департамента тарифной полити</w:t>
      </w:r>
      <w:r>
        <w:rPr>
          <w:szCs w:val="28"/>
        </w:rPr>
        <w:t xml:space="preserve">ки, энергетики и жилищно-коммунального комплекса ямало-ненецкого автономного округа от 11.12.2019 № 209-т «Об установлении обществу с ограниченной ответственностью «Ямал-Энерго» тарифов на питьевую воду для расчетов с потребителями села Толька муниципально</w:t>
      </w:r>
      <w:r>
        <w:rPr>
          <w:szCs w:val="28"/>
        </w:rPr>
        <w:t xml:space="preserve">го образования Красноселькупский район, на 2020 год» и Приказом департамента тарифной политики, энергетики и жилищно-коммунального комплекса ямало-ненецкого автономного округа от 09.12.2020 № 212-т «Об установлении обществу с ограниченной ответственностью </w:t>
      </w:r>
      <w:r>
        <w:rPr>
          <w:szCs w:val="28"/>
        </w:rPr>
        <w:t xml:space="preserve">«Ямал-Энерго» тарифов на питьевую воду для расчетов с потребителями села Толька муниципального образования муниципальный округ Красноселькупский район Ямало-Ненецкого автономного округа и долгосрочных параметров регулирования тарифов, на 2021 - 2025 годы».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Динамика утвержденных тарифов в сфере питьевого водоснабжения для ООО «Ямал-Энерго» на территории с. Толька на </w:t>
      </w:r>
      <w:r>
        <w:rPr>
          <w:rStyle w:val="1246"/>
        </w:rPr>
        <w:t xml:space="preserve">202</w:t>
      </w:r>
      <w:r>
        <w:rPr>
          <w:rStyle w:val="1246"/>
        </w:rPr>
        <w:t xml:space="preserve">1</w:t>
      </w:r>
      <w:r>
        <w:rPr>
          <w:rStyle w:val="1246"/>
        </w:rPr>
        <w:t xml:space="preserve">-202</w:t>
      </w:r>
      <w:r>
        <w:rPr>
          <w:rStyle w:val="1246"/>
        </w:rPr>
        <w:t xml:space="preserve">3</w:t>
      </w:r>
      <w:r>
        <w:rPr>
          <w:rStyle w:val="1246"/>
        </w:rPr>
        <w:t xml:space="preserve">гг</w:t>
      </w:r>
      <w:r>
        <w:rPr>
          <w:szCs w:val="28"/>
        </w:rPr>
        <w:t xml:space="preserve">. приведена в таблице 1.7.1.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  <w:szCs w:val="28"/>
        </w:rPr>
        <w:t xml:space="preserve">Таблица 1.7.1 – Динамика утвержденных тарифов в сфере питьевого водоснабжения для ООО «Ямал-Энерго» на территории с. Толька на </w:t>
      </w:r>
      <w:r>
        <w:rPr>
          <w:rStyle w:val="1246"/>
          <w:b/>
          <w:bCs/>
        </w:rPr>
        <w:t xml:space="preserve">202</w:t>
      </w:r>
      <w:r>
        <w:rPr>
          <w:rStyle w:val="1246"/>
          <w:b/>
          <w:bCs/>
        </w:rPr>
        <w:t xml:space="preserve">1</w:t>
      </w:r>
      <w:r>
        <w:rPr>
          <w:rStyle w:val="1246"/>
          <w:b/>
          <w:bCs/>
        </w:rPr>
        <w:t xml:space="preserve">-202</w:t>
      </w:r>
      <w:r>
        <w:rPr>
          <w:rStyle w:val="1246"/>
          <w:b/>
          <w:bCs/>
        </w:rPr>
        <w:t xml:space="preserve">3</w:t>
      </w:r>
      <w:r>
        <w:rPr>
          <w:rStyle w:val="1246"/>
          <w:b/>
          <w:bCs/>
        </w:rPr>
        <w:t xml:space="preserve">гг.</w:t>
      </w:r>
      <w:r/>
    </w:p>
    <w:p>
      <w:pPr>
        <w:pStyle w:val="1340"/>
        <w:rPr>
          <w:rFonts w:asciiTheme="minorHAnsi" w:hAnsiTheme="minorHAnsi"/>
        </w:rPr>
      </w:pPr>
      <w:r>
        <w:t xml:space="preserve"> </w:t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61"/>
        <w:gridCol w:w="1102"/>
        <w:gridCol w:w="2480"/>
        <w:gridCol w:w="1718"/>
        <w:gridCol w:w="2008"/>
        <w:gridCol w:w="115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Год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Период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Тип потребителя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Учет НДС в тарифе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Тариф, руб./м</w:t>
            </w:r>
            <w:r>
              <w:rPr>
                <w:rFonts w:ascii="Liberation Serif" w:hAnsi="Liberation Serif" w:cs="Calibri"/>
                <w:color w:val="000000"/>
                <w:sz w:val="20"/>
                <w:szCs w:val="20"/>
                <w:vertAlign w:val="superscript"/>
              </w:rPr>
              <w:t xml:space="preserve">3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Население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Да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40,49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41,86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41,86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43,28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47,17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47,17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Потребители, имеющие право на льготные тарифы</w:t>
            </w:r>
            <w:r/>
          </w:p>
        </w:tc>
        <w:tc>
          <w:tcPr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33,74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34,88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34,88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36,06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39,31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39,31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Иные потребители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81,47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01.07.2021 по 30.11.2021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81,09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106,23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106,23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127,26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151,93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151,93</w:t>
            </w:r>
            <w:r/>
          </w:p>
        </w:tc>
      </w:tr>
    </w:tbl>
    <w:p>
      <w:pPr>
        <w:pStyle w:val="134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075"/>
      </w:pPr>
      <w:r/>
      <w:bookmarkStart w:id="273" w:name="_Toc109995800"/>
      <w:r/>
      <w:bookmarkStart w:id="274" w:name="_Toc142312713"/>
      <w:r>
        <w:t xml:space="preserve">Структура цен (тарифов), установленных на момент актуализации схемы водоснабжения</w:t>
      </w:r>
      <w:bookmarkEnd w:id="273"/>
      <w:r>
        <w:t xml:space="preserve">.</w:t>
      </w:r>
      <w:bookmarkEnd w:id="27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Структура цен (тарифов) для ООО «Ямал-Энерго» на 202</w:t>
      </w:r>
      <w:r>
        <w:rPr>
          <w:szCs w:val="28"/>
        </w:rPr>
        <w:t xml:space="preserve">2</w:t>
      </w:r>
      <w:r>
        <w:rPr>
          <w:szCs w:val="28"/>
        </w:rPr>
        <w:t xml:space="preserve">г. приведена в таблице 1.7.2.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jc w:val="right"/>
        <w:rPr>
          <w:color w:val="000000"/>
        </w:rPr>
      </w:pPr>
      <w:r>
        <w:rPr>
          <w:b/>
          <w:bCs/>
          <w:szCs w:val="28"/>
        </w:rPr>
        <w:t xml:space="preserve">Таблица 1.7.2 – Структура цен (тарифов) для ООО «Ямал-Энерго» на </w:t>
      </w:r>
      <w:r>
        <w:rPr>
          <w:rStyle w:val="1246"/>
          <w:b/>
          <w:bCs/>
        </w:rPr>
        <w:t xml:space="preserve">202</w:t>
      </w:r>
      <w:r>
        <w:rPr>
          <w:rStyle w:val="1246"/>
          <w:b/>
          <w:bCs/>
        </w:rPr>
        <w:t xml:space="preserve">2</w:t>
      </w:r>
      <w:r>
        <w:rPr>
          <w:rStyle w:val="1246"/>
          <w:b/>
          <w:bCs/>
        </w:rPr>
        <w:t xml:space="preserve">г.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288"/>
        <w:gridCol w:w="5561"/>
        <w:gridCol w:w="277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/>
            <w:bookmarkStart w:id="275" w:name="_Toc109995801"/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Значение показателя на 2022, тыс. руб.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покупаемую электрическую энергию (мощность), используемую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10 653,42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химические реагенты, используемые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25,47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оплату труда и отчисления на социальные нужды основного производственного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2 540,07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оплату труда и отчисления на социальные нужды административно-управленческого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640,71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амортизацию основных производственных средств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1601,22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аренду имущества, используемого для осуществления регулируемого вида деятельности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367,48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Общепроизводственные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3 021,33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Общехозяйственные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307,09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Прочие расходы, которые подлежат отнесению на регулируемые виды деятельности, в том числе: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2337,59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b/>
                <w:bCs/>
                <w:color w:val="000000" w:themeColor="text1"/>
                <w:sz w:val="20"/>
                <w:szCs w:val="20"/>
              </w:rPr>
              <w:t xml:space="preserve">Итого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b/>
                <w:bCs/>
                <w:color w:val="000000" w:themeColor="text1"/>
                <w:sz w:val="20"/>
                <w:szCs w:val="20"/>
              </w:rPr>
              <w:t xml:space="preserve">21 494,38</w:t>
            </w:r>
            <w:r/>
          </w:p>
        </w:tc>
      </w:tr>
    </w:tbl>
    <w:p>
      <w:pPr>
        <w:pStyle w:val="1075"/>
        <w:numPr>
          <w:ilvl w:val="0"/>
          <w:numId w:val="0"/>
        </w:numPr>
        <w:ind w:left="0"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75"/>
      </w:pPr>
      <w:r/>
      <w:bookmarkStart w:id="276" w:name="_Toc142312714"/>
      <w:r>
        <w:t xml:space="preserve">Плата за подключение к системе водоснабжения и поступление денежных средств от осуществления деятельности по водоснабжению.</w:t>
      </w:r>
      <w:bookmarkEnd w:id="275"/>
      <w:r/>
      <w:bookmarkEnd w:id="27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Плата за подключение к системе водоснабжения ООО «Ямал-Энерго» установлена в соответствии с Приказом департамента тарифной политики, энергетики и жилищно-коммунального комплекса ямало-ненецкого авто</w:t>
      </w:r>
      <w:r>
        <w:rPr>
          <w:szCs w:val="28"/>
        </w:rPr>
        <w:t xml:space="preserve">номного округа от 05.11.2020 № 87-т «Об установлении тарифа на подключение (технологическое присоединение) к централизованной системе холодного водоснабжения общества с ограниченной ответственностью «Ямал-Энерго», на 2020 год» и составляет 19,413тыс. руб/м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/сут (без НДС).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Поступление денежных средств от осуществления деятельности по питьевому водоснабжению за </w:t>
      </w:r>
      <w:r>
        <w:rPr>
          <w:rStyle w:val="1246"/>
        </w:rPr>
        <w:t xml:space="preserve">202</w:t>
      </w:r>
      <w:r>
        <w:rPr>
          <w:rStyle w:val="1246"/>
        </w:rPr>
        <w:t xml:space="preserve">2</w:t>
      </w:r>
      <w:r>
        <w:rPr>
          <w:rStyle w:val="1246"/>
        </w:rPr>
        <w:t xml:space="preserve">г. составило </w:t>
      </w:r>
      <w:r>
        <w:rPr>
          <w:rStyle w:val="1246"/>
        </w:rPr>
        <w:t xml:space="preserve">9670,02</w:t>
      </w:r>
      <w:r>
        <w:rPr>
          <w:rStyle w:val="1246"/>
        </w:rPr>
        <w:t xml:space="preserve">тыс</w:t>
      </w:r>
      <w:r>
        <w:rPr>
          <w:szCs w:val="28"/>
        </w:rPr>
        <w:t xml:space="preserve">. руб.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77" w:name="_Toc109995802"/>
      <w:r/>
      <w:bookmarkStart w:id="278" w:name="_Toc142312715"/>
      <w:r>
        <w:t xml:space="preserve">Плановые значения показателей развития централизованных систем водоснабжения</w:t>
      </w:r>
      <w:bookmarkEnd w:id="277"/>
      <w:r/>
      <w:bookmarkEnd w:id="27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245"/>
        <w:rPr>
          <w:color w:val="000000"/>
        </w:rPr>
      </w:pPr>
      <w:r>
        <w:t xml:space="preserve">В соответствии с пунктом 2 Перечня показателей</w:t>
      </w:r>
      <w:r>
        <w:t xml:space="preserve">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утвержденного Приказом Минстроя РФ от 04.04.2014 № 162/пр, к показателям развития ЦС ХВС относятся: 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качества воды: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доля проб питьевой воды, подаваемой с источников водоснабжения, водопровод</w:t>
      </w:r>
      <w:r>
        <w:rPr>
          <w:szCs w:val="28"/>
        </w:rPr>
        <w:t xml:space="preserve">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надежности и бесперебойности водоснабжения: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</w:t>
      </w:r>
      <w:r>
        <w:rPr>
          <w:szCs w:val="28"/>
        </w:rPr>
        <w:t xml:space="preserve">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 (ед./км);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показатели энергетической эффективности: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доля потерь воды в централизованных системах водоснабжения при транспортировке в общем объеме воды, поданной в водопроводную сеть (%);</w:t>
      </w:r>
      <w:r/>
    </w:p>
    <w:p>
      <w:pPr>
        <w:pStyle w:val="1340"/>
        <w:numPr>
          <w:ilvl w:val="0"/>
          <w:numId w:val="7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 (кВт·ч/м³).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Фактические и плановые значения показателей развития ЦС ХВС с. Толька приведены в таблице 1.8.1.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b/>
          <w:color w:val="000000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</w:rPr>
        <w:t xml:space="preserve">Таблица 1.8.1 – Фактические и плановые значения показателей развития ЦС ХВС 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468"/>
        <w:gridCol w:w="2864"/>
        <w:gridCol w:w="785"/>
        <w:gridCol w:w="110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86"/>
      </w:tblGrid>
      <w:tr>
        <w:trPr>
          <w:trHeight w:val="48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Фактические значения</w:t>
            </w:r>
            <w:r/>
          </w:p>
        </w:tc>
        <w:tc>
          <w:tcPr>
            <w:gridSpan w:val="16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9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Плановые значения</w:t>
            </w:r>
            <w:r/>
          </w:p>
        </w:tc>
      </w:tr>
      <w:tr>
        <w:trPr>
          <w:trHeight w:val="78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воды, подаваемой с источников водоснабжения, водоп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надежности и бесперебойности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ед./км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энергетической эффективности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потерь воды в централизованных системах водоснабжения при транспортировке в общем объеме воды, поданной в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27,82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27,82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27,82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27,01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26,17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25,32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24,47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23,62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22,77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21,92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21,08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19,38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18,53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17,68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16,83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15,98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кВт·ч/м³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2,56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5"/>
        <w:sectPr>
          <w:footnotePr/>
          <w:endnotePr/>
          <w:type w:val="nextPage"/>
          <w:pgSz w:w="16838" w:h="11906" w:orient="landscape"/>
          <w:pgMar w:top="1134" w:right="680" w:bottom="1276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1075"/>
      </w:pPr>
      <w:r/>
      <w:bookmarkStart w:id="279" w:name="_Toc109995803"/>
      <w:r/>
      <w:bookmarkStart w:id="280" w:name="_Toc142312716"/>
      <w:r>
        <w:t xml:space="preserve">Показатели качества воды</w:t>
      </w:r>
      <w:bookmarkEnd w:id="279"/>
      <w:r>
        <w:t xml:space="preserve">.</w:t>
      </w:r>
      <w:bookmarkEnd w:id="28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Показатели качества воды по ЦС ХВС с. Толька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Раздела 1.8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81" w:name="_Toc109995804"/>
      <w:r/>
      <w:bookmarkStart w:id="282" w:name="_Toc142312717"/>
      <w:r>
        <w:t xml:space="preserve">Показатели надежности и бесперебойности водоснабжения</w:t>
      </w:r>
      <w:bookmarkEnd w:id="281"/>
      <w:r>
        <w:t xml:space="preserve">.</w:t>
      </w:r>
      <w:bookmarkEnd w:id="28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Показатели надежности и бесперебойности водоснабжения по ЦС ХВС </w:t>
      </w:r>
      <w:r>
        <w:rPr>
          <w:szCs w:val="28"/>
        </w:rPr>
        <w:br/>
        <w:t xml:space="preserve"> с. Толька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Раздела 1.8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83" w:name="_Toc109995805"/>
      <w:r/>
      <w:bookmarkStart w:id="284" w:name="_Toc142312718"/>
      <w:r>
        <w:t xml:space="preserve">Показатели эффективности использования ресурсов, в том числе уровень потерь воды (тепловой энергии в составе горячей воды)</w:t>
      </w:r>
      <w:bookmarkEnd w:id="283"/>
      <w:r>
        <w:t xml:space="preserve">.</w:t>
      </w:r>
      <w:bookmarkEnd w:id="28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Показатели эффективности использования ресурсов, в том числе уровень потерь воды (тепловой энергии в составе горячей воды) по ЦС ХВС с. Толька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Раздела 1.8</w:t>
        </w:r>
      </w:hyperlink>
      <w:r>
        <w:rPr>
          <w:szCs w:val="28"/>
        </w:rPr>
        <w:t xml:space="preserve">.</w:t>
      </w:r>
      <w:r/>
    </w:p>
    <w:p>
      <w:pPr>
        <w:pStyle w:val="1075"/>
      </w:pPr>
      <w:r/>
      <w:bookmarkStart w:id="285" w:name="_Toc109995806"/>
      <w:r/>
      <w:bookmarkStart w:id="286" w:name="_Toc142312719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5"/>
      <w:r>
        <w:t xml:space="preserve">.</w:t>
      </w:r>
      <w:bookmarkEnd w:id="28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Федеральным органом исполнительной власти, осуществляющим функции по выработке госуда</w:t>
      </w:r>
      <w:r>
        <w:rPr>
          <w:szCs w:val="28"/>
        </w:rPr>
        <w:t xml:space="preserve">рственной политики и нормативно-правовому регулированию в сфере жилищно-коммунального хозяйства, иные показатели функционирования в сфере централизованного водоснабжения на момент настоящей актуализации Схемы ВСиВО Красноселькупского района не установлены.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287" w:name="_Toc109995807"/>
      <w:r/>
      <w:bookmarkStart w:id="288" w:name="_Toc142312720"/>
      <w:r>
        <w:t xml:space="preserve"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287"/>
      <w:r/>
      <w:bookmarkEnd w:id="288"/>
      <w:r/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289" w:name="_Toc109995808"/>
      <w:r/>
      <w:bookmarkStart w:id="290" w:name="_Toc142312721"/>
      <w:r>
        <w:t xml:space="preserve">Перечень выявленных бесхозяйных объектов централизованных систем водоснабжения</w:t>
      </w:r>
      <w:bookmarkEnd w:id="289"/>
      <w:r>
        <w:t xml:space="preserve">.</w:t>
      </w:r>
      <w:bookmarkEnd w:id="290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Бесхозяйные объекты централизованных систем водоснабжения на территории с. Толька </w:t>
      </w:r>
      <w:r>
        <w:rPr>
          <w:rFonts w:eastAsia="Liberation Serif" w:cs="Liberation Serif"/>
          <w:color w:val="000000"/>
        </w:rPr>
        <w:t xml:space="preserve">не выявлены.</w:t>
      </w:r>
      <w:r/>
    </w:p>
    <w:p>
      <w:pPr>
        <w:pStyle w:val="1075"/>
      </w:pPr>
      <w:r/>
      <w:bookmarkStart w:id="291" w:name="_Toc109995809"/>
      <w:r/>
      <w:bookmarkStart w:id="292" w:name="_Toc142312722"/>
      <w:r>
        <w:rPr>
          <w:szCs w:val="28"/>
        </w:rPr>
        <w:t xml:space="preserve">Перечень организаций, уполномоченных на эксплуатацию </w:t>
      </w:r>
      <w:r>
        <w:t xml:space="preserve">выявленных бесхозяйных объектов централизованных систем водоснабжения на территории с. Толька</w:t>
      </w:r>
      <w:r>
        <w:rPr>
          <w:szCs w:val="28"/>
        </w:rPr>
        <w:t xml:space="preserve">.</w:t>
      </w:r>
      <w:bookmarkEnd w:id="291"/>
      <w:r/>
      <w:bookmarkEnd w:id="292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В соответствии с ФЗ РФ от 07.12.2011 № 416-ФЗ по вопросам эксплуатации бесхозяйных объектов определено следующее:</w:t>
      </w:r>
      <w:r/>
    </w:p>
    <w:p>
      <w:pPr>
        <w:pStyle w:val="1340"/>
        <w:numPr>
          <w:ilvl w:val="0"/>
          <w:numId w:val="7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5 статьи 8 главы 3: «В случае выявления бесхозяйных объектов централизованных систем го</w:t>
      </w:r>
      <w:r>
        <w:rPr>
          <w:szCs w:val="28"/>
        </w:rPr>
        <w:t xml:space="preserve">рячего водоснабжения, холодного водоснабжения и (или) водоотведения, в том числе водопроводных и канализационных сетей, путём эксплуатации которых обеспечиваются водоснабжение и (или) водоотведение, эксплуатация таких объектов осуществляется гарантирующей </w:t>
      </w:r>
      <w:r>
        <w:rPr>
          <w:szCs w:val="28"/>
        </w:rPr>
        <w:t xml:space="preserve">организацией либо организацией, которая осуществляет горячее водоснабжение, холодное водоснабжение и (или) водоотведение и водопроводные и (или) канализационные сети которой непосредственно присоединены к указанным бесхозяйным объектам (в случае выявления </w:t>
      </w:r>
      <w:r>
        <w:rPr>
          <w:szCs w:val="28"/>
        </w:rPr>
        <w:t xml:space="preserve">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статьёй 12 настоящего Федерального закона), со дня подписания с органом местного самоуправления поселен</w:t>
      </w:r>
      <w:r>
        <w:rPr>
          <w:szCs w:val="28"/>
        </w:rPr>
        <w:t xml:space="preserve">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законодательством»;</w:t>
      </w:r>
      <w:r/>
    </w:p>
    <w:p>
      <w:pPr>
        <w:pStyle w:val="1340"/>
        <w:numPr>
          <w:ilvl w:val="0"/>
          <w:numId w:val="7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6 статьи 8 главы 3: «Расходы организации, осуществляющей горячее водоснабжение, холодное водоснабжение и (или) водоотведение, на эксплуатацию бесхозяйных объектов централизованных систем горячего водоснабжения,</w:t>
      </w:r>
      <w:r>
        <w:rPr>
          <w:szCs w:val="28"/>
        </w:rPr>
        <w:t xml:space="preserve"> холодного водоснабжения и (или)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утверждёнными Правительством Российской Федерации»;</w:t>
      </w:r>
      <w:r/>
    </w:p>
    <w:p>
      <w:pPr>
        <w:pStyle w:val="1340"/>
        <w:numPr>
          <w:ilvl w:val="0"/>
          <w:numId w:val="7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пункт 7 статьи 8 главы 3: «В случае, если снижение качества воды происходит на бесхозяйных объектах централизованных систем горячего водоснабжения, холодного водоснабжения, организация, которая осуществляет горячее водос</w:t>
      </w:r>
      <w:r>
        <w:rPr>
          <w:szCs w:val="28"/>
        </w:rPr>
        <w:t xml:space="preserve">набжение, холодное водоснабжение и эксплуатирует такие бесхозяйные объекты, обязана не позднее чем через два года со дня передачи в эксплуатацию этих объектов обеспечить водоснабжение с использованием таких объектов в соответствии с законодательством Росси</w:t>
      </w:r>
      <w:r>
        <w:rPr>
          <w:szCs w:val="28"/>
        </w:rPr>
        <w:t xml:space="preserve">йской Федерации, устанавливающим требования к качеству горячей воды, питьевой воды, если меньший срок не установлен утверждёнными в соответствии с настоящим Федеральным законом планами мероприятий по приведению качества горячей воды, питьевой воды в соотве</w:t>
      </w:r>
      <w:r>
        <w:rPr>
          <w:szCs w:val="28"/>
        </w:rPr>
        <w:t xml:space="preserve">тствие с установленными требованиями. На указанный срок допускается несоответствие качества подаваемой горячей воды, питьевой воды установленным требованиям, за исключением показателей качества горячей воды, питьевой воды, характеризующих её безопасность».</w:t>
      </w:r>
      <w:r/>
    </w:p>
    <w:p>
      <w:pPr>
        <w:pStyle w:val="1340"/>
        <w:tabs>
          <w:tab w:val="left" w:pos="992" w:leader="none"/>
        </w:tabs>
        <w:rPr>
          <w:b/>
          <w:color w:val="000000"/>
          <w:szCs w:val="28"/>
        </w:rPr>
      </w:pPr>
      <w:r>
        <w:rPr>
          <w:szCs w:val="28"/>
        </w:rPr>
        <w:t xml:space="preserve">На момент актуализации Схемы водоснабжения с. Толька организацией, уполномоченной на эксплуатацию бесхозяйных объектов водоснабжения, назначена ООО «Ямал-Энерго». </w:t>
      </w:r>
      <w:r/>
    </w:p>
    <w:p>
      <w:pPr>
        <w:pStyle w:val="1340"/>
        <w:tabs>
          <w:tab w:val="left" w:pos="992" w:leader="none"/>
        </w:tabs>
        <w:rPr>
          <w:color w:val="000000"/>
          <w:szCs w:val="28"/>
        </w:rPr>
      </w:pPr>
      <w:r>
        <w:rPr>
          <w:color w:val="000000"/>
          <w:szCs w:val="28"/>
        </w:rPr>
      </w:r>
      <w:r/>
    </w:p>
    <w:p>
      <w:pPr>
        <w:pStyle w:val="1073"/>
        <w:rPr>
          <w:color w:val="000000"/>
          <w:szCs w:val="28"/>
        </w:rPr>
      </w:pPr>
      <w:r/>
      <w:bookmarkStart w:id="293" w:name="_Toc109995810"/>
      <w:r/>
      <w:bookmarkStart w:id="294" w:name="_Toc142312723"/>
      <w:r>
        <w:t xml:space="preserve">Схема водоотведения</w:t>
      </w:r>
      <w:bookmarkEnd w:id="293"/>
      <w:r/>
      <w:bookmarkEnd w:id="29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295" w:name="_Toc109995811"/>
      <w:r/>
      <w:bookmarkStart w:id="296" w:name="_Toc142312724"/>
      <w:r>
        <w:t xml:space="preserve">Существующее положение в сфере водоотведения</w:t>
      </w:r>
      <w:bookmarkEnd w:id="295"/>
      <w:r/>
      <w:bookmarkEnd w:id="29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297" w:name="_Toc109995812"/>
      <w:r/>
      <w:bookmarkStart w:id="298" w:name="_Toc142312725"/>
      <w:r>
        <w:t xml:space="preserve">Описание структуры системы сбора, очистки и отведения сточных вод на территории населенного пункта на эксплуатационные зоны</w:t>
      </w:r>
      <w:bookmarkEnd w:id="297"/>
      <w:r>
        <w:t xml:space="preserve">.</w:t>
      </w:r>
      <w:bookmarkEnd w:id="29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В с. Толька отсутствует ЦС ВО, сбор жидких бытовых отходов в существующих жилых домах и отдельно стоящих зданиях различной формы собственности и назнач</w:t>
      </w:r>
      <w:r>
        <w:rPr>
          <w:szCs w:val="28"/>
        </w:rPr>
        <w:t xml:space="preserve">ения (общественные здания, магазины, предприятия сферы индивидуального предпринимательства и т.п.) в автономные системы канализации – септики. Далее жидкие бытовые отходы откачиваются спецтехникой, принадлежащей предприятиям частной формы собственности, и </w:t>
      </w:r>
      <w:r>
        <w:rPr>
          <w:szCs w:val="28"/>
        </w:rPr>
        <w:t xml:space="preserve">вывозятся на территорию свалки твердых бытовых отходов для слива в специально отведенное место, указанное Администрацией с. Толька. 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Объем вывозим жидких бытовых отходов на территории с. Толька составил:</w:t>
      </w:r>
      <w:r/>
    </w:p>
    <w:p>
      <w:pPr>
        <w:pStyle w:val="1340"/>
        <w:numPr>
          <w:ilvl w:val="0"/>
          <w:numId w:val="77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2018г. – 15,445 тыс. 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7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2019г. – 15,13 тыс. 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7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2020г. – 20,726 тыс. 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7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2021г. – 8,721 тыс. 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7"/>
        </w:numPr>
        <w:ind w:left="0" w:firstLine="709"/>
        <w:tabs>
          <w:tab w:val="left" w:pos="709" w:leader="none"/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2022г. – 10,3 тыс. 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Общее количество установленных септиков в с. Толька </w:t>
      </w:r>
      <w:r>
        <w:t xml:space="preserve">составляет 2</w:t>
      </w:r>
      <w:r>
        <w:t xml:space="preserve">33</w:t>
      </w:r>
      <w:r>
        <w:rPr>
          <w:szCs w:val="28"/>
        </w:rPr>
        <w:t xml:space="preserve">шт.</w:t>
      </w:r>
      <w:r/>
    </w:p>
    <w:p>
      <w:pPr>
        <w:pStyle w:val="1075"/>
      </w:pPr>
      <w:r/>
      <w:bookmarkStart w:id="299" w:name="_Toc109995813"/>
      <w:r/>
      <w:bookmarkStart w:id="300" w:name="_Toc142312726"/>
      <w:r>
        <w:t xml:space="preserve"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</w:t>
      </w:r>
      <w:r>
        <w:t xml:space="preserve">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299"/>
      <w:r>
        <w:t xml:space="preserve">.</w:t>
      </w:r>
      <w:bookmarkEnd w:id="30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01" w:name="_Toc109995814"/>
      <w:r/>
      <w:bookmarkStart w:id="302" w:name="_Toc142312727"/>
      <w:r>
        <w:t xml:space="preserve">Описание технологических</w:t>
      </w:r>
      <w:r>
        <w:t xml:space="preserve">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301"/>
      <w:r>
        <w:t xml:space="preserve">.</w:t>
      </w:r>
      <w:bookmarkEnd w:id="30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03" w:name="_Toc109995815"/>
      <w:r/>
      <w:bookmarkStart w:id="304" w:name="_Toc142312728"/>
      <w:r>
        <w:t xml:space="preserve"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303"/>
      <w:r>
        <w:t xml:space="preserve">.</w:t>
      </w:r>
      <w:bookmarkEnd w:id="30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05" w:name="_Toc109995816"/>
      <w:r/>
      <w:bookmarkStart w:id="306" w:name="_Toc142312729"/>
      <w:r>
        <w:t xml:space="preserve"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305"/>
      <w:r>
        <w:t xml:space="preserve">.</w:t>
      </w:r>
      <w:bookmarkEnd w:id="30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07" w:name="_Toc109995817"/>
      <w:r/>
      <w:bookmarkStart w:id="308" w:name="_Toc142312730"/>
      <w:r>
        <w:t xml:space="preserve">Оценка безопасности и надежности объектов централизованной системы водоотведения и их управляемости</w:t>
      </w:r>
      <w:bookmarkEnd w:id="307"/>
      <w:r>
        <w:t xml:space="preserve">.</w:t>
      </w:r>
      <w:bookmarkEnd w:id="30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09" w:name="_Toc109995818"/>
      <w:r/>
      <w:bookmarkStart w:id="310" w:name="_Toc142312731"/>
      <w:r>
        <w:t xml:space="preserve">Оценка воздействия сбросов сточных вод через централизованную систему водоотведения на окружающую среду</w:t>
      </w:r>
      <w:bookmarkEnd w:id="309"/>
      <w:r>
        <w:t xml:space="preserve">.</w:t>
      </w:r>
      <w:bookmarkEnd w:id="31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11" w:name="_Toc109995819"/>
      <w:r/>
      <w:bookmarkStart w:id="312" w:name="_Toc142312732"/>
      <w:r>
        <w:t xml:space="preserve">Описание территорий муниципального образования, не охваченных централизованной системой водоотведения</w:t>
      </w:r>
      <w:bookmarkEnd w:id="311"/>
      <w:r>
        <w:t xml:space="preserve">.</w:t>
      </w:r>
      <w:bookmarkEnd w:id="312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13" w:name="_Toc109995820"/>
      <w:r/>
      <w:bookmarkStart w:id="314" w:name="_Toc142312733"/>
      <w:r>
        <w:t xml:space="preserve">Описание существующих технических и технологических проблем системы водоотведения населенного пункта</w:t>
      </w:r>
      <w:bookmarkEnd w:id="313"/>
      <w:r>
        <w:t xml:space="preserve">.</w:t>
      </w:r>
      <w:bookmarkEnd w:id="31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Основными техническими и технологическими проблемами нецентрализованной системы водоотведения с. Толька являются:</w:t>
      </w:r>
      <w:r/>
    </w:p>
    <w:p>
      <w:pPr>
        <w:pStyle w:val="1340"/>
        <w:numPr>
          <w:ilvl w:val="0"/>
          <w:numId w:val="7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отсутствие КОС.</w:t>
      </w:r>
      <w:r/>
    </w:p>
    <w:p>
      <w:pPr>
        <w:pStyle w:val="1075"/>
      </w:pPr>
      <w:r/>
      <w:bookmarkStart w:id="315" w:name="_Toc109995821"/>
      <w:r/>
      <w:bookmarkStart w:id="316" w:name="_Toc142312734"/>
      <w:r>
        <w:t xml:space="preserve">Сведения об отнесении централизованной системы водоотведения (канализации) к централизо</w:t>
      </w:r>
      <w:r>
        <w:t xml:space="preserve">ванным системам водоотведения населенного пункта, включающие перечень и описание централизованных систем водоотведения (канализации), отнесенных к централизованным системам водоотведения населенного пункта, а также информацию об очистных сооружениях (при и</w:t>
      </w:r>
      <w:r>
        <w:t xml:space="preserve">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315"/>
      <w:r>
        <w:t xml:space="preserve">.</w:t>
      </w:r>
      <w:bookmarkEnd w:id="31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bookmarkStart w:id="317" w:name="_Toc109995822"/>
      <w:r/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18" w:name="_Toc142312735"/>
      <w:r>
        <w:t xml:space="preserve">Балансы сточных вод в системе водоотведения</w:t>
      </w:r>
      <w:bookmarkEnd w:id="318"/>
      <w:r/>
      <w:r/>
    </w:p>
    <w:p>
      <w:pPr>
        <w:pStyle w:val="1340"/>
        <w:jc w:val="center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319" w:name="_Toc109995823"/>
      <w:r/>
      <w:bookmarkStart w:id="320" w:name="_Toc142312736"/>
      <w:r/>
      <w:bookmarkEnd w:id="317"/>
      <w:r>
        <w:t xml:space="preserve"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319"/>
      <w:r>
        <w:t xml:space="preserve">.</w:t>
      </w:r>
      <w:bookmarkEnd w:id="32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21" w:name="_Toc109995824"/>
      <w:r/>
      <w:bookmarkStart w:id="322" w:name="_Toc142312737"/>
      <w:r>
        <w:t xml:space="preserve">Оценка 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321"/>
      <w:r>
        <w:t xml:space="preserve">.</w:t>
      </w:r>
      <w:bookmarkEnd w:id="32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23" w:name="_Toc109995825"/>
      <w:r/>
      <w:bookmarkStart w:id="324" w:name="_Toc142312738"/>
      <w:r>
        <w:t xml:space="preserve"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323"/>
      <w:r>
        <w:t xml:space="preserve">.</w:t>
      </w:r>
      <w:bookmarkEnd w:id="32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Откачка и последующий вывоз образуемых сточных вод от абоне</w:t>
      </w:r>
      <w:r>
        <w:rPr>
          <w:szCs w:val="28"/>
        </w:rPr>
        <w:t xml:space="preserve">нтов нецентрализованной системы водоотведения осуществляется как правило ассенизационным способом специализированными компаниями. Для этого заключается соответствующий договор, регламентирующий порядок, расчетный объем и оплату услуг по вывозу сточных вод.</w:t>
      </w:r>
      <w:r/>
    </w:p>
    <w:p>
      <w:pPr>
        <w:pStyle w:val="1075"/>
      </w:pPr>
      <w:r/>
      <w:bookmarkStart w:id="325" w:name="_Toc109995826"/>
      <w:r/>
      <w:bookmarkStart w:id="326" w:name="_Toc142312739"/>
      <w:r>
        <w:t xml:space="preserve">Р</w:t>
      </w:r>
      <w:r>
        <w:t xml:space="preserve"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пункту с выделением зон дефицитов и резервов производственных мощностей</w:t>
      </w:r>
      <w:bookmarkEnd w:id="325"/>
      <w:r>
        <w:t xml:space="preserve">.</w:t>
      </w:r>
      <w:bookmarkEnd w:id="32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27" w:name="_Toc109995827"/>
      <w:r/>
      <w:bookmarkStart w:id="328" w:name="_Toc142312740"/>
      <w: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</w:t>
      </w:r>
      <w:r>
        <w:rPr>
          <w:rStyle w:val="1246"/>
        </w:rPr>
        <w:t xml:space="preserve">03</w:t>
      </w:r>
      <w:r>
        <w:rPr>
          <w:rStyle w:val="1246"/>
        </w:rPr>
        <w:t xml:space="preserve">8</w:t>
      </w:r>
      <w:r>
        <w:rPr>
          <w:rStyle w:val="1246"/>
        </w:rPr>
        <w:t xml:space="preserve"> </w:t>
      </w:r>
      <w:r>
        <w:t xml:space="preserve">года с учетом различных сценариев развития населенного пункта</w:t>
      </w:r>
      <w:bookmarkEnd w:id="327"/>
      <w:r>
        <w:t xml:space="preserve">.</w:t>
      </w:r>
      <w:bookmarkEnd w:id="32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29" w:name="_Toc109995828"/>
      <w:r/>
      <w:bookmarkStart w:id="330" w:name="_Toc142312741"/>
      <w:r>
        <w:t xml:space="preserve">Прогноз объема сточных вод</w:t>
      </w:r>
      <w:bookmarkEnd w:id="329"/>
      <w:r/>
      <w:bookmarkEnd w:id="330"/>
      <w:r/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31" w:name="_Toc109995829"/>
      <w:r/>
      <w:bookmarkStart w:id="332" w:name="_Toc142312742"/>
      <w:r>
        <w:t xml:space="preserve">Сведения о фактическом и ожидаемом поступлении сточных вод в централизованную систему водоотведения</w:t>
      </w:r>
      <w:bookmarkEnd w:id="331"/>
      <w:r>
        <w:t xml:space="preserve">.</w:t>
      </w:r>
      <w:bookmarkEnd w:id="332"/>
      <w:r/>
      <w:r/>
    </w:p>
    <w:p>
      <w:pPr>
        <w:pStyle w:val="1340"/>
        <w:rPr>
          <w:color w:val="000000"/>
          <w:szCs w:val="28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33" w:name="_Toc109995830"/>
      <w:r/>
      <w:bookmarkStart w:id="334" w:name="_Toc142312743"/>
      <w:r>
        <w:t xml:space="preserve">Описание структуры централизованной системы водоотведения (эксплуатационные и технологические зоны)</w:t>
      </w:r>
      <w:bookmarkEnd w:id="333"/>
      <w:r>
        <w:t xml:space="preserve">.</w:t>
      </w:r>
      <w:bookmarkEnd w:id="33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35" w:name="_Toc109995831"/>
      <w:r/>
      <w:bookmarkStart w:id="336" w:name="_Toc142312744"/>
      <w:r>
        <w:t xml:space="preserve"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  <w:bookmarkEnd w:id="335"/>
      <w:r>
        <w:t xml:space="preserve">.</w:t>
      </w:r>
      <w:bookmarkEnd w:id="33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Требуемая мощность КОС принимается из расчета суточного объема образуемых сточных вод. Планируемый объем сточных формируется из удельного среднесуточного водопотребления насел</w:t>
      </w:r>
      <w:r>
        <w:rPr>
          <w:szCs w:val="28"/>
        </w:rPr>
        <w:t xml:space="preserve">ением, принимаемым 160л/сут. Дополнительно учитывается объем сточных вод от предприятий сферы торговли, услуг и местной промышленности в размере 6 % от суммарного среднесуточного водоотведения. С учетом принятых условий мощность КОС принимается равной 500м</w:t>
      </w:r>
      <w:r>
        <w:rPr>
          <w:szCs w:val="28"/>
          <w:vertAlign w:val="superscript"/>
        </w:rPr>
        <w:t xml:space="preserve">3</w:t>
      </w:r>
      <w:r>
        <w:rPr>
          <w:szCs w:val="28"/>
        </w:rPr>
        <w:t xml:space="preserve">/сут.</w:t>
      </w:r>
      <w:r/>
    </w:p>
    <w:p>
      <w:pPr>
        <w:pStyle w:val="1075"/>
      </w:pPr>
      <w:r/>
      <w:bookmarkStart w:id="337" w:name="_Toc109995832"/>
      <w:r/>
      <w:bookmarkStart w:id="338" w:name="_Toc142312745"/>
      <w:r>
        <w:t xml:space="preserve">Результаты анализа гидравлических режимов и режимов работы элементов централизованной системы водоотведения</w:t>
      </w:r>
      <w:bookmarkEnd w:id="337"/>
      <w:r>
        <w:t xml:space="preserve">.</w:t>
      </w:r>
      <w:bookmarkEnd w:id="33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39" w:name="_Toc109995833"/>
      <w:r/>
      <w:bookmarkStart w:id="340" w:name="_Toc142312746"/>
      <w:r>
        <w:t xml:space="preserve">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339"/>
      <w:r>
        <w:t xml:space="preserve">.</w:t>
      </w:r>
      <w:bookmarkEnd w:id="34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41" w:name="_Toc109995834"/>
      <w:r/>
      <w:bookmarkStart w:id="342" w:name="_Toc142312747"/>
      <w:r>
        <w:t xml:space="preserve"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341"/>
      <w:r/>
      <w:bookmarkEnd w:id="342"/>
      <w:r/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43" w:name="_Toc109995835"/>
      <w:r/>
      <w:bookmarkStart w:id="344" w:name="_Toc142312748"/>
      <w:r>
        <w:t xml:space="preserve">Основные направления, принципы, задачи и плановые значения показателей развития централизованной системы водоотведения</w:t>
      </w:r>
      <w:bookmarkEnd w:id="343"/>
      <w:r>
        <w:t xml:space="preserve">.</w:t>
      </w:r>
      <w:bookmarkEnd w:id="34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45" w:name="_Toc109995836"/>
      <w:r/>
      <w:bookmarkStart w:id="346" w:name="_Toc142312749"/>
      <w:r>
        <w:t xml:space="preserve"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345"/>
      <w:r>
        <w:t xml:space="preserve">.</w:t>
      </w:r>
      <w:bookmarkEnd w:id="34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Перечень основных мероприятий по реализации Схемы водоотведения </w:t>
      </w:r>
      <w:r>
        <w:rPr>
          <w:szCs w:val="28"/>
        </w:rPr>
        <w:br/>
        <w:t xml:space="preserve"> с. Толька с разбивкой по годам, включая технические обоснования этих мероприятий, приведен в таблице 2.4.1.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spacing w:after="200" w:line="276" w:lineRule="auto"/>
        <w:rPr>
          <w:rFonts w:ascii="Liberation Serif" w:hAnsi="Liberation Serif"/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Cs w:val="28"/>
        </w:rPr>
        <w:br w:type="page" w:clear="all"/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2.4.1 – Перечень основных мероприятий по реализации Схемы водоотведения с. Толька с разбивкой по годам, включая технические обоснования этих мероприятий</w:t>
      </w:r>
      <w:r/>
    </w:p>
    <w:p>
      <w:pPr>
        <w:pStyle w:val="1340"/>
        <w:rPr>
          <w:rFonts w:asciiTheme="minorHAnsi" w:hAnsiTheme="minorHAnsi"/>
        </w:rPr>
      </w:pPr>
      <w:r>
        <w:t xml:space="preserve"> </w:t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014"/>
        <w:gridCol w:w="6000"/>
        <w:gridCol w:w="1307"/>
        <w:gridCol w:w="1307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Период реализации, гг.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начало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конец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 xml:space="preserve">8</w:t>
            </w:r>
            <w:r/>
          </w:p>
        </w:tc>
      </w:tr>
    </w:tbl>
    <w:p>
      <w:pPr>
        <w:pStyle w:val="1245"/>
      </w:pPr>
      <w:r/>
      <w:bookmarkStart w:id="347" w:name="_Toc109995837"/>
      <w:r/>
      <w:r/>
    </w:p>
    <w:p>
      <w:pPr>
        <w:pStyle w:val="1075"/>
      </w:pPr>
      <w:r/>
      <w:bookmarkStart w:id="348" w:name="_Toc142312750"/>
      <w:r>
        <w:t xml:space="preserve">Технические обоснования основных мероприятий по реализации схем водоотведения</w:t>
      </w:r>
      <w:bookmarkEnd w:id="347"/>
      <w:r>
        <w:t xml:space="preserve">.</w:t>
      </w:r>
      <w:bookmarkEnd w:id="348"/>
      <w:r/>
      <w:r/>
    </w:p>
    <w:p>
      <w:pPr>
        <w:pStyle w:val="1340"/>
        <w:rPr>
          <w:color w:val="000000"/>
          <w:szCs w:val="28"/>
        </w:rPr>
      </w:pPr>
      <w:r>
        <w:rPr>
          <w:szCs w:val="28"/>
        </w:rPr>
        <w:t xml:space="preserve">Технические обоснования основных мероприятий по реализации Схемы водоотведения с. Толька приведены в таблице 2.4.2.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2.4.2 – Технические обоснования основных мероприятий по реализации Схемы водоотведения с. Толька</w:t>
      </w:r>
      <w:r/>
    </w:p>
    <w:p>
      <w:pPr>
        <w:pStyle w:val="1340"/>
        <w:rPr>
          <w:rFonts w:asciiTheme="minorHAnsi" w:hAnsiTheme="minorHAnsi"/>
        </w:rPr>
      </w:pPr>
      <w:r>
        <w:tab/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914"/>
        <w:gridCol w:w="5417"/>
        <w:gridCol w:w="3297"/>
      </w:tblGrid>
      <w:tr>
        <w:trPr>
          <w:trHeight w:val="517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Техническое обоснование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Сокращение сбросов и организация возврата очищенных сточных вод на технические нужды</w:t>
            </w:r>
            <w:r/>
          </w:p>
        </w:tc>
      </w:tr>
    </w:tbl>
    <w:p>
      <w:pPr>
        <w:pStyle w:val="1245"/>
      </w:pPr>
      <w:r/>
      <w:bookmarkStart w:id="349" w:name="_Toc109995838"/>
      <w:r/>
      <w:r/>
    </w:p>
    <w:p>
      <w:pPr>
        <w:pStyle w:val="1075"/>
      </w:pPr>
      <w:r/>
      <w:bookmarkStart w:id="350" w:name="_Toc142312751"/>
      <w:r>
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водоотведения.</w:t>
      </w:r>
      <w:bookmarkEnd w:id="349"/>
      <w:r/>
      <w:bookmarkEnd w:id="35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Сведения о вновь строящихся, реконструируемых и предлагаемых к выводу из эксплуатации объектах ЦС ВО с. Толька приведены в таблице 2.4.3.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b/>
          <w:color w:val="000000"/>
          <w:szCs w:val="28"/>
        </w:rPr>
      </w:pPr>
      <w:r>
        <w:rPr>
          <w:b/>
          <w:bCs/>
          <w:szCs w:val="28"/>
        </w:rPr>
        <w:t xml:space="preserve">Таблица 2.4.3 – Сведения о вновь строящихся, реконструируемых и предлагаемых к выводу из эксплуатации объектах ЦС ВО с. Толька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692"/>
        <w:gridCol w:w="4103"/>
        <w:gridCol w:w="967"/>
        <w:gridCol w:w="967"/>
        <w:gridCol w:w="967"/>
        <w:gridCol w:w="967"/>
        <w:gridCol w:w="965"/>
      </w:tblGrid>
      <w:tr>
        <w:trPr>
          <w:trHeight w:val="43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5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43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канализационные сети</w:t>
            </w:r>
            <w:r/>
          </w:p>
        </w:tc>
        <w:tc>
          <w:tcPr>
            <w:gridSpan w:val="3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0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прочие объекты</w:t>
            </w:r>
            <w:r/>
          </w:p>
        </w:tc>
      </w:tr>
      <w:tr>
        <w:trPr>
          <w:trHeight w:val="12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L, 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Dу, мм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КОС,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КНС, м³/ч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иное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1075"/>
        <w:numPr>
          <w:ilvl w:val="0"/>
          <w:numId w:val="0"/>
        </w:numPr>
        <w:ind w:left="0" w:firstLine="0"/>
      </w:pPr>
      <w:r/>
      <w:r/>
    </w:p>
    <w:p>
      <w:pPr>
        <w:pStyle w:val="1075"/>
      </w:pPr>
      <w:r/>
      <w:bookmarkStart w:id="351" w:name="_Toc109995839"/>
      <w:r/>
      <w:bookmarkStart w:id="352" w:name="_Toc142312752"/>
      <w: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351"/>
      <w:r>
        <w:t xml:space="preserve">.</w:t>
      </w:r>
      <w:bookmarkEnd w:id="352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На вновь строящихся КОС предлагается предусматривать комплексную автоматизацию, включающую в себя как технологическую часть, так и управление инженерными системами объекта (вентиляция, отопление), в т.ч.:</w:t>
      </w:r>
      <w:r/>
    </w:p>
    <w:p>
      <w:pPr>
        <w:pStyle w:val="1340"/>
        <w:numPr>
          <w:ilvl w:val="0"/>
          <w:numId w:val="7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работа приёмных решёток должна быть автоматизирована по определённому алгоритму;</w:t>
      </w:r>
      <w:r/>
    </w:p>
    <w:p>
      <w:pPr>
        <w:pStyle w:val="1340"/>
        <w:numPr>
          <w:ilvl w:val="0"/>
          <w:numId w:val="7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биологическая очистка должна быть автоматизирована с поддержанием диктующих параметров по заданному алгоритму;</w:t>
      </w:r>
      <w:r/>
    </w:p>
    <w:p>
      <w:pPr>
        <w:pStyle w:val="1340"/>
        <w:numPr>
          <w:ilvl w:val="0"/>
          <w:numId w:val="7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подача сжатого воздуха в аэротенки должна быть осуществлена с использованием частотного регулирования;</w:t>
      </w:r>
      <w:r/>
    </w:p>
    <w:p>
      <w:pPr>
        <w:pStyle w:val="1340"/>
        <w:numPr>
          <w:ilvl w:val="0"/>
          <w:numId w:val="7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автоматизированная система вентиляции и отопления для поддержания требуемых параметров микроклимата и кратности воздухообмена в помещениях;</w:t>
      </w:r>
      <w:r/>
    </w:p>
    <w:p>
      <w:pPr>
        <w:pStyle w:val="1340"/>
        <w:numPr>
          <w:ilvl w:val="0"/>
          <w:numId w:val="7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управление насосами и илососами должно быть автоматизировано.</w:t>
      </w:r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При проектировании систем автоматизации объектов </w:t>
      </w:r>
      <w:r>
        <w:rPr>
          <w:szCs w:val="28"/>
        </w:rPr>
        <w:t xml:space="preserve">водоотведения необходимо до начала проектирования разработать техническое задание, а в процессе проектирования общесистемные решения: организационную структуру диспетчерского управления; функциональную структуру, т.е. состав автоматизируемых функций управл</w:t>
      </w:r>
      <w:r>
        <w:rPr>
          <w:szCs w:val="28"/>
        </w:rPr>
        <w:t xml:space="preserve">ения и алгоритмы решения задач; программное, математическое и информационное обеспечения, т.е. программы выполнения на компьютерах и контроллерах; техническое обеспечение, т.е. комплекс технических средств, необходимых для реализации функций автоматизации.</w:t>
      </w:r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Подробное описание системы диспетчерского управления, разработка конкретных технических решений, состав оборудования и перечень необходимых материалов необходи</w:t>
      </w:r>
      <w:r>
        <w:rPr>
          <w:szCs w:val="28"/>
        </w:rPr>
        <w:t xml:space="preserve">мо предусматривать соответствующим проектом. Предпочтение в проекте следует отдавать современным технологиям автоматизации, с целью разработки и внедрения технических решений, способных оставаться актуальными на протяжении многих лет эксплуатации объектов.</w:t>
      </w:r>
      <w:r/>
    </w:p>
    <w:p>
      <w:pPr>
        <w:pStyle w:val="1075"/>
      </w:pPr>
      <w:r/>
      <w:bookmarkStart w:id="353" w:name="_Toc109995840"/>
      <w:r/>
      <w:bookmarkStart w:id="354" w:name="_Toc142312753"/>
      <w:r>
        <w:t xml:space="preserve">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</w:t>
      </w:r>
      <w:bookmarkEnd w:id="353"/>
      <w:r>
        <w:t xml:space="preserve">.</w:t>
      </w:r>
      <w:bookmarkEnd w:id="354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В рамках настоящей актуализации Схемы водоотведения не предусматривается строительство ЦС ВО в с. Толька, что в свою очередь не предусматривает строительство сетей водоотведения. Площадку под строитель</w:t>
      </w:r>
      <w:r>
        <w:rPr>
          <w:szCs w:val="28"/>
        </w:rPr>
        <w:t xml:space="preserve">ство КОС предлагается разместить на севере с. Толька в значительном отдалении от жилой застройки. Окончательное место расположения площадок объектов централизованных систем водоотведения подлежат уточнению и корректировке на стадии проектирования объектов.</w:t>
      </w:r>
      <w:r/>
    </w:p>
    <w:p>
      <w:pPr>
        <w:pStyle w:val="1075"/>
      </w:pPr>
      <w:r/>
      <w:bookmarkStart w:id="355" w:name="_Toc109995841"/>
      <w:r/>
      <w:bookmarkStart w:id="356" w:name="_Toc142312754"/>
      <w:r>
        <w:t xml:space="preserve">Границы и характеристики охранных зон сетей и сооружений централизованной системы водоотведения.</w:t>
      </w:r>
      <w:bookmarkEnd w:id="355"/>
      <w:r/>
      <w:bookmarkEnd w:id="356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Для канализационных сетей и прочих объектов ЦС ВО в соответствии с действующими в сфере централизованного водоотведения нормативными правовыми актами термин «охранная зона» не применяется.</w:t>
      </w:r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При строительстве канализационных сетей и прочих объектов ЦС ВО на территории с. Толька нормативные требова</w:t>
      </w:r>
      <w:r>
        <w:rPr>
          <w:szCs w:val="28"/>
        </w:rPr>
        <w:t xml:space="preserve">ния к размерам занимаемых площадей (размерам земельных участков), размерам санитарно-защитных зон, минимальным расстояниям по горизонтали (в свету) до прочих объектов, а также иные пространственные ограничения и правила должны приниматься в соответствии с:</w:t>
      </w:r>
      <w:r/>
    </w:p>
    <w:p>
      <w:pPr>
        <w:pStyle w:val="1340"/>
        <w:numPr>
          <w:ilvl w:val="0"/>
          <w:numId w:val="80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rPr>
          <w:szCs w:val="28"/>
        </w:rPr>
        <w:t xml:space="preserve">СП 42.13330.2016 «СНиП 2.07.01-89* Градостроительство. Планировка и застройка городских и сельских посел</w:t>
      </w:r>
      <w:r>
        <w:rPr>
          <w:szCs w:val="28"/>
        </w:rPr>
        <w:t xml:space="preserve">ений», утвержденный приказом Министерства строительства и жилищно-коммунального хозяйства Российской Федерации от 30.12.2016 № 1034/пр «Об утверждении СП 42.13330 «СНиП 2.07.01-89* Градостроительство. Планировка и застройка городских и сельских поселений»;</w:t>
      </w:r>
      <w:r/>
    </w:p>
    <w:p>
      <w:pPr>
        <w:pStyle w:val="1340"/>
        <w:numPr>
          <w:ilvl w:val="0"/>
          <w:numId w:val="80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rPr>
          <w:szCs w:val="28"/>
        </w:rPr>
        <w:t xml:space="preserve">СП 32.13330.2018;</w:t>
      </w:r>
      <w:r/>
    </w:p>
    <w:p>
      <w:pPr>
        <w:pStyle w:val="1340"/>
        <w:numPr>
          <w:ilvl w:val="0"/>
          <w:numId w:val="80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rPr>
          <w:szCs w:val="28"/>
        </w:rPr>
        <w:t xml:space="preserve">СП 129.13330.2019 «СНиП 3.05.04-85* Наружные сети и сооружения водоснабж</w:t>
      </w:r>
      <w:r>
        <w:rPr>
          <w:szCs w:val="28"/>
        </w:rPr>
        <w:t xml:space="preserve">ения и канализации», утвержденный приказом Министерства строительства и жилищно-коммунального хозяйства Российской Федерации от 31.12.2019 № 925/пр «Об утверждении СП 129.13330.2019 «СНиП 3.05.04-85* Наружные сети и сооружения водоснабжения и канализации»;</w:t>
      </w:r>
      <w:r/>
    </w:p>
    <w:p>
      <w:pPr>
        <w:pStyle w:val="1340"/>
        <w:numPr>
          <w:ilvl w:val="0"/>
          <w:numId w:val="80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rPr>
          <w:szCs w:val="28"/>
        </w:rPr>
        <w:t xml:space="preserve">СП 18.13330.2019 «Производственные объекты. Планировочная организация земельного участка» (СНиП П-89-80* «Генеральные планы промышленных предприятий»)», утвержденный приказом Министерства стро</w:t>
      </w:r>
      <w:r>
        <w:rPr>
          <w:szCs w:val="28"/>
        </w:rPr>
        <w:t xml:space="preserve">ительства и жилищно-коммунального хозяйства Российской Федерации от 17.09.2019 № 544/пр «Об утверждении СП 18.13330.2019 «Производственные объекты. Планировочная организация земельного участка» (СНиП П-89-80* «Генеральные планы промышленных предприятий»)»;</w:t>
      </w:r>
      <w:r/>
    </w:p>
    <w:p>
      <w:pPr>
        <w:pStyle w:val="1340"/>
        <w:numPr>
          <w:ilvl w:val="0"/>
          <w:numId w:val="80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rPr>
          <w:szCs w:val="28"/>
        </w:rPr>
        <w:t xml:space="preserve">СанПиН 2.2.1/2.1.1.1200-03.</w:t>
      </w:r>
      <w:r/>
    </w:p>
    <w:p>
      <w:pPr>
        <w:pStyle w:val="1075"/>
      </w:pPr>
      <w:r/>
      <w:bookmarkStart w:id="357" w:name="_Toc109995842"/>
      <w:r/>
      <w:bookmarkStart w:id="358" w:name="_Toc142312755"/>
      <w:r>
        <w:t xml:space="preserve">Границы планируемых зон размещения объектов централизованной системы водоотведения</w:t>
      </w:r>
      <w:bookmarkEnd w:id="357"/>
      <w:r>
        <w:t xml:space="preserve">.</w:t>
      </w:r>
      <w:bookmarkEnd w:id="358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rPr>
          <w:szCs w:val="28"/>
        </w:rPr>
        <w:t xml:space="preserve">Границы планируемых зон размещения объектов ЦС ВО по территории с. Толька приведены выше в </w:t>
      </w:r>
      <w:hyperlink w:tooltip="#_Описание_вариантов_маршрутов" w:anchor="_Описание_вариантов_маршрутов" w:history="1">
        <w:r>
          <w:rPr>
            <w:rStyle w:val="1267"/>
            <w:rFonts w:eastAsia="Arial"/>
            <w:color w:val="000000" w:themeColor="text1"/>
            <w:szCs w:val="28"/>
            <w:u w:val="none"/>
          </w:rPr>
          <w:t xml:space="preserve">Подразделе 2.4.6</w:t>
        </w:r>
      </w:hyperlink>
      <w:r>
        <w:rPr>
          <w:szCs w:val="28"/>
        </w:rPr>
        <w:t xml:space="preserve">.</w:t>
      </w:r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59" w:name="_Toc109995843"/>
      <w:r/>
      <w:bookmarkStart w:id="360" w:name="_Toc142312756"/>
      <w:r>
        <w:t xml:space="preserve">Экологические аспекты мероприятий по строительству и реконструкции объектов централизованной системы водоотведения</w:t>
      </w:r>
      <w:bookmarkEnd w:id="359"/>
      <w:r/>
      <w:bookmarkEnd w:id="360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61" w:name="_Toc109995844"/>
      <w:r/>
      <w:bookmarkStart w:id="362" w:name="_Toc142312757"/>
      <w:r>
        <w:t xml:space="preserve"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  <w:bookmarkEnd w:id="361"/>
      <w:r>
        <w:t xml:space="preserve">.</w:t>
      </w:r>
      <w:bookmarkEnd w:id="36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63" w:name="_Toc109995845"/>
      <w:r/>
      <w:bookmarkStart w:id="364" w:name="_Toc142312758"/>
      <w:r>
        <w:t xml:space="preserve">Сведения о применении методов, безопасных для окружающей среды, при утилизации осадков сточных вод</w:t>
      </w:r>
      <w:bookmarkEnd w:id="363"/>
      <w:r>
        <w:t xml:space="preserve">.</w:t>
      </w:r>
      <w:bookmarkEnd w:id="364"/>
      <w:r/>
      <w:r/>
    </w:p>
    <w:p>
      <w:pPr>
        <w:pStyle w:val="1340"/>
        <w:rPr>
          <w:rFonts w:asciiTheme="minorHAnsi" w:hAnsiTheme="minorHAnsi"/>
          <w:szCs w:val="28"/>
        </w:rPr>
      </w:pPr>
      <w:r>
        <w:rPr>
          <w:szCs w:val="28"/>
        </w:rPr>
        <w:t xml:space="preserve">При реализации предлагаемого варианта развития ВО на территории </w:t>
      </w:r>
      <w:r>
        <w:rPr>
          <w:szCs w:val="28"/>
        </w:rPr>
        <w:br/>
        <w:t xml:space="preserve"> с. Толька, в рамках предусматриваемого мероприятия по строительству КОС образующийся в рез</w:t>
      </w:r>
      <w:r>
        <w:rPr>
          <w:szCs w:val="28"/>
        </w:rPr>
        <w:t xml:space="preserve">ультате очистки осадок предлагается складировать на специализированных площадках, которые должны располагаться на КОС, с целью его подсушивания и возможности дальнейшей утилизации в качестве сельско-хозяйственного удобрения либо в качестве засыпного грунта</w:t>
      </w:r>
      <w:r>
        <w:rPr>
          <w:rFonts w:asciiTheme="minorHAnsi" w:hAnsiTheme="minorHAnsi"/>
          <w:szCs w:val="28"/>
        </w:rPr>
        <w:t xml:space="preserve">.</w:t>
      </w:r>
      <w:bookmarkStart w:id="365" w:name="_Toc109995846"/>
      <w:r/>
      <w:r/>
    </w:p>
    <w:p>
      <w:pPr>
        <w:pStyle w:val="134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</w:r>
      <w:r/>
    </w:p>
    <w:p>
      <w:pPr>
        <w:pStyle w:val="1074"/>
        <w:rPr>
          <w:rFonts w:asciiTheme="minorHAnsi" w:hAnsiTheme="minorHAnsi"/>
        </w:rPr>
      </w:pPr>
      <w:r/>
      <w:bookmarkStart w:id="366" w:name="_Toc142312759"/>
      <w:r>
        <w:t xml:space="preserve"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65"/>
      <w:r/>
      <w:bookmarkEnd w:id="366"/>
      <w:r/>
      <w:r/>
    </w:p>
    <w:p>
      <w:pPr>
        <w:pStyle w:val="1464"/>
      </w:pPr>
      <w:r/>
      <w:r/>
    </w:p>
    <w:p>
      <w:pPr>
        <w:pStyle w:val="1075"/>
      </w:pPr>
      <w:r>
        <w:rPr>
          <w:color w:val="000000" w:themeColor="text1"/>
        </w:rPr>
        <w:t xml:space="preserve"> </w:t>
      </w:r>
      <w:bookmarkStart w:id="367" w:name="_Toc109995847"/>
      <w:r/>
      <w:bookmarkStart w:id="368" w:name="_Toc142312760"/>
      <w:r>
        <w:t xml:space="preserve">Оценка потребности в капитальных вложения</w:t>
      </w:r>
      <w:r>
        <w:t xml:space="preserve">х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</w:t>
      </w:r>
      <w:r>
        <w:t xml:space="preserve">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</w:t>
      </w:r>
      <w:bookmarkEnd w:id="367"/>
      <w:r/>
      <w:bookmarkEnd w:id="36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водоотведения произведена в соответствии со следующими нормативными правовыми актами: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81-02-14-20</w:t>
      </w:r>
      <w:r>
        <w:rPr>
          <w:rStyle w:val="1246"/>
        </w:rPr>
        <w:t xml:space="preserve">2</w:t>
      </w:r>
      <w:r>
        <w:rPr>
          <w:rStyle w:val="1246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</w:t>
      </w:r>
      <w:r>
        <w:rPr>
          <w:rStyle w:val="1246"/>
        </w:rPr>
        <w:t xml:space="preserve">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канализационных сетей в соответствии с НЦС 81-02-14-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rStyle w:val="1246"/>
        </w:rPr>
        <w:t xml:space="preserve"> </w:t>
      </w:r>
      <w:r>
        <w:rPr>
          <w:szCs w:val="28"/>
        </w:rPr>
        <w:t xml:space="preserve">приняты следующие положения: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канализационных сетей из полиэтиленовых труб;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без креплений (группа грунтов 1-3, глубина – 3м);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</w:t>
      </w:r>
      <w:r>
        <w:rPr>
          <w:rStyle w:val="1246"/>
        </w:rPr>
        <w:t xml:space="preserve">1,5</w:t>
      </w:r>
      <w:r>
        <w:rPr>
          <w:rStyle w:val="1246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Kпер/зон=0,98;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</w:t>
      </w:r>
      <w:r>
        <w:rPr>
          <w:rStyle w:val="1246"/>
        </w:rPr>
        <w:t xml:space="preserve">4</w:t>
      </w:r>
      <w:r>
        <w:rPr>
          <w:rStyle w:val="1246"/>
        </w:rPr>
        <w:t xml:space="preserve">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водоотведения в соответствии с НЦС 81-02-19-</w:t>
      </w:r>
      <w:r>
        <w:rPr>
          <w:rStyle w:val="1246"/>
        </w:rPr>
        <w:t xml:space="preserve">202</w:t>
      </w:r>
      <w:r>
        <w:rPr>
          <w:rStyle w:val="1246"/>
        </w:rPr>
        <w:t xml:space="preserve">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rPr>
          <w:rStyle w:val="1246"/>
        </w:rPr>
        <w:t xml:space="preserve">,4</w:t>
      </w:r>
      <w:r>
        <w:rPr>
          <w:rStyle w:val="1246"/>
        </w:rPr>
        <w:t xml:space="preserve">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</w:t>
      </w:r>
      <w:r>
        <w:rPr>
          <w:rStyle w:val="1246"/>
        </w:rPr>
        <w:t xml:space="preserve">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приведения стоимостей мероприятий от цен 20</w:t>
      </w:r>
      <w:r>
        <w:rPr>
          <w:rStyle w:val="1246"/>
        </w:rPr>
        <w:t xml:space="preserve">2</w:t>
      </w:r>
      <w:r>
        <w:rPr>
          <w:rStyle w:val="1246"/>
        </w:rPr>
        <w:t xml:space="preserve">3</w:t>
      </w:r>
      <w:r>
        <w:rPr>
          <w:szCs w:val="28"/>
        </w:rPr>
        <w:t xml:space="preserve">г. к ценам лет их реализации применены определённые в соответствии Прогнозом социально-экономического развития Российской Федерации на пе</w:t>
      </w:r>
      <w:r>
        <w:rPr>
          <w:szCs w:val="28"/>
        </w:rPr>
        <w:t xml:space="preserve">риод до 2036 года 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2.6.1. </w:t>
      </w:r>
      <w:r/>
    </w:p>
    <w:p>
      <w:pPr>
        <w:pStyle w:val="1340"/>
        <w:keepLines/>
        <w:keepNext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tabs>
          <w:tab w:val="left" w:pos="992" w:leader="none"/>
        </w:tabs>
        <w:rPr>
          <w:color w:val="000000"/>
        </w:rPr>
      </w:pPr>
      <w:r>
        <w:rPr>
          <w:b/>
          <w:bCs/>
          <w:szCs w:val="28"/>
        </w:rPr>
        <w:t xml:space="preserve">Таблица 2.6.1 – Применённые для приведения стоимостей мероприятий от цен </w:t>
      </w:r>
      <w:r>
        <w:rPr>
          <w:rStyle w:val="1246"/>
          <w:b/>
          <w:bCs/>
        </w:rPr>
        <w:t xml:space="preserve">202</w:t>
      </w:r>
      <w:r>
        <w:rPr>
          <w:rStyle w:val="1246"/>
          <w:b/>
          <w:bCs/>
        </w:rPr>
        <w:t xml:space="preserve">3</w:t>
      </w:r>
      <w:r>
        <w:rPr>
          <w:b/>
          <w:bCs/>
          <w:szCs w:val="28"/>
        </w:rPr>
        <w:t xml:space="preserve">г. к ценам лет их реализации индексы-дефляторы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0"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0"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Оценка потребности в капитальных вложениях в строительство и реконструкцию объекто</w:t>
      </w:r>
      <w:r>
        <w:rPr>
          <w:szCs w:val="28"/>
        </w:rPr>
        <w:t xml:space="preserve">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</w:t>
      </w:r>
      <w:r>
        <w:rPr>
          <w:szCs w:val="28"/>
        </w:rPr>
        <w:t xml:space="preserve">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с. Толька, приведена в таблице 2.6.2.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keepLines/>
        <w:keepNext/>
        <w:rPr>
          <w:color w:val="000000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</w:rPr>
        <w:t xml:space="preserve">Таблица 2.6.2 – Оценка потребности в капитальных вложениях в строительс</w:t>
      </w:r>
      <w:r>
        <w:rPr>
          <w:b/>
          <w:bCs/>
        </w:rPr>
        <w:t xml:space="preserve">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</w:t>
      </w:r>
      <w:r>
        <w:rPr>
          <w:b/>
          <w:bCs/>
        </w:rPr>
        <w:t xml:space="preserve">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 с. Толька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1"/>
        <w:gridCol w:w="3391"/>
        <w:gridCol w:w="618"/>
        <w:gridCol w:w="618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730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6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Итого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69 313,1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72 362,8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141 675,9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(без учета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69 313,1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72 362,8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141 675,9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НДС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13 862,6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14 472,6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28 335,2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6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(с учетом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83 175,7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86 835,4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170 011,1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tabs>
          <w:tab w:val="left" w:pos="992" w:leader="none"/>
        </w:tabs>
        <w:rPr>
          <w:color w:val="000000"/>
          <w:szCs w:val="28"/>
        </w:rPr>
        <w:sectPr>
          <w:footnotePr/>
          <w:endnotePr/>
          <w:type w:val="nextPage"/>
          <w:pgSz w:w="16838" w:h="11906" w:orient="landscape"/>
          <w:pgMar w:top="1134" w:right="680" w:bottom="567" w:left="1559" w:header="709" w:footer="709" w:gutter="0"/>
          <w:cols w:num="1" w:sep="0" w:space="708" w:equalWidth="1"/>
          <w:docGrid w:linePitch="360"/>
        </w:sectPr>
      </w:pPr>
      <w:r>
        <w:rPr>
          <w:color w:val="000000"/>
          <w:szCs w:val="28"/>
        </w:rPr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указанных выше мероприятий в качестве источников финансирования могут рассматриваться:</w:t>
      </w:r>
      <w:r/>
    </w:p>
    <w:p>
      <w:pPr>
        <w:pStyle w:val="1340"/>
        <w:numPr>
          <w:ilvl w:val="0"/>
          <w:numId w:val="8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б</w:t>
      </w:r>
      <w:r>
        <w:rPr>
          <w:szCs w:val="28"/>
        </w:rPr>
        <w:t xml:space="preserve">юджетные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340"/>
        <w:numPr>
          <w:ilvl w:val="0"/>
          <w:numId w:val="8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</w:t>
      </w:r>
      <w:r>
        <w:rPr>
          <w:szCs w:val="28"/>
        </w:rPr>
        <w:t xml:space="preserve">обственные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69" w:name="_Toc142312761"/>
      <w:r>
        <w:t xml:space="preserve">Ц</w:t>
      </w:r>
      <w:bookmarkStart w:id="370" w:name="_Toc109995848"/>
      <w:r>
        <w:t xml:space="preserve">ены (тарифы) в сфере водоотведения</w:t>
      </w:r>
      <w:bookmarkEnd w:id="369"/>
      <w:r/>
      <w:bookmarkEnd w:id="370"/>
      <w:r/>
      <w:r/>
    </w:p>
    <w:p>
      <w:pPr>
        <w:pStyle w:val="1340"/>
        <w:jc w:val="center"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71" w:name="_Toc109995849"/>
      <w:r/>
      <w:bookmarkStart w:id="372" w:name="_Toc142312762"/>
      <w:r>
        <w:t xml:space="preserve">Динамика утверж</w:t>
      </w:r>
      <w:r>
        <w:t xml:space="preserve">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</w:t>
      </w:r>
      <w:bookmarkEnd w:id="371"/>
      <w:r>
        <w:t xml:space="preserve">.</w:t>
      </w:r>
      <w:bookmarkEnd w:id="372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73" w:name="_Toc109995850"/>
      <w:r/>
      <w:bookmarkStart w:id="374" w:name="_Toc142312763"/>
      <w:r>
        <w:t xml:space="preserve">Структура цен (тарифов), установленных на момент актуализации схемы водоотведения</w:t>
      </w:r>
      <w:bookmarkEnd w:id="373"/>
      <w:r>
        <w:t xml:space="preserve">.</w:t>
      </w:r>
      <w:bookmarkEnd w:id="37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75" w:name="_Toc109995851"/>
      <w:r/>
      <w:bookmarkStart w:id="376" w:name="_Toc142312764"/>
      <w:r>
        <w:t xml:space="preserve">Плата за подключение к системе водоотведения и поступление денежных средств от осуществления деятельности по водоотведению</w:t>
      </w:r>
      <w:bookmarkEnd w:id="375"/>
      <w:r>
        <w:t xml:space="preserve">.</w:t>
      </w:r>
      <w:bookmarkEnd w:id="37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77" w:name="_Toc109995852"/>
      <w:r/>
      <w:bookmarkStart w:id="378" w:name="_Toc142312765"/>
      <w:r>
        <w:t xml:space="preserve">Плановые значения показателей развития централизованных систем водоотведения</w:t>
      </w:r>
      <w:bookmarkEnd w:id="377"/>
      <w:r/>
      <w:bookmarkEnd w:id="378"/>
      <w:r/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79" w:name="_Toc109995853"/>
      <w:r/>
      <w:bookmarkStart w:id="380" w:name="_Toc142312766"/>
      <w:r>
        <w:t xml:space="preserve">Показатели надежности и бесперебойности водоотведения</w:t>
      </w:r>
      <w:bookmarkEnd w:id="379"/>
      <w:r>
        <w:t xml:space="preserve">.</w:t>
      </w:r>
      <w:bookmarkEnd w:id="38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81" w:name="_Toc109995854"/>
      <w:r/>
      <w:bookmarkStart w:id="382" w:name="_Toc142312767"/>
      <w:r>
        <w:t xml:space="preserve">Показатели качества обслуживания абонентов</w:t>
      </w:r>
      <w:bookmarkEnd w:id="381"/>
      <w:r>
        <w:t xml:space="preserve">.</w:t>
      </w:r>
      <w:bookmarkEnd w:id="382"/>
      <w:r/>
      <w:r/>
    </w:p>
    <w:p>
      <w:pPr>
        <w:pStyle w:val="1340"/>
        <w:rPr>
          <w:color w:val="000000"/>
          <w:szCs w:val="28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83" w:name="_Toc109995855"/>
      <w:r/>
      <w:bookmarkStart w:id="384" w:name="_Toc142312768"/>
      <w:r>
        <w:t xml:space="preserve">Показатели очистки сточных вод</w:t>
      </w:r>
      <w:bookmarkEnd w:id="383"/>
      <w:r>
        <w:t xml:space="preserve">.</w:t>
      </w:r>
      <w:bookmarkEnd w:id="38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85" w:name="_Toc109995856"/>
      <w:r/>
      <w:bookmarkStart w:id="386" w:name="_Toc142312769"/>
      <w:r>
        <w:t xml:space="preserve">Показатели эффективности использования ресурсов при транспортировке сточных вод</w:t>
      </w:r>
      <w:bookmarkEnd w:id="385"/>
      <w:r>
        <w:t xml:space="preserve">.</w:t>
      </w:r>
      <w:bookmarkEnd w:id="386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87" w:name="_Toc109995857"/>
      <w:r/>
      <w:bookmarkStart w:id="388" w:name="_Toc142312770"/>
      <w:r>
        <w:t xml:space="preserve">Соотношение цены реализации мероприятий инвестиционной программы и их эффективности - улучшение качества очистки сточных вод</w:t>
      </w:r>
      <w:bookmarkEnd w:id="387"/>
      <w:r>
        <w:t xml:space="preserve">.</w:t>
      </w:r>
      <w:bookmarkEnd w:id="388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5"/>
      </w:pPr>
      <w:r/>
      <w:bookmarkStart w:id="389" w:name="_Toc109995858"/>
      <w:r/>
      <w:bookmarkStart w:id="390" w:name="_Toc142312771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89"/>
      <w:r>
        <w:t xml:space="preserve">.</w:t>
      </w:r>
      <w:bookmarkEnd w:id="39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pStyle w:val="1074"/>
        <w:rPr>
          <w:rFonts w:asciiTheme="minorHAnsi" w:hAnsiTheme="minorHAnsi"/>
        </w:rPr>
      </w:pPr>
      <w:r/>
      <w:bookmarkStart w:id="391" w:name="_Toc109995859"/>
      <w:r/>
      <w:bookmarkStart w:id="392" w:name="_Toc142312772"/>
      <w:r>
        <w:t xml:space="preserve"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91"/>
      <w:r/>
      <w:bookmarkEnd w:id="392"/>
      <w:r/>
      <w:r/>
    </w:p>
    <w:p>
      <w:pPr>
        <w:pStyle w:val="1464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75"/>
      </w:pPr>
      <w:r/>
      <w:bookmarkStart w:id="393" w:name="_Toc109995860"/>
      <w:r/>
      <w:bookmarkStart w:id="394" w:name="_Toc142312773"/>
      <w:r>
        <w:t xml:space="preserve">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</w:r>
      <w:bookmarkEnd w:id="393"/>
      <w:r/>
      <w:bookmarkEnd w:id="394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ЦС ВО на территории с. Толька отсутствуют.</w:t>
      </w:r>
      <w:r/>
    </w:p>
    <w:p>
      <w:pPr>
        <w:spacing w:after="200" w:line="276" w:lineRule="auto"/>
        <w:rPr>
          <w:rFonts w:ascii="Liberation Serif" w:hAnsi="Liberation Serif" w:eastAsia="Liberation Serif" w:cs="Liberation Serif"/>
          <w:color w:val="000000"/>
          <w:sz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br w:type="page" w:clear="all"/>
      </w:r>
      <w:r/>
    </w:p>
    <w:p>
      <w:pPr>
        <w:pStyle w:val="2167"/>
        <w:rPr>
          <w:rFonts w:asciiTheme="minorHAnsi" w:hAnsiTheme="minorHAnsi"/>
        </w:rPr>
      </w:pPr>
      <w:r/>
      <w:bookmarkStart w:id="395" w:name="_Toc142312774"/>
      <w:r>
        <w:t xml:space="preserve">Том 3. СЕЛО РАТТА</w:t>
      </w:r>
      <w:bookmarkEnd w:id="395"/>
      <w:r/>
      <w:r/>
    </w:p>
    <w:p>
      <w:pPr>
        <w:pStyle w:val="1340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073"/>
        <w:numPr>
          <w:ilvl w:val="0"/>
          <w:numId w:val="110"/>
        </w:numPr>
        <w:rPr>
          <w:color w:val="000000"/>
        </w:rPr>
      </w:pPr>
      <w:r/>
      <w:bookmarkStart w:id="396" w:name="_Toc109995058"/>
      <w:r/>
      <w:bookmarkStart w:id="397" w:name="_Toc142312775"/>
      <w:r>
        <w:t xml:space="preserve">Схема водоснабжения</w:t>
      </w:r>
      <w:bookmarkEnd w:id="396"/>
      <w:r/>
      <w:bookmarkEnd w:id="397"/>
      <w:r/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398" w:name="_Toc142312776"/>
      <w:r>
        <w:t xml:space="preserve">Технико-экономическое состояние централизованных систем водоснабжения</w:t>
      </w:r>
      <w:bookmarkEnd w:id="398"/>
      <w:r/>
      <w:r/>
    </w:p>
    <w:p>
      <w:pPr>
        <w:pStyle w:val="1340"/>
        <w:jc w:val="center"/>
        <w:rPr>
          <w:color w:val="000000"/>
        </w:rPr>
      </w:pPr>
      <w:r>
        <w:t xml:space="preserve"> </w:t>
      </w:r>
      <w:r/>
    </w:p>
    <w:p>
      <w:pPr>
        <w:pStyle w:val="1075"/>
      </w:pPr>
      <w:r/>
      <w:bookmarkStart w:id="399" w:name="_Toc109995060"/>
      <w:r/>
      <w:bookmarkStart w:id="400" w:name="_Toc142312777"/>
      <w:r>
        <w:t xml:space="preserve">Описание системы и структуры водоснабжения и деление территории на эксплуатационные зоны</w:t>
      </w:r>
      <w:bookmarkEnd w:id="399"/>
      <w:r>
        <w:rPr>
          <w:rFonts w:asciiTheme="minorHAnsi" w:hAnsiTheme="minorHAnsi"/>
        </w:rPr>
        <w:t xml:space="preserve">.</w:t>
      </w:r>
      <w:bookmarkEnd w:id="400"/>
      <w:r/>
      <w:r/>
    </w:p>
    <w:p>
      <w:pPr>
        <w:pStyle w:val="1340"/>
        <w:rPr>
          <w:color w:val="000000"/>
        </w:rPr>
      </w:pPr>
      <w:r>
        <w:rPr>
          <w:szCs w:val="28"/>
        </w:rPr>
        <w:t xml:space="preserve">Перечень организаций ВКХ, осуществляющих эксплуатацию объектов централизованных систем водоснабжения на территории с. Ратта, приведен в таблице 1.1.1.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  <w:szCs w:val="28"/>
        </w:rPr>
        <w:t xml:space="preserve">Таблица 1.1.1 – Перечень организаций ВКХ, осуществляющих эксплуатацию объектов централизованных систем водоснабжения на территории с. Ратта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7"/>
        <w:gridCol w:w="2015"/>
        <w:gridCol w:w="1511"/>
        <w:gridCol w:w="2363"/>
        <w:gridCol w:w="1216"/>
        <w:gridCol w:w="1976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Полное наименование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Сокращенное наименование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Юридический адрес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ИНН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КПП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Виды осуществляемой регулируемой деятельности в сфере водоснабжения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Общество с ограниченной ответственностью «Ямал-Энерго»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ООО «Ямал-Энерго»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629382, Ямало-Ненецкий автономный округ, Красноселькупский р-н, с. Толька, ул. Сидорова, д.1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8912002546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891201001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Холодное водоснабжение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/>
    </w:p>
    <w:p>
      <w:pPr>
        <w:pStyle w:val="1340"/>
        <w:ind w:firstLine="709"/>
        <w:rPr>
          <w:szCs w:val="28"/>
          <w:highlight w:val="none"/>
        </w:rPr>
      </w:pPr>
      <w:r>
        <w:rPr>
          <w:szCs w:val="28"/>
        </w:rPr>
        <w:t xml:space="preserve">Структурная схема централизованного водоснабжения с. Ратта приведена на рисунке 1.1.1.</w:t>
      </w:r>
      <w:r/>
    </w:p>
    <w:p>
      <w:pPr>
        <w:pStyle w:val="1340"/>
        <w:ind w:firstLine="709"/>
        <w:rPr>
          <w:szCs w:val="28"/>
          <w:highlight w:val="none"/>
        </w:rPr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1340"/>
        <w:ind w:firstLine="0"/>
        <w:jc w:val="center"/>
        <w:keepNext/>
        <w:rPr>
          <w:color w:val="000000"/>
        </w:rPr>
      </w:pPr>
      <w:r>
        <w:rPr>
          <w:b/>
          <w:bCs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81705" cy="3475986"/>
                <wp:effectExtent l="0" t="0" r="0" b="0"/>
                <wp:docPr id="20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86664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2581704" cy="347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03.3pt;height:273.7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1475"/>
        <w:rPr>
          <w:color w:val="000000"/>
        </w:rPr>
      </w:pPr>
      <w:r>
        <w:t xml:space="preserve">Рисунок 1.1.1 – Структурная схема централизованного водоснабжения с. Ратта</w:t>
      </w:r>
      <w:r/>
    </w:p>
    <w:p>
      <w:pPr>
        <w:pStyle w:val="1340"/>
        <w:jc w:val="center"/>
        <w:keepLines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Регулируемые виды деятельности в сфере водоснабжения на территории </w:t>
      </w:r>
      <w:r>
        <w:br/>
        <w:t xml:space="preserve"> с. Рат</w:t>
      </w:r>
      <w:r>
        <w:t xml:space="preserve">та осуществляет единственная организация – ООО «Ямал-Энерго», которая осуществляет цикл операций по водоснабжению питьевой водой, включая транспортировку и подачу воды абонентам. ООО «Ямал-Энерго» образует на территории с. Ратта одну эксплуатационную зону.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эксплуатационной зоне ООО «Ямал-Энерго» находятся все объекты ЦС ХВС, посредством которых обеспечивается водоснабжение питьевой водой абонентов на территории с. Ратта.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Объекты ЦС ХВС на территории с. Ратта относятся к:</w:t>
      </w:r>
      <w:r/>
    </w:p>
    <w:p>
      <w:pPr>
        <w:pStyle w:val="1340"/>
        <w:numPr>
          <w:ilvl w:val="0"/>
          <w:numId w:val="85"/>
        </w:numPr>
        <w:ind w:left="0" w:firstLine="709"/>
        <w:tabs>
          <w:tab w:val="clear" w:pos="720" w:leader="none"/>
          <w:tab w:val="left" w:pos="992" w:leader="none"/>
        </w:tabs>
      </w:pPr>
      <w:r>
        <w:t xml:space="preserve">ТЗ ВС с. Ратта, включая:</w:t>
      </w:r>
      <w:r/>
    </w:p>
    <w:p>
      <w:pPr>
        <w:pStyle w:val="1340"/>
        <w:numPr>
          <w:ilvl w:val="0"/>
          <w:numId w:val="8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сооружения</w:t>
      </w:r>
      <w:r>
        <w:t xml:space="preserve"> из подземного источника, представленные двумя водозаборными скважинами, расположенные в с. Ратта по ул. Источная;</w:t>
      </w:r>
      <w:r/>
    </w:p>
    <w:p>
      <w:pPr>
        <w:pStyle w:val="1340"/>
        <w:numPr>
          <w:ilvl w:val="0"/>
          <w:numId w:val="8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одна СВП</w:t>
      </w:r>
      <w:r>
        <w:t xml:space="preserve"> (СКПВ 15), расположенная в селе и представляющая собой комплекс технологического оборудования, предназначенного для водоподготовки питьевой воды. В составе СВП находится ВНС II-го подъема, осуществляющая подачу питьевой воды в распределительные сети села;</w:t>
      </w:r>
      <w:r/>
    </w:p>
    <w:p>
      <w:pPr>
        <w:pStyle w:val="1340"/>
        <w:numPr>
          <w:ilvl w:val="0"/>
          <w:numId w:val="85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водопроводные сети суммарной протяженностью 0,829км.</w:t>
      </w:r>
      <w:r/>
    </w:p>
    <w:p>
      <w:pPr>
        <w:pStyle w:val="1075"/>
      </w:pPr>
      <w:r/>
      <w:bookmarkStart w:id="401" w:name="_Toc109995061"/>
      <w:r/>
      <w:bookmarkStart w:id="402" w:name="_Toc142312778"/>
      <w:r>
        <w:t xml:space="preserve">Описание территорий населенного пункта, не охваченных централизованными системами водоснабжения</w:t>
      </w:r>
      <w:bookmarkEnd w:id="401"/>
      <w:r>
        <w:t xml:space="preserve">.</w:t>
      </w:r>
      <w:bookmarkEnd w:id="402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Не охваченными ЦС ХВС с. Ратта являются территории, на которых расположены объекты индивидуальной жилой застройки. На данных территориях в качестве источников питьевого водоснабжения используется вода из шахтных колодцев. </w:t>
      </w:r>
      <w:r/>
    </w:p>
    <w:p>
      <w:pPr>
        <w:pStyle w:val="1075"/>
      </w:pPr>
      <w:r/>
      <w:bookmarkStart w:id="403" w:name="_Toc109995062"/>
      <w:r/>
      <w:bookmarkStart w:id="404" w:name="_Toc142312779"/>
      <w:r>
        <w:t xml:space="preserve">Описание технологических зон водоснабжения, зон централизованного и нецентрализованного водоснабжения (систем горячего водоснабжения, систем холодного водоснабжения) и составление перечня централизованных систем водоснабжения</w:t>
      </w:r>
      <w:bookmarkEnd w:id="403"/>
      <w:r>
        <w:t xml:space="preserve">.</w:t>
      </w:r>
      <w:bookmarkEnd w:id="40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соответствии со статьей 2 главы 1 ФЗ РФ от 07.12.2011 № 416-ФЗ: </w:t>
      </w:r>
      <w:r/>
    </w:p>
    <w:p>
      <w:pPr>
        <w:pStyle w:val="1340"/>
        <w:numPr>
          <w:ilvl w:val="0"/>
          <w:numId w:val="86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централизованная система холодного водоснабжения –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соответствии с пунктом 2 Требований к содержанию схем водоснабжения и водоотведения, утверждённых ПП РФ от 05.09.2013 № 782: </w:t>
      </w:r>
      <w:r/>
    </w:p>
    <w:p>
      <w:pPr>
        <w:pStyle w:val="1340"/>
        <w:numPr>
          <w:ilvl w:val="0"/>
          <w:numId w:val="87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технологическая зона водоснабжен</w:t>
      </w:r>
      <w:r>
        <w:t xml:space="preserve">ия – часть водопроводной сети, принадлежащая организации, осуществляющей горячее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Исходя из указанных выше</w:t>
      </w:r>
      <w:r>
        <w:t xml:space="preserve"> определений, следует сделать вывод о том, что в границах действия одной ЦС ХВС может быть выделено как несколько технологических зон водоснабжения, разграничиваемых по признаку принадлежности (эксплуатационной ответственности) объектов централизованных си</w:t>
      </w:r>
      <w:r>
        <w:t xml:space="preserve">стем водоснабжения к той или иной организации ВКХ, так и одна технологическая зона в том случае, если все входящие в ЦС ХВС объекты централизованных систем водоснабжения принадлежат (находятся в зоне эксплуатационной ответственности) одной организации ВКХ.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Таким образом, на территории с. Ратта выделены следующие технологические зоны водоснабжения:</w:t>
      </w:r>
      <w:r/>
    </w:p>
    <w:p>
      <w:pPr>
        <w:pStyle w:val="1340"/>
        <w:numPr>
          <w:ilvl w:val="0"/>
          <w:numId w:val="111"/>
        </w:numPr>
        <w:ind w:left="1134" w:hanging="425"/>
        <w:tabs>
          <w:tab w:val="left" w:pos="992" w:leader="none"/>
        </w:tabs>
        <w:rPr>
          <w:color w:val="000000"/>
        </w:rPr>
      </w:pPr>
      <w:r>
        <w:t xml:space="preserve">ТЗ ВС с. Ратта.</w:t>
      </w:r>
      <w:r/>
    </w:p>
    <w:p>
      <w:pPr>
        <w:pStyle w:val="1075"/>
      </w:pPr>
      <w:r/>
      <w:bookmarkStart w:id="405" w:name="_Toc109995063"/>
      <w:r/>
      <w:bookmarkStart w:id="406" w:name="_Toc142312780"/>
      <w:r>
        <w:t xml:space="preserve">Описание результатов технического обследования централизованных систем водоснабжения</w:t>
      </w:r>
      <w:bookmarkEnd w:id="405"/>
      <w:r>
        <w:t xml:space="preserve">.</w:t>
      </w:r>
      <w:bookmarkEnd w:id="40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Техническое обследование объектов централизованных систем водоснабжения в соответствии с Требованиями к проведению технического обследования централизованных систем горячего</w:t>
      </w:r>
      <w:r>
        <w:t xml:space="preserve"> водоснабжения, холодного водоснабжения и (или) водоотведения, утвержденными Приказом Минстроя РФ от 05.08.2014 № 437/пр, организациями ВКХ, осуществляющими эксплуатацию объектов централизованных систем водоснабжения на территории с. Ратта, не проводилось.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Ниже в пунктах 1.1.4.1-1.1.4.6 приведено описание и характеристики объектов централизованных систем водо</w:t>
      </w:r>
      <w:r>
        <w:t xml:space="preserve">снабжения, действующих на территории с. Ратта, составленное на основании материалов (исходных данных), предоставленных Заказчиком работ и организациями ВКХ, осуществляющими эксплуатацию объектов централизованных систем водоснабжения на территории с. Ратта.</w:t>
      </w:r>
      <w:r/>
    </w:p>
    <w:p>
      <w:pPr>
        <w:pStyle w:val="1076"/>
      </w:pPr>
      <w:r/>
      <w:bookmarkStart w:id="407" w:name="_Toc109995064"/>
      <w:r/>
      <w:bookmarkStart w:id="408" w:name="_Toc142312781"/>
      <w:r>
        <w:t xml:space="preserve">Описание состояния существующих источников водоснабжения и водозаборных сооружений</w:t>
      </w:r>
      <w:bookmarkEnd w:id="407"/>
      <w:r>
        <w:t xml:space="preserve">.</w:t>
      </w:r>
      <w:bookmarkEnd w:id="40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Источником водоснабжения на территории с. Ратта являются подземные воды</w:t>
      </w:r>
      <w:r>
        <w:t xml:space="preserve">, представленные водозаборными скважинами. Год бурения скважин – 2006г. Водозаборные сооружения состоят из двух водозаборных скважин (1 рабочая, 1 резервная), находящиеся на расстоянии 20м друг от друга. Водозаборные скважины оборудованы деревянными павиль</w:t>
      </w:r>
      <w:r>
        <w:t xml:space="preserve">онами, в которых располагаются краны для отбора проб воды, манометры, уровнемеры, счетчики холодной воды. Подъем воды осуществляется за счет насосных агрегатов марки ЭЦВ 4-1,5-80. Динамический уровень воды в скважинах составляет 21м, производительность 18м</w:t>
      </w:r>
      <w:r>
        <w:rPr>
          <w:vertAlign w:val="superscript"/>
        </w:rPr>
        <w:t xml:space="preserve">3</w:t>
      </w:r>
      <w:r>
        <w:t xml:space="preserve">/ч.</w:t>
      </w:r>
      <w:r/>
    </w:p>
    <w:p>
      <w:pPr>
        <w:pStyle w:val="1076"/>
      </w:pPr>
      <w:r/>
      <w:bookmarkStart w:id="409" w:name="_Toc109995065"/>
      <w:r/>
      <w:bookmarkStart w:id="410" w:name="_Toc142312782"/>
      <w:r>
        <w:t xml:space="preserve"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409"/>
      <w:r>
        <w:t xml:space="preserve">.</w:t>
      </w:r>
      <w:bookmarkEnd w:id="41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Перед подачей воды в распределительную водопроводную сеть осуществляется ее водоподготовка на СВП. СВП представлена в виде установки СКПВ 15, производительностью 15м</w:t>
      </w:r>
      <w:r>
        <w:rPr>
          <w:vertAlign w:val="superscript"/>
        </w:rPr>
        <w:t xml:space="preserve">3</w:t>
      </w:r>
      <w:r>
        <w:t xml:space="preserve">/сут, год ввода в эксплуатацию – 2019г.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Согласно результатам анализов проб воды на выходе с источников в</w:t>
      </w:r>
      <w:r>
        <w:t xml:space="preserve">одоснабжения отсутствуют превышения по показателям качества питьевой воды. С учетом отсутствия превышений показателей качества питьевой воды действующая технология водоподготовки отвечает требованиям обеспечения нормативов качества воды СанПиН 1.2.3685-21.</w:t>
      </w:r>
      <w:r/>
    </w:p>
    <w:p>
      <w:pPr>
        <w:pStyle w:val="1076"/>
      </w:pPr>
      <w:r/>
      <w:bookmarkStart w:id="411" w:name="_Toc109995066"/>
      <w:r/>
      <w:bookmarkStart w:id="412" w:name="_Toc142312783"/>
      <w:r>
        <w:t xml:space="preserve">Описание состояния и функционирования существующих </w:t>
      </w:r>
      <w:r>
        <w:t xml:space="preserve">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411"/>
      <w:r>
        <w:t xml:space="preserve">.</w:t>
      </w:r>
      <w:bookmarkEnd w:id="412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составе ЦС ХВС с. Ратта отсутствуют отдельные насосные централизованные станции, обеспечивающие поддержания необходимого давления в рас</w:t>
      </w:r>
      <w:r>
        <w:t xml:space="preserve">пределительной водопроводной сети. В составе СВП имеется ВНС II-го подъема, осуществляющая подачу воды в распределительную водопроводную сеть после водоподготовки. Удельный расход электрической энергии на водоподготовку и транспортировку питьевой воды за 2</w:t>
      </w:r>
      <w:r>
        <w:t xml:space="preserve">02</w:t>
      </w:r>
      <w:r>
        <w:t xml:space="preserve">2</w:t>
      </w:r>
      <w:r>
        <w:t xml:space="preserve">г. составил </w:t>
      </w:r>
      <w:r>
        <w:t xml:space="preserve">6,99</w:t>
      </w:r>
      <w:r>
        <w:t xml:space="preserve">кВт</w:t>
      </w:r>
      <w:r>
        <w:t xml:space="preserve">·ч/м³.</w:t>
      </w:r>
      <w:r/>
    </w:p>
    <w:p>
      <w:pPr>
        <w:pStyle w:val="1076"/>
      </w:pPr>
      <w:r/>
      <w:bookmarkStart w:id="413" w:name="_Toc109995067"/>
      <w:r/>
      <w:bookmarkStart w:id="414" w:name="_Toc142312784"/>
      <w:r>
        <w:t xml:space="preserve"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413"/>
      <w:r>
        <w:t xml:space="preserve">.</w:t>
      </w:r>
      <w:bookmarkEnd w:id="41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Общая протяженность водопроводных сетей на территории с. Ратта составляет 0,829км. Трубопроводы проло</w:t>
      </w:r>
      <w:r>
        <w:t xml:space="preserve">жены надземно, на низких опорах. В качестве теплового сопровождения трубопроводы проложены в совместной конструкции тепловой изоляции с обратным трубопроводом тепловой сети. Трубопроводы выполнены из стали. Диаметр трубопроводов варьируется от 32 до 65мм. </w:t>
      </w:r>
      <w:r/>
    </w:p>
    <w:p>
      <w:pPr>
        <w:pStyle w:val="1076"/>
      </w:pPr>
      <w:r/>
      <w:bookmarkStart w:id="415" w:name="_Toc109995068"/>
      <w:r/>
      <w:bookmarkStart w:id="416" w:name="_Toc142312785"/>
      <w:r>
        <w:t xml:space="preserve">Описание существующих технических технологических проблем, возникающих при водоснабжении населенного пункта</w:t>
      </w:r>
      <w:bookmarkEnd w:id="415"/>
      <w:r>
        <w:t xml:space="preserve">.</w:t>
      </w:r>
      <w:bookmarkEnd w:id="41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Основными техническими и технологическими проблемами централизованной системы водоснабжения с. Ратта являются:</w:t>
      </w:r>
      <w:r/>
    </w:p>
    <w:p>
      <w:pPr>
        <w:pStyle w:val="1340"/>
        <w:numPr>
          <w:ilvl w:val="0"/>
          <w:numId w:val="8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отсутствие систем управления (автоматизации и диспетчеризации) на части основных объектах ЦС ХВС;</w:t>
      </w:r>
      <w:r/>
    </w:p>
    <w:p>
      <w:pPr>
        <w:pStyle w:val="1340"/>
        <w:numPr>
          <w:ilvl w:val="0"/>
          <w:numId w:val="8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высокий физический износ водопроводных сетей, вызывающий значительные потери питьевой воды при транспортировке.</w:t>
      </w:r>
      <w:r/>
    </w:p>
    <w:p>
      <w:pPr>
        <w:pStyle w:val="1076"/>
      </w:pPr>
      <w:r/>
      <w:bookmarkStart w:id="417" w:name="_Toc109995069"/>
      <w:r/>
      <w:bookmarkStart w:id="418" w:name="_Toc142312786"/>
      <w: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417"/>
      <w:r>
        <w:t xml:space="preserve">.</w:t>
      </w:r>
      <w:bookmarkEnd w:id="41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Централизованная система горячего водоснабжения с использованием закрытых систем горячего водоснабжения на территории с. Ратта отсутствует.</w:t>
      </w:r>
      <w:r/>
    </w:p>
    <w:p>
      <w:pPr>
        <w:pStyle w:val="1075"/>
      </w:pPr>
      <w:r/>
      <w:bookmarkStart w:id="419" w:name="_Toc109995070"/>
      <w:r/>
      <w:bookmarkStart w:id="420" w:name="_Toc142312787"/>
      <w:r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19"/>
      <w:r>
        <w:t xml:space="preserve">.</w:t>
      </w:r>
      <w:bookmarkEnd w:id="42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На</w:t>
      </w:r>
      <w:r>
        <w:t xml:space="preserve"> территории с. Ратта присутствуют зоны распространения вечномерзлых грунтов. Для предотвращения замерзания воды в сетях водоснабжения в качестве технического решения предусматривается прокладка трубопроводов водоснабжения совместно с сетями теплоснабжения.</w:t>
      </w:r>
      <w:r/>
    </w:p>
    <w:p>
      <w:pPr>
        <w:pStyle w:val="1075"/>
      </w:pPr>
      <w:r>
        <w:tab/>
      </w:r>
      <w:bookmarkStart w:id="421" w:name="_Toc109995071"/>
      <w:r/>
      <w:bookmarkStart w:id="422" w:name="_Toc142312788"/>
      <w: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421"/>
      <w:r>
        <w:t xml:space="preserve">.</w:t>
      </w:r>
      <w:bookmarkEnd w:id="422"/>
      <w:r/>
      <w:r/>
    </w:p>
    <w:p>
      <w:pPr>
        <w:pStyle w:val="1340"/>
        <w:tabs>
          <w:tab w:val="left" w:pos="992" w:leader="none"/>
        </w:tabs>
        <w:rPr>
          <w:rFonts w:asciiTheme="minorHAnsi" w:hAnsiTheme="minorHAnsi"/>
        </w:rPr>
      </w:pPr>
      <w:r>
        <w:t xml:space="preserve">Все объекты ЦС ХВС, относящиеся к ТЗ ВС с. Ратта на территории </w:t>
      </w:r>
      <w:r>
        <w:br/>
        <w:t xml:space="preserve"> с. Ратта, являются объектами недвижимого имущества и находятся в собственности администрации </w:t>
      </w:r>
      <w:r>
        <w:t xml:space="preserve">Красноселькупского района. В целях осуществления эксплуатации, поддержания и развития объектов ЦС ХВС было заключено концессионное соглашение от 24.12.2020г. № 101-19/60 с ООО «Ямал-Энерго», предусматривающее передачу данных объектов во временное владение.</w:t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</w:r>
      <w:r/>
    </w:p>
    <w:p>
      <w:pPr>
        <w:pStyle w:val="1074"/>
        <w:rPr>
          <w:b/>
          <w:color w:val="000000"/>
        </w:rPr>
      </w:pPr>
      <w:r/>
      <w:bookmarkStart w:id="423" w:name="_Toc109995072"/>
      <w:r/>
      <w:bookmarkStart w:id="424" w:name="_Toc142312789"/>
      <w:r>
        <w:t xml:space="preserve">Направления развития централизованных систем водоснабжения</w:t>
      </w:r>
      <w:bookmarkEnd w:id="423"/>
      <w:r/>
      <w:bookmarkEnd w:id="424"/>
      <w:r/>
      <w:r/>
    </w:p>
    <w:p>
      <w:pPr>
        <w:pStyle w:val="1464"/>
      </w:pPr>
      <w:r/>
      <w:r/>
    </w:p>
    <w:p>
      <w:pPr>
        <w:pStyle w:val="1075"/>
      </w:pPr>
      <w:r/>
      <w:bookmarkStart w:id="425" w:name="_Toc109995073"/>
      <w:r/>
      <w:bookmarkStart w:id="426" w:name="_Toc142312790"/>
      <w:r>
        <w:t xml:space="preserve">Основные направления, принципы, задачи и плановые значения показателей развития централизованных систем водоснабжения</w:t>
      </w:r>
      <w:bookmarkEnd w:id="425"/>
      <w:r>
        <w:t xml:space="preserve">.</w:t>
      </w:r>
      <w:bookmarkEnd w:id="426"/>
      <w:r/>
      <w:r/>
    </w:p>
    <w:p>
      <w:pPr>
        <w:pStyle w:val="1340"/>
        <w:keepNext/>
        <w:tabs>
          <w:tab w:val="left" w:pos="992" w:leader="none"/>
        </w:tabs>
        <w:rPr>
          <w:color w:val="000000"/>
        </w:rPr>
      </w:pPr>
      <w:r>
        <w:t xml:space="preserve">В соответствии с пунктом 1 статьи 3 ФЗ РФ от 07.12.2011 № 416-ФЗ государственная политика в сфере водоснабжения и водоотведения направлена на достижение следующих целей:</w:t>
      </w:r>
      <w:r/>
    </w:p>
    <w:p>
      <w:pPr>
        <w:pStyle w:val="1340"/>
        <w:numPr>
          <w:ilvl w:val="0"/>
          <w:numId w:val="8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  <w:r/>
    </w:p>
    <w:p>
      <w:pPr>
        <w:pStyle w:val="1340"/>
        <w:numPr>
          <w:ilvl w:val="0"/>
          <w:numId w:val="8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повышения энергетической эффективности путем экономного потребления воды;</w:t>
      </w:r>
      <w:r/>
    </w:p>
    <w:p>
      <w:pPr>
        <w:pStyle w:val="1340"/>
        <w:numPr>
          <w:ilvl w:val="0"/>
          <w:numId w:val="8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снижения негативного воздействия на водные объекты путем повышения качества очистки сточных вод;</w:t>
      </w:r>
      <w:r/>
    </w:p>
    <w:p>
      <w:pPr>
        <w:pStyle w:val="1340"/>
        <w:numPr>
          <w:ilvl w:val="0"/>
          <w:numId w:val="8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обеспечения доступности водоснабжения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 водоотведение;</w:t>
      </w:r>
      <w:r/>
    </w:p>
    <w:p>
      <w:pPr>
        <w:pStyle w:val="1340"/>
        <w:numPr>
          <w:ilvl w:val="0"/>
          <w:numId w:val="8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обеспечения развития централизованных систем горячего водоснабже</w:t>
      </w:r>
      <w:r>
        <w:t xml:space="preserve">ния,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  <w:r/>
    </w:p>
    <w:p>
      <w:pPr>
        <w:pStyle w:val="1340"/>
        <w:keepNext/>
        <w:tabs>
          <w:tab w:val="left" w:pos="992" w:leader="none"/>
        </w:tabs>
        <w:rPr>
          <w:color w:val="000000"/>
        </w:rPr>
      </w:pPr>
      <w:r>
        <w:t xml:space="preserve">В соответствии с пунктом 2 статьи 3 ФЗ РФ от 07.12.2011 № 416-ФЗ общими принципами государственной политики в сфере водоснабжения и водоотведения являются: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приоритетность обеспечения населения питьевой водой, горячей водой и услугами по водоотведению;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создание условий для привлечения инвестиций в сферу водоснабжения и водоотведения, обеспечение гарантий возврата частных инвестиций;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технологического и организационного единства и целостности централизованных систем горячего водоснабжения, холодного водоснабжения и (или) водоотведения;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достижение и соблюдение баланса экономических интересов организаций, осуществляющих горячее водоснабжение, холодное водоснабжение и (или) водоотведение, и их абонентов;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установлени</w:t>
      </w:r>
      <w:r>
        <w:t xml:space="preserve">е тарифов в сфере водоснабжения и водоотведения исходя из экономически обоснованных расходов организаций, осуществляющих горячее водоснабжение, холодное водоснабжение и (или) водоотведение, необходимых для осуществления водоснабжения и (или) водоотведения;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стабильных и недискриминационных условий для осуществления предпринимательской деятельности в сфере водоснабжения и водоотведения;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равных условий доступа абонентов к водоснабжению и водоотведению;</w:t>
      </w:r>
      <w:r/>
    </w:p>
    <w:p>
      <w:pPr>
        <w:pStyle w:val="1340"/>
        <w:numPr>
          <w:ilvl w:val="0"/>
          <w:numId w:val="9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открытость деятельности организаций, осуществляющих горячее водоснабжение, холодно</w:t>
      </w:r>
      <w:r>
        <w:t xml:space="preserve">е водоснабжение и (или)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 водоотведения.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Исходя из обозначенных целей и принципов государственной политики в сфере водоснабжения и водоотведения, а также в соответствии с пунктом 10 Правил р</w:t>
      </w:r>
      <w:r>
        <w:t xml:space="preserve">азработки и утверждения схем водоснабжения и водоотведения, утверждённых ПП РФ от 05.09.2013 № 782, в рамках настоящей актуализации Схемы ВСиВО Красноселькупского района сформированы следующие основные задачи развития централизованных систем водоснабжения: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подачи абонентам определенного объема горячей, питьевой воды установленного качества;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организация и обеспечение централизованного водоснабжения на территориях, где оно отсутствует;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водоснабжения объектов перспективной застройки населенного пункта;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сокращение потерь воды при ее транспортировке;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выполнение мероприятий, направленных на обеспечение соответствия качества питьевой воды, горячей воды требованиям </w:t>
      </w:r>
      <w:hyperlink w:tooltip="https://base.garant.ru/70103066/67ed58225b4b05deea11771e0271c2f2/#block_622" w:anchor="block_622" w:history="1">
        <w:r>
          <w:rPr>
            <w:rStyle w:val="1267"/>
            <w:rFonts w:eastAsia="Arial"/>
            <w:color w:val="000000" w:themeColor="text1"/>
            <w:u w:val="none"/>
          </w:rPr>
          <w:t xml:space="preserve">законодательства</w:t>
        </w:r>
      </w:hyperlink>
      <w:r>
        <w:t xml:space="preserve"> Российской Федерации;</w:t>
      </w:r>
      <w:r/>
    </w:p>
    <w:p>
      <w:pPr>
        <w:pStyle w:val="1340"/>
        <w:numPr>
          <w:ilvl w:val="0"/>
          <w:numId w:val="9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обеспечение предотвращения замерзания воды в зонах распространения вечномерзлых грунтов путем ее регулируемого сброса, автоматизированного сосредоточенного подогрева воды в сочетании с ц</w:t>
      </w:r>
      <w:r>
        <w:t xml:space="preserve">иркуляцией или линейным обогревом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трубопровода, автоматических выпусков воды.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Для выполнения перечисленных выше задач по развитию централизованных систем водоснабжения с. Ратта разработаны мероприятия по строительству, реконструкции и модернизации объектов централизованных систем водоснабжения, приведенные ниже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 1.4</w:t>
        </w:r>
      </w:hyperlink>
      <w:r>
        <w:t xml:space="preserve">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соответствии с пунктом 2 Перечня показателей надежности, качества, энергетической эффективности объектов централизованных сис</w:t>
      </w:r>
      <w:r>
        <w:t xml:space="preserve">тем горячего водоснабжения, холодного водоснабжения и (или) водоотведения, утвержденного Приказом Минстроя РФ от 04.04.2014 № 162/пр, к показателям развития централизованных систем горячего водоснабжения, холодного водоснабжения и водоотведения относятся: </w:t>
      </w:r>
      <w:r/>
    </w:p>
    <w:p>
      <w:pPr>
        <w:pStyle w:val="1340"/>
        <w:numPr>
          <w:ilvl w:val="0"/>
          <w:numId w:val="9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качества воды (в отношении питьевой воды и горячей воды);</w:t>
      </w:r>
      <w:r/>
    </w:p>
    <w:p>
      <w:pPr>
        <w:pStyle w:val="1340"/>
        <w:numPr>
          <w:ilvl w:val="0"/>
          <w:numId w:val="9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надежности и бесперебойности водоснабжения и водоотведения;</w:t>
      </w:r>
      <w:r/>
    </w:p>
    <w:p>
      <w:pPr>
        <w:pStyle w:val="1340"/>
        <w:numPr>
          <w:ilvl w:val="0"/>
          <w:numId w:val="9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очистки сточных вод;</w:t>
      </w:r>
      <w:r/>
    </w:p>
    <w:p>
      <w:pPr>
        <w:pStyle w:val="1340"/>
        <w:numPr>
          <w:ilvl w:val="0"/>
          <w:numId w:val="9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эффективности использования ресурсов, в том числе уровень потерь воды (тепловой энергии в составе горячей воды).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Применительно к централизованным системам водоснабжения с. Ратта данные показатели приведены ниже в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 1.8</w:t>
        </w:r>
      </w:hyperlink>
      <w:r>
        <w:t xml:space="preserve">.</w:t>
      </w:r>
      <w:r/>
    </w:p>
    <w:p>
      <w:pPr>
        <w:pStyle w:val="1075"/>
      </w:pPr>
      <w:r/>
      <w:bookmarkStart w:id="427" w:name="_Toc109995074"/>
      <w:r/>
      <w:bookmarkStart w:id="428" w:name="_Toc142312791"/>
      <w:r>
        <w:t xml:space="preserve">Различные сценарии развития централизованных систем водоснабжения в зависимости от различных сценариев развития населенного пункта</w:t>
      </w:r>
      <w:bookmarkEnd w:id="427"/>
      <w:r>
        <w:t xml:space="preserve">.</w:t>
      </w:r>
      <w:bookmarkEnd w:id="42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части определения перспективных балансов по централизованным системам водоснабжения и водоотведения зна</w:t>
      </w:r>
      <w:r>
        <w:t xml:space="preserve">чимым фактором является определение перспективы численности населения, поскольку для большинства данных систем, действующих на территории Российской Федерации, на долю данной категории абонентов приходится основная часть потребления соответствующих услуг. 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С целью определения фактической и перспективной численности постоянного населения с. Ратта проанализированы и использованы следующие материалы:</w:t>
      </w:r>
      <w:r/>
    </w:p>
    <w:p>
      <w:pPr>
        <w:pStyle w:val="1340"/>
        <w:numPr>
          <w:ilvl w:val="0"/>
          <w:numId w:val="9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данные о численности постоянного населения Российской Федерации по муниципальным образованиям за период </w:t>
      </w:r>
      <w:r>
        <w:t xml:space="preserve">2019-202</w:t>
      </w:r>
      <w:r>
        <w:t xml:space="preserve">2</w:t>
      </w:r>
      <w:r>
        <w:t xml:space="preserve">гг</w:t>
      </w:r>
      <w:r>
        <w:t xml:space="preserve">., опубликованные Федеральной службой государственной статистики;</w:t>
      </w:r>
      <w:r/>
    </w:p>
    <w:p>
      <w:pPr>
        <w:pStyle w:val="1340"/>
        <w:numPr>
          <w:ilvl w:val="0"/>
          <w:numId w:val="9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проект генерального плана муниципального образования с. Ратта, разработанный обществом с ограниченной ответственностью «Институт территориального планирования «Град» в рамках муниципального контракта от 11.06.2019 № 0190200000319005247/164.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Показатели фактической численности постоянного населения за период 2019</w:t>
      </w:r>
      <w:r>
        <w:t xml:space="preserve">-202</w:t>
      </w:r>
      <w:r>
        <w:t xml:space="preserve">2</w:t>
      </w:r>
      <w:r>
        <w:t xml:space="preserve">гг</w:t>
      </w:r>
      <w:r>
        <w:t xml:space="preserve">. и результаты определения прогнозной численности постоянного населения на период </w:t>
      </w:r>
      <w:r>
        <w:t xml:space="preserve">202</w:t>
      </w:r>
      <w:r>
        <w:t xml:space="preserve">3</w:t>
      </w:r>
      <w:r>
        <w:t xml:space="preserve">-203</w:t>
      </w:r>
      <w:r>
        <w:t xml:space="preserve">8</w:t>
      </w:r>
      <w:r>
        <w:t xml:space="preserve">гг</w:t>
      </w:r>
      <w:r>
        <w:t xml:space="preserve">. по с. Ратта приведены в таблице 1.2.1.</w:t>
      </w:r>
      <w:r/>
    </w:p>
    <w:p>
      <w:pPr>
        <w:pStyle w:val="1340"/>
        <w:keepLines/>
        <w:keepNext/>
        <w:tabs>
          <w:tab w:val="left" w:pos="992" w:leader="none"/>
        </w:tabs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tabs>
          <w:tab w:val="left" w:pos="992" w:leader="none"/>
        </w:tabs>
        <w:rPr>
          <w:b/>
          <w:color w:val="000000"/>
        </w:rPr>
      </w:pPr>
      <w:r>
        <w:rPr>
          <w:b/>
          <w:bCs/>
        </w:rPr>
        <w:t xml:space="preserve">Таблица 1.2.1 – Показатели фактической численности постоянного населения за период 2019-</w:t>
      </w:r>
      <w:r>
        <w:rPr>
          <w:b/>
          <w:bCs/>
        </w:rPr>
        <w:t xml:space="preserve">202</w:t>
      </w:r>
      <w:r>
        <w:rPr>
          <w:b/>
          <w:bCs/>
        </w:rPr>
        <w:t xml:space="preserve">2</w:t>
      </w:r>
      <w:r>
        <w:rPr>
          <w:b/>
          <w:bCs/>
        </w:rPr>
        <w:t xml:space="preserve">гг. и результаты определения прогнозной численности постоянного населения на период 202</w:t>
      </w:r>
      <w:r>
        <w:rPr>
          <w:b/>
          <w:bCs/>
        </w:rPr>
        <w:t xml:space="preserve">3</w:t>
      </w:r>
      <w:r>
        <w:rPr>
          <w:b/>
          <w:bCs/>
        </w:rPr>
        <w:t xml:space="preserve">-203</w:t>
      </w:r>
      <w:r>
        <w:rPr>
          <w:b/>
          <w:bCs/>
        </w:rPr>
        <w:t xml:space="preserve">8</w:t>
      </w:r>
      <w:r>
        <w:rPr>
          <w:b/>
          <w:bCs/>
        </w:rPr>
        <w:t xml:space="preserve">гг</w:t>
      </w:r>
      <w:r>
        <w:rPr>
          <w:b/>
          <w:bCs/>
        </w:rPr>
        <w:t xml:space="preserve">. по с. Ратта, чел.на 01 января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"/>
        <w:gridCol w:w="1600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показателя</w:t>
            </w:r>
            <w:r/>
          </w:p>
        </w:tc>
        <w:tc>
          <w:tcPr>
            <w:gridSpan w:val="4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8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Фактические показатели</w:t>
            </w:r>
            <w:r/>
          </w:p>
        </w:tc>
        <w:tc>
          <w:tcPr>
            <w:gridSpan w:val="9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Прогнозные показатели</w:t>
            </w:r>
            <w:r/>
          </w:p>
        </w:tc>
      </w:tr>
      <w:tr>
        <w:trPr>
          <w:trHeight w:val="2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2021г.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9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с. Ратта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356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</w:rPr>
      </w:pPr>
      <w:r>
        <w:t xml:space="preserve">Сформированные на основании указанных выше данных перспективные балансы и мероприятия по строительству, реконструкции и модернизации объектов централизованных систем водоснабжения с. Ратта приведены ниже в </w:t>
      </w:r>
      <w:hyperlink w:tooltip="#_Баланс_водоснабжения_и" w:anchor="_Баланс_водоснабжения_и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 1.3</w:t>
        </w:r>
      </w:hyperlink>
      <w:r>
        <w:t xml:space="preserve"> и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 1.4</w:t>
        </w:r>
      </w:hyperlink>
      <w:r>
        <w:t xml:space="preserve"> соответственно, по централизованным системам водоотведения – в </w:t>
      </w:r>
      <w:hyperlink w:tooltip="#_Прогноз_объема_сточных" w:anchor="_Прогноз_объема_сточных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 2.3</w:t>
        </w:r>
      </w:hyperlink>
      <w:r>
        <w:t xml:space="preserve"> и в </w:t>
      </w:r>
      <w:hyperlink w:tooltip="#_Предложения_по_строительству,_1" w:anchor="_Предложения_по_строительству,_1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 2.4</w:t>
        </w:r>
      </w:hyperlink>
      <w:r>
        <w:t xml:space="preserve"> соответственно. 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</w:pPr>
      <w:r/>
      <w:bookmarkStart w:id="429" w:name="_Toc109995075"/>
      <w:r/>
      <w:bookmarkStart w:id="430" w:name="_Toc142312792"/>
      <w:r>
        <w:t xml:space="preserve">Баланс водоснабжения и потребления горячей, питьевой, технической </w:t>
      </w:r>
      <w:r/>
    </w:p>
    <w:p>
      <w:pPr>
        <w:pStyle w:val="1074"/>
        <w:numPr>
          <w:ilvl w:val="0"/>
          <w:numId w:val="0"/>
        </w:numPr>
        <w:ind w:left="0" w:firstLine="0"/>
        <w:rPr>
          <w:color w:val="000000"/>
        </w:rPr>
      </w:pPr>
      <w:r>
        <w:t xml:space="preserve">воды (при наличии)</w:t>
      </w:r>
      <w:bookmarkEnd w:id="429"/>
      <w:r/>
      <w:bookmarkEnd w:id="430"/>
      <w:r/>
      <w:r/>
    </w:p>
    <w:p>
      <w:pPr>
        <w:pStyle w:val="1340"/>
        <w:jc w:val="center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431" w:name="_Toc109995076"/>
      <w:r/>
      <w:bookmarkStart w:id="432" w:name="_Toc142312793"/>
      <w:r>
        <w:t xml:space="preserve">Общий 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431"/>
      <w:r>
        <w:t xml:space="preserve">.</w:t>
      </w:r>
      <w:bookmarkEnd w:id="432"/>
      <w:r/>
      <w:r/>
    </w:p>
    <w:p>
      <w:pPr>
        <w:pStyle w:val="1340"/>
        <w:rPr>
          <w:color w:val="000000"/>
        </w:rPr>
      </w:pPr>
      <w:r>
        <w:t xml:space="preserve">Общий баланс подачи и реализации воды по с. Ратта приведен в таблице 1.3.1.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bCs/>
        </w:rPr>
      </w:pPr>
      <w:r>
        <w:rPr>
          <w:b/>
          <w:bCs/>
        </w:rPr>
        <w:t xml:space="preserve">Таблица 1.3.1 – Общий баланс подачи и реализации воды по с. Ратта </w:t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825"/>
        <w:gridCol w:w="4085"/>
        <w:gridCol w:w="892"/>
        <w:gridCol w:w="1021"/>
        <w:gridCol w:w="1021"/>
        <w:gridCol w:w="892"/>
        <w:gridCol w:w="892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2021г.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2022г.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</w:rPr>
              <w:t xml:space="preserve">ТЗ ВС с. Ратта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5 091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5 758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5 898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5 557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5 598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5 632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Реализация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4 747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5 356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5 392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5 396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267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Забор (подъем) воды (среднесуточное потребление)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Забор (подъем) воды в сутки максимального водопотребления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95%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</w:rPr>
      </w:pPr>
      <w:r>
        <w:t xml:space="preserve">Как видно из приведенной таблицы, фактические потери холодной воды при ее транспортировке по ТЗ ВС с. Ратта </w:t>
      </w:r>
      <w:r>
        <w:t xml:space="preserve">за 202</w:t>
      </w:r>
      <w:r>
        <w:t xml:space="preserve">2</w:t>
      </w:r>
      <w:r>
        <w:t xml:space="preserve">г. составили </w:t>
      </w:r>
      <w:r>
        <w:t xml:space="preserve">236</w:t>
      </w:r>
      <w:r>
        <w:t xml:space="preserve"> м³, (</w:t>
      </w:r>
      <w:r>
        <w:t xml:space="preserve">4,19</w:t>
      </w:r>
      <w:r>
        <w:t xml:space="preserve"> % от подачи холодной воды в водопроводные сети).</w:t>
      </w:r>
      <w:r/>
    </w:p>
    <w:p>
      <w:pPr>
        <w:pStyle w:val="1075"/>
      </w:pPr>
      <w:r/>
      <w:bookmarkStart w:id="433" w:name="_Toc109995077"/>
      <w:r/>
      <w:bookmarkStart w:id="434" w:name="_Toc142312794"/>
      <w: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433"/>
      <w:r>
        <w:t xml:space="preserve">.</w:t>
      </w:r>
      <w:bookmarkEnd w:id="434"/>
      <w:r/>
      <w:r/>
    </w:p>
    <w:p>
      <w:pPr>
        <w:pStyle w:val="1340"/>
        <w:rPr>
          <w:color w:val="000000"/>
        </w:rPr>
      </w:pPr>
      <w:r>
        <w:t xml:space="preserve"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 по с. Ратта приведен 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1.3.1</w:t>
        </w:r>
      </w:hyperlink>
      <w:r>
        <w:t xml:space="preserve">.</w:t>
      </w:r>
      <w:r/>
    </w:p>
    <w:p>
      <w:pPr>
        <w:pStyle w:val="1075"/>
      </w:pPr>
      <w:r/>
      <w:bookmarkStart w:id="435" w:name="_Toc109995078"/>
      <w:r/>
      <w:bookmarkStart w:id="436" w:name="_Toc142312795"/>
      <w:r>
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населенных пунктов (пожаротушение, полив и др.)</w:t>
      </w:r>
      <w:bookmarkEnd w:id="435"/>
      <w:r>
        <w:t xml:space="preserve">.</w:t>
      </w:r>
      <w:bookmarkEnd w:id="436"/>
      <w:r/>
      <w:r/>
    </w:p>
    <w:p>
      <w:pPr>
        <w:pStyle w:val="1340"/>
        <w:rPr>
          <w:color w:val="000000"/>
        </w:rPr>
      </w:pPr>
      <w:r>
        <w:t xml:space="preserve">Структурный баланс реализа</w:t>
      </w:r>
      <w:r>
        <w:t xml:space="preserve">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 по с. Ратта приведен 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1.3.1</w:t>
        </w:r>
      </w:hyperlink>
      <w:r>
        <w:t xml:space="preserve">.</w:t>
      </w:r>
      <w:r/>
    </w:p>
    <w:p>
      <w:pPr>
        <w:pStyle w:val="1075"/>
      </w:pPr>
      <w:r/>
      <w:bookmarkStart w:id="437" w:name="_Toc109995079"/>
      <w:r/>
      <w:bookmarkStart w:id="438" w:name="_Toc142312796"/>
      <w:r>
        <w:t xml:space="preserve">Сведения о фактическом потреблении н</w:t>
      </w:r>
      <w:r>
        <w:t xml:space="preserve">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услуг, в том числе нормы потребления питьевой воды, установленные на территории Красноселькупского района</w:t>
      </w:r>
      <w:bookmarkEnd w:id="437"/>
      <w:r>
        <w:t xml:space="preserve">.</w:t>
      </w:r>
      <w:bookmarkEnd w:id="438"/>
      <w:r/>
      <w:r/>
    </w:p>
    <w:p>
      <w:pPr>
        <w:pStyle w:val="1340"/>
      </w:pPr>
      <w:r>
        <w:t xml:space="preserve">Общее фактическое потребление холодной воды </w:t>
      </w:r>
      <w:r>
        <w:t xml:space="preserve">населением </w:t>
      </w:r>
      <w:r>
        <w:t xml:space="preserve">по с. Ратта за 202</w:t>
      </w:r>
      <w:r>
        <w:t xml:space="preserve">2</w:t>
      </w:r>
      <w:r>
        <w:t xml:space="preserve">г. составило ~</w:t>
      </w:r>
      <w:r>
        <w:t xml:space="preserve">4814,7</w:t>
      </w:r>
      <w:r>
        <w:t xml:space="preserve">м³. </w:t>
      </w:r>
      <w:r/>
    </w:p>
    <w:p>
      <w:pPr>
        <w:pStyle w:val="1340"/>
        <w:rPr>
          <w:color w:val="000000"/>
        </w:rPr>
      </w:pPr>
      <w:r>
        <w:t xml:space="preserve">Нормативы удельного потребления коммунальных услуг по водоснабжению и водоотведению в жилых помещениях на территории Красноселькупского района утверждены Постановлением Правительства Ямало-</w:t>
      </w:r>
      <w:r>
        <w:t xml:space="preserve">Ненецкого автономного округа о</w:t>
      </w:r>
      <w:r>
        <w:t xml:space="preserve">т 18.09.2017 № 982-П «Об утверждении нормативов потребления коммунальных услуг по холодному водоснабжению, горячему водоснабжению, отведению сточных вод, нормативов потребления горячей воды, нормативов потребления холодной, горячей воды, отведения сточных </w:t>
      </w:r>
      <w:r>
        <w:t xml:space="preserve">вод в целях содержания общего имущества в многоквартирном доме и нормативов расхода тепловой энергии на подогрев холодной воды для предоставления коммунальной услуги по горячему водоснабжению в Ямало-Ненецком автономном округе» и приведены в таблице 1.3.2.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1.3.2 – Нормативы удельного потребления коммунальных услуг по водоснабжению и водоотведению в жилых помещениях на территории Красноселькупского района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6"/>
        <w:gridCol w:w="3002"/>
        <w:gridCol w:w="1215"/>
        <w:gridCol w:w="1833"/>
        <w:gridCol w:w="1824"/>
        <w:gridCol w:w="1208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Категория жилых помещений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Единица измерения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потребления коммунальной услуги холодного водоснабжения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потребления коммунальной услуги горячего водоснабжения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Норматив отведения сточных вод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5,71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1550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5,82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1700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5,91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4,66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и горячим водоснабжением, водоотведением,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оборудованные унитазами, раковинами, мойками,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Дома, использующиеся в качестве общежитий, оборудованные мойками, раковинами, унитазами, с душевыми  с централизованным холодным и горячим водоснабжением, водоотведением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2,87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1550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</w:t>
            </w:r>
            <w:r>
              <w:rPr>
                <w:color w:val="000000"/>
                <w:sz w:val="20"/>
                <w:szCs w:val="20"/>
              </w:rPr>
              <w:t xml:space="preserve">‒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1700 мм с душем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5,36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4,78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без водонагревателей с водопроводом и канализацией,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оборудованные раковинами, мойками и унитазами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3,68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3,32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централизованным холодным водоснабжением, без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водоразборной колонкой, с водоотведением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1,56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Многоквартирные и жилые дома с водоразборной колонкой, без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куб. метр в месяц на человека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Х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highlight w:val="none"/>
        </w:rPr>
      </w:pPr>
      <w:r>
        <w:t xml:space="preserve">Как видно из приведенной таблицы, в зависимости от степени благоустройства жилого помещения норматив потребления услуги по холодному водоснабжению в жилых помещениях составляет от 1,03 до 5,36м³/мес/чел.</w:t>
      </w:r>
      <w:r/>
    </w:p>
    <w:p>
      <w:pPr>
        <w:pStyle w:val="1075"/>
      </w:pPr>
      <w:r/>
      <w:bookmarkStart w:id="439" w:name="_Toc109995080"/>
      <w:r/>
      <w:bookmarkStart w:id="440" w:name="_Toc142312797"/>
      <w:r>
        <w:t xml:space="preserve">Описание существующей системы коммерческого учета горячей, питьевой, технической воды и планов по установке приборов учета</w:t>
      </w:r>
      <w:bookmarkEnd w:id="439"/>
      <w:r>
        <w:t xml:space="preserve">.</w:t>
      </w:r>
      <w:bookmarkEnd w:id="440"/>
      <w:r/>
      <w:r/>
    </w:p>
    <w:p>
      <w:pPr>
        <w:pStyle w:val="1340"/>
        <w:rPr>
          <w:color w:val="000000"/>
        </w:rPr>
      </w:pPr>
      <w:r>
        <w:t xml:space="preserve">За 202</w:t>
      </w:r>
      <w:r>
        <w:t xml:space="preserve">2</w:t>
      </w:r>
      <w:r>
        <w:t xml:space="preserve">г. в с. Ратта от общего объема реализации холодной воды абонентам (</w:t>
      </w:r>
      <w:r>
        <w:t xml:space="preserve">5396</w:t>
      </w:r>
      <w:r>
        <w:t xml:space="preserve">м³) порядка </w:t>
      </w:r>
      <w:r>
        <w:t xml:space="preserve">25</w:t>
      </w:r>
      <w:r>
        <w:t xml:space="preserve">% (</w:t>
      </w:r>
      <w:r>
        <w:t xml:space="preserve">1341</w:t>
      </w:r>
      <w:r>
        <w:t xml:space="preserve">м³) было</w:t>
      </w:r>
      <w:r>
        <w:t xml:space="preserve"> определено расчетным путем, что говорит о значительной оснащенности приборами коммерческого учета абонентов.</w:t>
      </w:r>
      <w:r/>
    </w:p>
    <w:p>
      <w:pPr>
        <w:pStyle w:val="1340"/>
        <w:rPr>
          <w:color w:val="000000"/>
        </w:rPr>
      </w:pPr>
      <w:r>
        <w:t xml:space="preserve">В соответствии с частью 5 статьи 13 ФЗ РФ от 23.11.2009 № 261-ФЗ до 01.07.2012 собственники жилых домов, собственники помещений в многоквартирных домах, введенных в</w:t>
      </w:r>
      <w:r>
        <w:t xml:space="preserve"> эксплуатацию на день вступления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а также ввод установленных приборов учета в эксплуатацию. При этом </w:t>
      </w:r>
      <w:r>
        <w:t xml:space="preserve">многоквартирные дома в ука</w:t>
      </w:r>
      <w:r>
        <w:t xml:space="preserve">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  <w:r/>
    </w:p>
    <w:p>
      <w:pPr>
        <w:pStyle w:val="1340"/>
        <w:rPr>
          <w:color w:val="000000"/>
        </w:rPr>
      </w:pPr>
      <w:r>
        <w:t xml:space="preserve">В соответствии с пунктом 38_1 Правил содержания общего имущества в многоквартир</w:t>
      </w:r>
      <w:r>
        <w:t xml:space="preserve">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коллек</w:t>
      </w:r>
      <w: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340"/>
        <w:rPr>
          <w:color w:val="000000"/>
        </w:rPr>
      </w:pPr>
      <w:r>
        <w:t xml:space="preserve">Счета на оплату расходов на установку коллект</w:t>
      </w:r>
      <w: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340"/>
        <w:rPr>
          <w:highlight w:val="none"/>
        </w:rPr>
      </w:pPr>
      <w:r>
        <w:t xml:space="preserve">Также, в соответствии с частью 9 статьи 13</w:t>
      </w:r>
      <w:r>
        <w:t xml:space="preserve">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энергетических ресурсов, снабжение которыми или передачу которых они осуществляют. </w:t>
      </w:r>
      <w:bookmarkStart w:id="441" w:name="_Toc109995081"/>
      <w:r/>
      <w:r/>
    </w:p>
    <w:p>
      <w:pPr>
        <w:pStyle w:val="1075"/>
      </w:pPr>
      <w:r/>
      <w:bookmarkStart w:id="442" w:name="_Toc142312798"/>
      <w:r>
        <w:t xml:space="preserve">Анализ резервов и дефицитов производственных мощностей системы водоснабжения (системы питьевого водоснабжения в зонах действия источников питьевой воды, насосных станций в зонах территориального деления и в целом по населенному пункту)</w:t>
      </w:r>
      <w:bookmarkEnd w:id="441"/>
      <w:r>
        <w:t xml:space="preserve">.</w:t>
      </w:r>
      <w:bookmarkEnd w:id="442"/>
      <w:r/>
      <w:r/>
    </w:p>
    <w:p>
      <w:pPr>
        <w:pStyle w:val="1340"/>
        <w:rPr>
          <w:color w:val="000000"/>
        </w:rPr>
      </w:pPr>
      <w:r>
        <w:t xml:space="preserve">Анализ резервов и дефицитов производственных мощностей системы водоснабжения с. Ратта приведен 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1.3.1</w:t>
        </w:r>
      </w:hyperlink>
      <w:r>
        <w:t xml:space="preserve">.</w:t>
      </w:r>
      <w:r/>
    </w:p>
    <w:p>
      <w:pPr>
        <w:pStyle w:val="1340"/>
        <w:rPr>
          <w:color w:val="000000"/>
        </w:rPr>
      </w:pPr>
      <w:r>
        <w:t xml:space="preserve">По ТЗ ВС с. Ратта на </w:t>
      </w:r>
      <w:r>
        <w:t xml:space="preserve">202</w:t>
      </w:r>
      <w:r>
        <w:t xml:space="preserve">2</w:t>
      </w:r>
      <w:r>
        <w:t xml:space="preserve">г.</w:t>
      </w:r>
      <w:r>
        <w:t xml:space="preserve"> резерв производственной мощности водозаборных сооружений составил 95%. </w:t>
      </w:r>
      <w:r/>
    </w:p>
    <w:p>
      <w:pPr>
        <w:pStyle w:val="1075"/>
      </w:pPr>
      <w:r/>
      <w:bookmarkStart w:id="443" w:name="_Toc109995082"/>
      <w:r/>
      <w:bookmarkStart w:id="444" w:name="_Toc142312799"/>
      <w:r>
        <w:t xml:space="preserve">Прогнозные балансы потребления горячей, питьевой, технической воды на срок до </w:t>
      </w:r>
      <w:r>
        <w:t xml:space="preserve">203</w:t>
      </w:r>
      <w:r>
        <w:t xml:space="preserve">8</w:t>
      </w:r>
      <w:r>
        <w:t xml:space="preserve"> </w:t>
      </w:r>
      <w:r>
        <w:t xml:space="preserve">года с учётом различных сценариев развития населенного пункта, рассчитанные на ос</w:t>
      </w:r>
      <w:r>
        <w:t xml:space="preserve">новании расхода горячей, питьевой, технической воды в соответствии в соответствии с нормативными документами, а также исходя из текущего объема потребления воды населением, его динамики с учетом перспективы развития, изменения состава и структуры застройки</w:t>
      </w:r>
      <w:bookmarkEnd w:id="443"/>
      <w:r>
        <w:t xml:space="preserve">.</w:t>
      </w:r>
      <w:bookmarkEnd w:id="444"/>
      <w:r/>
      <w:r/>
    </w:p>
    <w:p>
      <w:pPr>
        <w:pStyle w:val="1340"/>
        <w:rPr>
          <w:color w:val="000000"/>
        </w:rPr>
      </w:pPr>
      <w:r>
        <w:t xml:space="preserve">Прогнозные балансы потребления горячей, питьевой, технической воды на </w:t>
      </w:r>
      <w:r>
        <w:t xml:space="preserve">период 202</w:t>
      </w:r>
      <w:r>
        <w:t xml:space="preserve">3</w:t>
      </w:r>
      <w:r>
        <w:t xml:space="preserve">-203</w:t>
      </w:r>
      <w:r>
        <w:t xml:space="preserve">8</w:t>
      </w:r>
      <w:r>
        <w:t xml:space="preserve">гг. по</w:t>
      </w:r>
      <w:r>
        <w:t xml:space="preserve"> с. Ратта приведены в таблице 1.3.3.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1.3.3 – Прогнозные балансы потребления горячей, питьевой, технической воды на </w:t>
      </w:r>
      <w:r>
        <w:rPr>
          <w:b/>
          <w:bCs/>
        </w:rPr>
        <w:t xml:space="preserve">период 202</w:t>
      </w:r>
      <w:r>
        <w:rPr>
          <w:b/>
          <w:bCs/>
        </w:rPr>
        <w:t xml:space="preserve">3</w:t>
      </w:r>
      <w:r>
        <w:rPr>
          <w:b/>
          <w:bCs/>
        </w:rPr>
        <w:t xml:space="preserve">-203</w:t>
      </w:r>
      <w:r>
        <w:rPr>
          <w:b/>
          <w:bCs/>
        </w:rPr>
        <w:t xml:space="preserve">8</w:t>
      </w:r>
      <w:r>
        <w:rPr>
          <w:b/>
          <w:bCs/>
        </w:rPr>
        <w:t xml:space="preserve">гг</w:t>
      </w:r>
      <w:r>
        <w:rPr>
          <w:b/>
          <w:bCs/>
        </w:rPr>
        <w:t xml:space="preserve">. по с. Ратта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"/>
        <w:gridCol w:w="2253"/>
        <w:gridCol w:w="493"/>
        <w:gridCol w:w="730"/>
        <w:gridCol w:w="730"/>
        <w:gridCol w:w="730"/>
        <w:gridCol w:w="730"/>
        <w:gridCol w:w="730"/>
        <w:gridCol w:w="730"/>
        <w:gridCol w:w="743"/>
        <w:gridCol w:w="730"/>
        <w:gridCol w:w="576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ТЗ ВС/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br/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ТЗ ВС с. Ратта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Забор (подъем) исходной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7 613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7 714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7 879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8 045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8 210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8 376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8 541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8 706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10 184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Подача питьевой воды в водопроводные сети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7 269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7 428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7 588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7 747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7 906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8 065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8 224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8 383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9 805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Реализация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6 964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7 276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7 588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7 744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7 900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8 056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9 459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Собственные нужды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379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м³/год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346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Потери питьевой воды при транспортировке по водопроводным сетям (среднесуточные)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(среднесуточное потребление)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Забор (подъем) воды в сутки максимального водопотребления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Установленная производительность (мощность)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432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м³/сут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396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Резерв (дефицит) производительности водозаборных сооружений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92%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Указанные в таблице выше расчетные показатели определены в соответствии со сценарием развития с. Ратта, приведенным выше в </w:t>
      </w:r>
      <w:hyperlink w:tooltip="#_Различные_сценарии_развития" w:anchor="_Различные_сценарии_развит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1.2.2</w:t>
        </w:r>
      </w:hyperlink>
      <w:r>
        <w:t xml:space="preserve">, а также учитывают эффекты от реализации мероприятий по строительству, реконструкции и модернизации объектов централизованных систем водоснабжения, приведенных выше в </w:t>
      </w:r>
      <w:hyperlink w:tooltip="#_Предложения_по_строительству," w:anchor="_Предложения_по_строительству,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Разделе 1.4</w:t>
        </w:r>
      </w:hyperlink>
      <w:r>
        <w:t xml:space="preserve">.</w:t>
      </w:r>
      <w:r/>
    </w:p>
    <w:p>
      <w:pPr>
        <w:pStyle w:val="1075"/>
      </w:pPr>
      <w:r/>
      <w:bookmarkStart w:id="445" w:name="_Toc109995083"/>
      <w:r/>
      <w:bookmarkStart w:id="446" w:name="_Toc142312800"/>
      <w:r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445"/>
      <w:r>
        <w:t xml:space="preserve">.</w:t>
      </w:r>
      <w:bookmarkEnd w:id="44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Централизованная система горячего водоснабжения с использованием закрытых систем горячего водоснабжения на территории с. Ратта отсутствует.</w:t>
      </w:r>
      <w:r/>
    </w:p>
    <w:p>
      <w:pPr>
        <w:pStyle w:val="1075"/>
      </w:pPr>
      <w:r/>
      <w:bookmarkStart w:id="447" w:name="_Toc109995084"/>
      <w:r/>
      <w:bookmarkStart w:id="448" w:name="_Toc142312801"/>
      <w: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447"/>
      <w:r>
        <w:t xml:space="preserve">.</w:t>
      </w:r>
      <w:bookmarkEnd w:id="44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 по с. Ратта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1.3.7</w:t>
        </w:r>
      </w:hyperlink>
      <w:r>
        <w:t xml:space="preserve">.</w:t>
      </w:r>
      <w:r/>
    </w:p>
    <w:p>
      <w:pPr>
        <w:pStyle w:val="1075"/>
      </w:pPr>
      <w:r/>
      <w:bookmarkStart w:id="449" w:name="_Toc109995085"/>
      <w:r/>
      <w:bookmarkStart w:id="450" w:name="_Toc142312802"/>
      <w: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449"/>
      <w:r>
        <w:t xml:space="preserve">.</w:t>
      </w:r>
      <w:bookmarkEnd w:id="45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зонам, по с. Ратта приведено выше в </w:t>
      </w:r>
      <w:hyperlink w:tooltip="#_Общий_баланс_подачи" w:anchor="_Общий_баланс_подачи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1.3.1</w:t>
        </w:r>
      </w:hyperlink>
      <w:r>
        <w:t xml:space="preserve">.</w:t>
      </w:r>
      <w:r/>
    </w:p>
    <w:p>
      <w:pPr>
        <w:pStyle w:val="1075"/>
      </w:pPr>
      <w:r/>
      <w:bookmarkStart w:id="451" w:name="_Toc109995086"/>
      <w:r/>
      <w:bookmarkStart w:id="452" w:name="_Toc142312803"/>
      <w:r>
        <w:t xml:space="preserve">Прогноз распределения расходов воды на водоснабжение по типам абонентов, в том чис</w:t>
      </w:r>
      <w:r>
        <w:t xml:space="preserve">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451"/>
      <w:r>
        <w:t xml:space="preserve">.</w:t>
      </w:r>
      <w:bookmarkEnd w:id="452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Прогноз распределения расходов воды на водоснабжение по типам абонентов, в том числе на водоснабжение жилых зда</w:t>
      </w:r>
      <w:r>
        <w:t xml:space="preserve">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 по с. Ратта приведен 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1.3.7</w:t>
        </w:r>
      </w:hyperlink>
      <w:r>
        <w:t xml:space="preserve">.</w:t>
      </w:r>
      <w:r/>
    </w:p>
    <w:p>
      <w:pPr>
        <w:pStyle w:val="1075"/>
      </w:pPr>
      <w:r/>
      <w:bookmarkStart w:id="453" w:name="_Toc109995087"/>
      <w:r/>
      <w:bookmarkStart w:id="454" w:name="_Toc142312804"/>
      <w: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453"/>
      <w:r>
        <w:t xml:space="preserve">.</w:t>
      </w:r>
      <w:bookmarkEnd w:id="454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 по с. Ратта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1.3.7</w:t>
        </w:r>
      </w:hyperlink>
      <w:r>
        <w:t xml:space="preserve">.</w:t>
      </w:r>
      <w:r/>
    </w:p>
    <w:p>
      <w:pPr>
        <w:pStyle w:val="1075"/>
      </w:pPr>
      <w:r/>
      <w:bookmarkStart w:id="455" w:name="_Toc109995088"/>
      <w:r/>
      <w:bookmarkStart w:id="456" w:name="_Toc142312805"/>
      <w:r>
        <w:t xml:space="preserve">Перспективные балансы водоснабжения и водоотведения (общий - балан</w:t>
      </w:r>
      <w:r>
        <w:t xml:space="preserve">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455"/>
      <w:r>
        <w:t xml:space="preserve">.</w:t>
      </w:r>
      <w:bookmarkEnd w:id="456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Перспективные балансы водоснабжения (общий – баланс подачи и реализации горячей,</w:t>
      </w:r>
      <w:r>
        <w:t xml:space="preserve"> питьевой,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 по с. Ратта приведены 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1.3.7</w:t>
        </w:r>
      </w:hyperlink>
      <w: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Перспективные балансы водоотведения по ЦС ВО, действующим на территории с. Ратта, рассмотрены ниже в </w:t>
      </w:r>
      <w:hyperlink w:tooltip="#_Сведения_о_фактическом" w:anchor="_Сведения_о_фактическом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2.3.1</w:t>
        </w:r>
      </w:hyperlink>
      <w:r>
        <w:t xml:space="preserve">.</w:t>
      </w:r>
      <w:r/>
    </w:p>
    <w:p>
      <w:pPr>
        <w:pStyle w:val="1075"/>
      </w:pPr>
      <w:r/>
      <w:bookmarkStart w:id="457" w:name="_Toc109995089"/>
      <w:r/>
      <w:bookmarkStart w:id="458" w:name="_Toc142312806"/>
      <w:r>
        <w:t xml:space="preserve">Расчет требуемой мощности водозаборных и очистных сооружений исходя из данных о перспективном потреблении горячей, питьевой, </w:t>
      </w:r>
      <w:r>
        <w:t xml:space="preserve">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457"/>
      <w:r>
        <w:t xml:space="preserve">.</w:t>
      </w:r>
      <w:bookmarkEnd w:id="458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</w:t>
      </w:r>
      <w:r>
        <w:t xml:space="preserve">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 по с. Ратта приведен выше в </w:t>
      </w:r>
      <w:hyperlink w:tooltip="#_Прогнозные_балансы_потребления" w:anchor="_Прогнозные_балансы_потребления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1.3.7</w:t>
        </w:r>
      </w:hyperlink>
      <w:r>
        <w:t xml:space="preserve">.</w:t>
      </w:r>
      <w:r/>
    </w:p>
    <w:p>
      <w:pPr>
        <w:pStyle w:val="1075"/>
      </w:pPr>
      <w:r/>
      <w:bookmarkStart w:id="459" w:name="_Toc109995090"/>
      <w:r/>
      <w:bookmarkStart w:id="460" w:name="_Toc142312807"/>
      <w:r>
        <w:t xml:space="preserve">Наименование организации, которая наделена статусом гарантирующей организации</w:t>
      </w:r>
      <w:bookmarkEnd w:id="459"/>
      <w:r>
        <w:t xml:space="preserve">.</w:t>
      </w:r>
      <w:bookmarkEnd w:id="460"/>
      <w:r/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В соответствии с ФЗ РФ от 07.12.2011 № 416-ФЗ введены и определены следующие понятия и требования:</w:t>
      </w:r>
      <w:r/>
    </w:p>
    <w:p>
      <w:pPr>
        <w:pStyle w:val="1340"/>
        <w:numPr>
          <w:ilvl w:val="0"/>
          <w:numId w:val="9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статья 2 главы 1: «гарантирующая организация –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</w:t>
      </w:r>
      <w:r>
        <w:t xml:space="preserve">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водоотведения»;</w:t>
      </w:r>
      <w:r/>
    </w:p>
    <w:p>
      <w:pPr>
        <w:pStyle w:val="1340"/>
        <w:numPr>
          <w:ilvl w:val="0"/>
          <w:numId w:val="9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ст</w:t>
      </w:r>
      <w:r>
        <w:t xml:space="preserve">атья 6 главы 2: к полномочиям органов местного самоуправления поселений, городских округов относится определение для каждой централизованной системы холодного водоснабжения и (или) водоотведения гарантирующей организации и установление зон ее деятельности;</w:t>
      </w:r>
      <w:r/>
    </w:p>
    <w:p>
      <w:pPr>
        <w:pStyle w:val="1340"/>
        <w:numPr>
          <w:ilvl w:val="0"/>
          <w:numId w:val="9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пункт 1 статьи 12 главы 3: «Органы местного самоуправления поселений, городских окр</w:t>
      </w:r>
      <w:r>
        <w:t xml:space="preserve">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централизованных ливневых систем водоотведения гарантирующая организация не определяется»;</w:t>
      </w:r>
      <w:r/>
    </w:p>
    <w:p>
      <w:pPr>
        <w:pStyle w:val="1340"/>
        <w:numPr>
          <w:ilvl w:val="0"/>
          <w:numId w:val="9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пункт 2 статьи 12 главы 3: «Организация, осуществляющая холодное водоснабжение и (или) водоотведение и эксплуатирующая водопроводные и (или) канализа</w:t>
      </w:r>
      <w:r>
        <w:t xml:space="preserve">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водоотведение»;</w:t>
      </w:r>
      <w:r/>
    </w:p>
    <w:p>
      <w:pPr>
        <w:pStyle w:val="1340"/>
        <w:numPr>
          <w:ilvl w:val="0"/>
          <w:numId w:val="94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пункт 2 Статьи 42 Главы 8: «До 1 июля 2013 года органы местного самоуправления поселения, городского округа осуществляют ин</w:t>
      </w:r>
      <w:r>
        <w:t xml:space="preserve">вентаризацию водопроводных и канализационных сетей, участвующих в водоснабжении и водоотведении (транспортировке воды и сточных вод), утверждают схему водоснабжения и водоотведения, определяют гарантирующую организацию, устанавливают зоны ее деятельности».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На момент настоящей актуализации Схемы ВСиВО Красноселькупского района на территории с. Ратта статусом гарантирующей организации наделена ООО «Ямал-Энерго».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</w:pPr>
      <w:r/>
      <w:bookmarkStart w:id="461" w:name="_Toc109995091"/>
      <w:r/>
      <w:bookmarkStart w:id="462" w:name="_Toc142312808"/>
      <w:r>
        <w:t xml:space="preserve">Предложения по строительству, реконструкции и модернизации объектов централизованных систем водоснабжения</w:t>
      </w:r>
      <w:bookmarkEnd w:id="461"/>
      <w:r/>
      <w:bookmarkEnd w:id="462"/>
      <w:r/>
      <w:r/>
    </w:p>
    <w:p>
      <w:pPr>
        <w:pStyle w:val="1340"/>
      </w:pPr>
      <w:r/>
      <w:r/>
    </w:p>
    <w:p>
      <w:pPr>
        <w:pStyle w:val="1075"/>
      </w:pPr>
      <w:r/>
      <w:bookmarkStart w:id="463" w:name="_Toc109995092"/>
      <w:r/>
      <w:bookmarkStart w:id="464" w:name="_Toc142312809"/>
      <w:r>
        <w:t xml:space="preserve">Перечень основных мероприятий по реализации схем водоснабжения с разбивкой по годам</w:t>
      </w:r>
      <w:bookmarkEnd w:id="463"/>
      <w:r/>
      <w:bookmarkEnd w:id="464"/>
      <w:r/>
      <w:r/>
    </w:p>
    <w:p>
      <w:pPr>
        <w:pStyle w:val="1340"/>
        <w:rPr>
          <w:color w:val="000000"/>
        </w:rPr>
      </w:pPr>
      <w:r>
        <w:t xml:space="preserve">Перечень основных мероприятий по реализации Схемы водоснабжения </w:t>
      </w:r>
      <w:r>
        <w:br/>
        <w:t xml:space="preserve"> с. Ратта с разбивкой по годам приведен в таблице 1.4.1.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color w:val="000000"/>
        </w:rPr>
      </w:pPr>
      <w:r>
        <w:rPr>
          <w:b/>
          <w:bCs/>
        </w:rPr>
        <w:t xml:space="preserve">Таблица 1.4.1 – Перечень основных мероприятий по реализации Схемы водоснабжения с. Ратта с разбивкой по годам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015"/>
        <w:gridCol w:w="6000"/>
        <w:gridCol w:w="1307"/>
        <w:gridCol w:w="1306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465" w:name="_Toc109995093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Период реализации, гг.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начало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конец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СВП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Третья очередь строительства нового участка, кольцевой водопроводной сети с. Ратта, от теплового пункта № 7-1 до теплового пункта № 7-1-4 по ул. Бурдукова для подключения потребителей к водоснабжению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2035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Реконструкция действующих водопроводных участков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2024</w:t>
            </w:r>
            <w:r/>
          </w:p>
        </w:tc>
      </w:tr>
    </w:tbl>
    <w:p>
      <w:pPr>
        <w:pStyle w:val="1245"/>
      </w:pPr>
      <w:r/>
      <w:r/>
    </w:p>
    <w:p>
      <w:pPr>
        <w:pStyle w:val="1075"/>
      </w:pPr>
      <w:r/>
      <w:bookmarkStart w:id="466" w:name="_Toc142312810"/>
      <w:r>
        <w:t xml:space="preserve">Технические обоснования основных мероприятий по реализации схем водоснабжения, в том числе обоснования мест размещения (прокладки) и технических характери</w:t>
      </w:r>
      <w:r>
        <w:t xml:space="preserve">стик мероприятий,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</w:t>
      </w:r>
      <w:bookmarkEnd w:id="465"/>
      <w:r>
        <w:t xml:space="preserve">.</w:t>
      </w:r>
      <w:bookmarkEnd w:id="466"/>
      <w:r/>
      <w:r/>
    </w:p>
    <w:p>
      <w:pPr>
        <w:pStyle w:val="1340"/>
        <w:rPr>
          <w:color w:val="000000"/>
        </w:rPr>
      </w:pPr>
      <w:r>
        <w:t xml:space="preserve">Технические обоснования основных мероприятий по реализации схем водоснабжения, в том числе гидрогеологические характеристик</w:t>
      </w:r>
      <w:r>
        <w:t xml:space="preserve">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 с. Ратта, приведены в таблице 1.4.2.</w:t>
      </w:r>
      <w:r/>
    </w:p>
    <w:p>
      <w:pPr>
        <w:pStyle w:val="1340"/>
        <w:jc w:val="right"/>
        <w:keepLines/>
        <w:keepNext/>
        <w:rPr>
          <w:rFonts w:ascii="undefined" w:hAnsiTheme="minorHAnsi"/>
          <w:b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bCs/>
          <w:highlight w:val="none"/>
        </w:rPr>
      </w:pPr>
      <w:r>
        <w:rPr>
          <w:b/>
          <w:bCs/>
        </w:rPr>
        <w:t xml:space="preserve">Таблица 1.4.2 – Технические обоснования основных мероприятий по реализации схем водоснабжения, в том числе гидр</w:t>
      </w:r>
      <w:r>
        <w:rPr>
          <w:b/>
          <w:bCs/>
        </w:rPr>
        <w:t xml:space="preserve">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 водоснабжения с. Ратта</w:t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914"/>
        <w:gridCol w:w="5417"/>
        <w:gridCol w:w="3297"/>
      </w:tblGrid>
      <w:tr>
        <w:trPr>
          <w:trHeight w:val="517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Техническое обоснование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СВП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Обеспечение подачи абонентам определенного объема горячей, питьевой воды установленного качества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Третья очередь строительства нового участка, кольцевой водопроводной сети с. Ратта, от теплового пункта № 7-1 до теплового пункта № 7-1-4 по ул. Бурдукова для подключения потребителей к водоснабжению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Организация и обеспечение централизованного водоснабжения на территориях, где оно отсутствует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Организация и обеспечение централизованного водоснабжения на территориях, где оно отсутствует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Реконструкция действующих водопроводных участков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2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Сокращение потерь воды при ее транспортировке</w:t>
            </w:r>
            <w:r/>
          </w:p>
        </w:tc>
      </w:tr>
    </w:tbl>
    <w:p>
      <w:pPr>
        <w:pStyle w:val="1340"/>
        <w:keepLines/>
        <w:keepNext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</w:r>
      <w:r/>
    </w:p>
    <w:p>
      <w:pPr>
        <w:pStyle w:val="1075"/>
      </w:pPr>
      <w:r/>
      <w:bookmarkStart w:id="467" w:name="_Toc109995094"/>
      <w:r/>
      <w:bookmarkStart w:id="468" w:name="_Toc142312811"/>
      <w:r>
        <w:t xml:space="preserve">Сведения о вновь строящихся, реконструируемых и предлагаемых к выводу из эксплуатации объектах системы водоснабжения</w:t>
      </w:r>
      <w:bookmarkEnd w:id="467"/>
      <w:r>
        <w:t xml:space="preserve">.</w:t>
      </w:r>
      <w:bookmarkEnd w:id="468"/>
      <w:r/>
      <w:r/>
    </w:p>
    <w:p>
      <w:pPr>
        <w:pStyle w:val="1340"/>
        <w:rPr>
          <w:color w:val="000000"/>
        </w:rPr>
      </w:pPr>
      <w:r>
        <w:t xml:space="preserve">Сведения о вновь строящихся, реконструируемых и предлагаемых к выводу из эксплуатации объектах системы водоснабжения с. Ратта приведены в таблице 1.4.3.</w:t>
      </w:r>
      <w:r/>
    </w:p>
    <w:p>
      <w:pPr>
        <w:pStyle w:val="1340"/>
        <w:jc w:val="right"/>
        <w:rPr>
          <w:b/>
          <w:bCs/>
        </w:rPr>
      </w:pPr>
      <w:r>
        <w:rPr>
          <w:b/>
          <w:bCs/>
        </w:rPr>
      </w:r>
      <w:r/>
    </w:p>
    <w:p>
      <w:pPr>
        <w:pStyle w:val="1340"/>
        <w:jc w:val="right"/>
        <w:rPr>
          <w:b/>
          <w:bCs/>
        </w:rPr>
      </w:pPr>
      <w:r>
        <w:rPr>
          <w:b/>
          <w:bCs/>
        </w:rPr>
        <w:t xml:space="preserve">Таблица 1.4.3 – Сведения о вновь строящихся, реконструируемых и предлагаемых к выводу из эксплуатации объектах системы водоснабжения с. Ратта</w:t>
      </w:r>
      <w:r/>
    </w:p>
    <w:p>
      <w:pPr>
        <w:pStyle w:val="1340"/>
        <w:jc w:val="right"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70"/>
        <w:gridCol w:w="4379"/>
        <w:gridCol w:w="698"/>
        <w:gridCol w:w="1381"/>
        <w:gridCol w:w="520"/>
        <w:gridCol w:w="520"/>
        <w:gridCol w:w="520"/>
        <w:gridCol w:w="520"/>
        <w:gridCol w:w="520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469" w:name="_Toc109995095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22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водопроводные сети</w:t>
            </w:r>
            <w:r/>
          </w:p>
        </w:tc>
        <w:tc>
          <w:tcPr>
            <w:gridSpan w:val="5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прочие объекты</w:t>
            </w:r>
            <w:r/>
          </w:p>
        </w:tc>
      </w:tr>
      <w:tr>
        <w:trPr>
          <w:trHeight w:val="1244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L, 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Dу, мм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водозаборные сооружения,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СВП,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ВНС, м³/ч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РдВ, м³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иное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СВП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Третья очередь строительства нового участка, кольцевой водопроводной сети с. Ратта, от теплового пункта № 7-1 до теплового пункта № </w:t>
            </w: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7-1-4 по ул. Бурдукова для подключения потребителей к водоснабжению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Реконструкция действующих водопроводных участков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без изменений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1340"/>
      </w:pPr>
      <w:r/>
      <w:r/>
    </w:p>
    <w:p>
      <w:pPr>
        <w:pStyle w:val="1075"/>
      </w:pPr>
      <w:r/>
      <w:bookmarkStart w:id="470" w:name="_Toc142312812"/>
      <w:r>
        <w:t xml:space="preserve"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69"/>
      <w:r>
        <w:t xml:space="preserve">.</w:t>
      </w:r>
      <w:bookmarkEnd w:id="470"/>
      <w:r/>
      <w:r/>
    </w:p>
    <w:p>
      <w:pPr>
        <w:pStyle w:val="1340"/>
        <w:ind w:firstLine="567"/>
        <w:rPr>
          <w:color w:val="000000"/>
        </w:rPr>
      </w:pPr>
      <w:r>
        <w:t xml:space="preserve">К числу основных особенностей централизованных систем водоснабжения, как объектов автоматизации, относятся: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высокая степень ответственности работы сооружений, требующая обеспечения их надёжной бесперебойной работы;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работа сооружений в условиях постоянно меняющейся нагрузки;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зависимость режима работы сооружений от изменения качества исходной воды;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территориальная разрозненность сооружений и необходимость координирования их работы из одного центра;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сложность технологического процесса и необходимость обеспечения высокого качества обработки воды;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необходимость сохранения работоспособности при авариях на отдельных участках системы;</w:t>
      </w:r>
      <w:r/>
    </w:p>
    <w:p>
      <w:pPr>
        <w:pStyle w:val="1340"/>
        <w:numPr>
          <w:ilvl w:val="0"/>
          <w:numId w:val="95"/>
        </w:numPr>
        <w:ind w:left="0" w:firstLine="567"/>
        <w:rPr>
          <w:color w:val="000000"/>
        </w:rPr>
      </w:pPr>
      <w:r>
        <w:t xml:space="preserve">значительная инерционность ряда технологических процессов.</w:t>
      </w:r>
      <w:r/>
    </w:p>
    <w:p>
      <w:pPr>
        <w:pStyle w:val="1340"/>
        <w:ind w:firstLine="567"/>
        <w:rPr>
          <w:color w:val="000000"/>
        </w:rPr>
      </w:pPr>
      <w:r>
        <w:t xml:space="preserve">Задачи автоматизации процессов водозабора, водоподготовки и транспортировки воды в основном состоят в следующем:</w:t>
      </w:r>
      <w:r/>
    </w:p>
    <w:p>
      <w:pPr>
        <w:pStyle w:val="1340"/>
        <w:numPr>
          <w:ilvl w:val="0"/>
          <w:numId w:val="96"/>
        </w:numPr>
        <w:ind w:left="0" w:firstLine="567"/>
        <w:rPr>
          <w:color w:val="000000"/>
        </w:rPr>
      </w:pPr>
      <w:r>
        <w:t xml:space="preserve">создание оптимальных условий работы отдельных сооружений;</w:t>
      </w:r>
      <w:r/>
    </w:p>
    <w:p>
      <w:pPr>
        <w:pStyle w:val="1340"/>
        <w:numPr>
          <w:ilvl w:val="0"/>
          <w:numId w:val="96"/>
        </w:numPr>
        <w:ind w:left="0" w:firstLine="567"/>
        <w:rPr>
          <w:color w:val="000000"/>
        </w:rPr>
      </w:pPr>
      <w:r>
        <w:t xml:space="preserve">улучшение технологического контроля за работой отдельных элементов системы водоснабжения и ходом процесса водоснабжения в целом;</w:t>
      </w:r>
      <w:r/>
    </w:p>
    <w:p>
      <w:pPr>
        <w:pStyle w:val="1340"/>
        <w:numPr>
          <w:ilvl w:val="0"/>
          <w:numId w:val="96"/>
        </w:numPr>
        <w:ind w:left="0" w:firstLine="567"/>
        <w:rPr>
          <w:color w:val="000000"/>
        </w:rPr>
      </w:pPr>
      <w:r>
        <w:t xml:space="preserve">улучшение условий труда эксплуатационного персонала с одновременным сокращением штатов обслуживающего персонала;</w:t>
      </w:r>
      <w:r/>
    </w:p>
    <w:p>
      <w:pPr>
        <w:pStyle w:val="1340"/>
        <w:numPr>
          <w:ilvl w:val="0"/>
          <w:numId w:val="96"/>
        </w:numPr>
        <w:ind w:left="0" w:firstLine="567"/>
        <w:rPr>
          <w:color w:val="000000"/>
        </w:rPr>
      </w:pPr>
      <w:r>
        <w:t xml:space="preserve">уменьшение стоимости подготовки воды требуемого качества.</w:t>
      </w:r>
      <w:r/>
    </w:p>
    <w:p>
      <w:pPr>
        <w:pStyle w:val="1340"/>
        <w:ind w:firstLine="567"/>
        <w:rPr>
          <w:color w:val="000000"/>
        </w:rPr>
      </w:pPr>
      <w:r>
        <w:t xml:space="preserve">При развитии систем автоматизации и диспетчеризации объектов централизованных систем водоснабжения предлагается организация двухступенчатой структуры диспетчерского управления, с наличием единого центрального пункта упра</w:t>
      </w:r>
      <w:r>
        <w:t xml:space="preserve">вления и двух действующих местных пультов управления. Функции центрального пункта управления заключаются в контроле всех основных объектов централизованных систем водоснабжения, как единого комплекса и координации работы всех местных пультов управления, с </w:t>
      </w:r>
      <w:r>
        <w:t xml:space="preserve">реализацией SCADA-системы. Функции местных пультов управления ограничиваются управлением подчинённых им технологических узлов. </w:t>
      </w:r>
      <w:r/>
    </w:p>
    <w:p>
      <w:pPr>
        <w:pStyle w:val="1340"/>
        <w:ind w:firstLine="567"/>
        <w:rPr>
          <w:color w:val="000000"/>
        </w:rPr>
      </w:pPr>
      <w:r>
        <w:t xml:space="preserve">Автоматизация процесса подачи воды в водопроводные сети от насосных агрегатов на станциях водоподготовки и на насосных станциях второго подъёма заключается в частотном управлении работой данных н</w:t>
      </w:r>
      <w:r>
        <w:t xml:space="preserve">асосных агрегатов с регулированием значения давления в напорном трубопроводе и передачей сигналов как в местную операторскую, так и на центральный пункт управления эксплуатирующей организации. Контролироваться на данных объектах должны следующие параметры: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давление, развиваемое каждым насосным агрегатом;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давление в напорном водоводе; 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расход перекачиваемой воды;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уровень воды в дренажном приямке;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работающие насосные агрегаты;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наработка каждого насосного агрегата;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потребляемый ток (мощность) каждым скважинным насосным агрегатом;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число оборотов насосного агрегата при частотном регулировании;</w:t>
      </w:r>
      <w:r/>
    </w:p>
    <w:p>
      <w:pPr>
        <w:pStyle w:val="1340"/>
        <w:numPr>
          <w:ilvl w:val="0"/>
          <w:numId w:val="97"/>
        </w:numPr>
        <w:ind w:left="0" w:firstLine="567"/>
        <w:rPr>
          <w:color w:val="000000"/>
        </w:rPr>
      </w:pPr>
      <w:r>
        <w:t xml:space="preserve">аварийные ситуации.</w:t>
      </w:r>
      <w:r/>
    </w:p>
    <w:p>
      <w:pPr>
        <w:pStyle w:val="1340"/>
        <w:ind w:firstLine="567"/>
        <w:rPr>
          <w:color w:val="000000"/>
        </w:rPr>
      </w:pPr>
      <w:r>
        <w:t xml:space="preserve">Подробное опи</w:t>
      </w:r>
      <w:r>
        <w:t xml:space="preserve">сание, выбор требуемых технических решений по автоматизации процессов, оборудования и необходимых материалов требуется предусмотреть в соответствующих проектах по реконструкции (модернизации) соответствующих объектов централизованных систем водоснабжения. </w:t>
      </w:r>
      <w:r/>
    </w:p>
    <w:p>
      <w:pPr>
        <w:pStyle w:val="1340"/>
        <w:ind w:firstLine="567"/>
        <w:rPr>
          <w:color w:val="000000"/>
        </w:rPr>
      </w:pPr>
      <w:r>
        <w:t xml:space="preserve">Все локальн</w:t>
      </w:r>
      <w:r>
        <w:t xml:space="preserve">ые системы управления и диспетчеризации объектов централизованных систем водоснабжения должны быть связаны в общую систему диспетчерского управления с единым центральным пунктом управления, организованным в диспетчерской комнате эксплуатирующей организации</w:t>
      </w:r>
      <w:r>
        <w:t xml:space="preserve"> (как вариант – на одном из двух действующих дистанционных пультов управления). Это позволит полностью контролировать и оперативно изменять ход действия технологических процессов, выполняемых каждым отдельным объектом централизованных систем водоснабжения.</w:t>
      </w:r>
      <w:r/>
    </w:p>
    <w:p>
      <w:pPr>
        <w:pStyle w:val="1340"/>
        <w:ind w:firstLine="567"/>
        <w:rPr>
          <w:color w:val="000000"/>
        </w:rPr>
      </w:pPr>
      <w:r>
        <w:t xml:space="preserve">В предлагаемой системе управления следует предусмотреть организацию контрольных (диктующих) точек с целью постоянного измерен</w:t>
      </w:r>
      <w:r>
        <w:t xml:space="preserve">ия и контроля значений давления в водопроводных сетях. Значения с датчиков давления следует передавать на центральный пункт управления для возможной корректировки режимов работы насосных агрегатов на основных объектах централизованных систем водоснабжения.</w:t>
      </w:r>
      <w:r/>
    </w:p>
    <w:p>
      <w:pPr>
        <w:pStyle w:val="1340"/>
        <w:ind w:firstLine="567"/>
        <w:rPr>
          <w:color w:val="000000"/>
        </w:rPr>
      </w:pPr>
      <w:r>
        <w:t xml:space="preserve">Подробное описание системы диспетчерского управления, разработка конкретных технических решений, определение состава оборудования и перечня необходимых матер</w:t>
      </w:r>
      <w:r>
        <w:t xml:space="preserve">иалов для реализации системы диспетчерского контроля должно быть предусмотрено соответствующим проектом. Предпочтение в проекте следует отдавать современным технологиям автоматизации с целью разработки и внедрения технических решений, способных оставаться </w:t>
      </w:r>
      <w:r>
        <w:t xml:space="preserve">актуальными на протяжении многих лет эксплуатации соответствующих объектов.</w:t>
      </w:r>
      <w:r/>
    </w:p>
    <w:p>
      <w:pPr>
        <w:pStyle w:val="1075"/>
      </w:pPr>
      <w:r/>
      <w:bookmarkStart w:id="471" w:name="_Toc109995096"/>
      <w:r/>
      <w:bookmarkStart w:id="472" w:name="_Toc142312813"/>
      <w:r>
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71"/>
      <w:r>
        <w:t xml:space="preserve">.</w:t>
      </w:r>
      <w:bookmarkEnd w:id="472"/>
      <w:r/>
      <w:r/>
    </w:p>
    <w:p>
      <w:pPr>
        <w:pStyle w:val="1340"/>
        <w:ind w:firstLine="567"/>
        <w:rPr>
          <w:color w:val="000000"/>
        </w:rPr>
      </w:pPr>
      <w:r>
        <w:t xml:space="preserve">За 2022г. в с. Ратта от общего объема реализации холодной воды абонентам (5396м³) порядка 25% (1341м³) было</w:t>
      </w:r>
      <w:r>
        <w:t xml:space="preserve"> определено расчетным путем, что говорит о значительной оснащенности приборами коммерческого учета абонентов.</w:t>
      </w:r>
      <w:r/>
    </w:p>
    <w:p>
      <w:pPr>
        <w:pStyle w:val="1340"/>
        <w:ind w:firstLine="567"/>
        <w:rPr>
          <w:color w:val="000000"/>
        </w:rPr>
      </w:pPr>
      <w:r>
        <w:t xml:space="preserve">В соответствии с частью 5 статьи 13 ФЗ РФ от 23.11.2009 № 261-ФЗ до 01.07.2012 собственники жилых домов, собственники помещений в многоквартирных домах, введенных в эксплуатацию на день всту</w:t>
      </w:r>
      <w:r>
        <w:t xml:space="preserve">пления в силу указанного Федерального закона, обязаны обеспечить оснащение таких домов приборами учета используемых воды, тепловой энергии, электрической энергии, а также ввод установленных приборов учета в эксплуатацию. При этом многоквартирные дома в ука</w:t>
      </w:r>
      <w:r>
        <w:t xml:space="preserve">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  <w:r/>
    </w:p>
    <w:p>
      <w:pPr>
        <w:pStyle w:val="1340"/>
        <w:ind w:firstLine="567"/>
        <w:rPr>
          <w:color w:val="000000"/>
        </w:rPr>
      </w:pPr>
      <w:r>
        <w:t xml:space="preserve">В соответствии с пунктом 38_1 Правил содержания общего имущества в многоквартир</w:t>
      </w:r>
      <w:r>
        <w:t xml:space="preserve">ном доме, утвержденных ПП РФ от 13.08.2006 № 491, в случае если собственники помещений в многоквартирном доме не обеспечили оснащение такого дома коллективным (общедомовым) прибором учета используемого коммунального ресурса и при этом был установлен коллек</w:t>
      </w:r>
      <w:r>
        <w:t xml:space="preserve">тивный (общедомовой) прибор учета, собственники помещений обязаны оплатить расходы на установку такого прибора учета, за исключением случаев, когда такие расходы были учтены в составе платы за содержание жилого помещения и (или) в составе установленных для</w:t>
      </w:r>
      <w:r>
        <w:t xml:space="preserve">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(или) взносов, связанных с оплатой расходов на содержание, текущий и капитальный ремонт общего имущества.</w:t>
      </w:r>
      <w:r/>
    </w:p>
    <w:p>
      <w:pPr>
        <w:pStyle w:val="1340"/>
        <w:ind w:firstLine="567"/>
        <w:rPr>
          <w:color w:val="000000"/>
        </w:rPr>
      </w:pPr>
      <w:r>
        <w:t xml:space="preserve">Счета на оплату расходов на установку коллект</w:t>
      </w:r>
      <w:r>
        <w:t xml:space="preserve">ивного (общедомового) прибора учета с указанием общего размера расходов на установку такого прибора учета и доли расходов на установку такого прибора учета, бремя которых несет собственник помещения, выставляются собственникам помещений организацией, осуще</w:t>
      </w:r>
      <w:r>
        <w:t xml:space="preserve">ствившей установку коллективного (общедомового) прибора учета. Доля расходов на установку коллективного (общедомового) прибора учета, бремя которых несет собственник помещения, определяется исходя из его доли в праве общей собственности на общее имущество.</w:t>
      </w:r>
      <w:r/>
    </w:p>
    <w:p>
      <w:pPr>
        <w:pStyle w:val="1340"/>
        <w:ind w:firstLine="567"/>
        <w:rPr>
          <w:color w:val="000000"/>
        </w:rPr>
      </w:pPr>
      <w:r>
        <w:t xml:space="preserve">Также, в соответствии с частью 9 статьи 13 ФЗ РФ от 23.11.2009 № 261-ФЗ, организации, осуществляющие снабжение водой, обязаны осуществлять деятельность по установке, замене, эксплуатации приборов учета используемых </w:t>
      </w:r>
      <w:r>
        <w:t xml:space="preserve">энергетических ресурсов, снабжение которыми или передачу которых они осуществляют.</w:t>
      </w:r>
      <w:r/>
    </w:p>
    <w:p>
      <w:pPr>
        <w:pStyle w:val="1075"/>
      </w:pPr>
      <w:r/>
      <w:bookmarkStart w:id="473" w:name="_Toc109995097"/>
      <w:r/>
      <w:bookmarkStart w:id="474" w:name="_Toc142312814"/>
      <w:r>
        <w:t xml:space="preserve">Описание вариантов маршрутов прохождения трубопроводов (трасс) по территории населенного пункта и их обоснование</w:t>
      </w:r>
      <w:bookmarkEnd w:id="473"/>
      <w:r>
        <w:t xml:space="preserve">.</w:t>
      </w:r>
      <w:bookmarkEnd w:id="474"/>
      <w:r/>
      <w:r/>
    </w:p>
    <w:p>
      <w:pPr>
        <w:pStyle w:val="1340"/>
        <w:ind w:firstLine="567"/>
        <w:rPr>
          <w:color w:val="000000"/>
        </w:rPr>
      </w:pPr>
      <w:r>
        <w:t xml:space="preserve">Варианты маршрутов прохождения трубопроводов (трасс) по территории </w:t>
      </w:r>
      <w:r>
        <w:br/>
        <w:t xml:space="preserve"> с. Ратта и их характеристики приведены в электронной модели системы водоснабжения с. Ратта.</w:t>
      </w:r>
      <w:r/>
    </w:p>
    <w:p>
      <w:pPr>
        <w:pStyle w:val="1340"/>
        <w:ind w:firstLine="567"/>
        <w:rPr>
          <w:color w:val="000000"/>
        </w:rPr>
      </w:pPr>
      <w:r>
        <w:t xml:space="preserve">Трассы прокладки перспективных водопроводных следует выбирать с учётом обеспечения кратчайшего расстояния до точек подключения перспективных абонентов, рельефа местности, искусственных и естественных преград. </w:t>
      </w:r>
      <w:r/>
    </w:p>
    <w:p>
      <w:pPr>
        <w:pStyle w:val="1340"/>
        <w:ind w:firstLine="567"/>
        <w:rPr>
          <w:color w:val="000000"/>
        </w:rPr>
      </w:pPr>
      <w:r>
        <w:t xml:space="preserve">Трассы прокладки перспективных водопроводных сетей и места расположения площадок иных объектов централизованных систем водоснабжения подлежат уточнению и корректировке на стадии проектирования объектов.</w:t>
      </w:r>
      <w:r/>
    </w:p>
    <w:p>
      <w:pPr>
        <w:pStyle w:val="1075"/>
      </w:pPr>
      <w:r/>
      <w:bookmarkStart w:id="475" w:name="_Toc109995098"/>
      <w:r/>
      <w:bookmarkStart w:id="476" w:name="_Toc142312815"/>
      <w:r>
        <w:t xml:space="preserve">Рекомендации о месте размещения насосных станций, резервуаров, водонапорных башен</w:t>
      </w:r>
      <w:bookmarkEnd w:id="475"/>
      <w:r>
        <w:t xml:space="preserve">.</w:t>
      </w:r>
      <w:bookmarkEnd w:id="476"/>
      <w:r/>
      <w:r/>
    </w:p>
    <w:p>
      <w:pPr>
        <w:pStyle w:val="1340"/>
        <w:ind w:firstLine="567"/>
        <w:rPr>
          <w:color w:val="000000"/>
        </w:rPr>
      </w:pPr>
      <w:r>
        <w:t xml:space="preserve">Рекомендации о месте размещения насосных станций, резервуаров, водонапорных башен по территории с. Ратта приведены выше в </w:t>
      </w:r>
      <w:hyperlink w:tooltip="#_Сведения_о_вновь" w:anchor="_Сведения_о_вновь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1.4.3</w:t>
        </w:r>
      </w:hyperlink>
      <w:r>
        <w:t xml:space="preserve">.</w:t>
      </w:r>
      <w:r/>
    </w:p>
    <w:p>
      <w:pPr>
        <w:pStyle w:val="1075"/>
      </w:pPr>
      <w:r/>
      <w:bookmarkStart w:id="477" w:name="_Toc109995099"/>
      <w:r/>
      <w:bookmarkStart w:id="478" w:name="_Toc142312816"/>
      <w:r>
        <w:t xml:space="preserve">Границы планируемых зон размещения объектов централизованных систем горячего водоснабжения, холодного водоснабжения</w:t>
      </w:r>
      <w:bookmarkEnd w:id="477"/>
      <w:r>
        <w:t xml:space="preserve">.</w:t>
      </w:r>
      <w:bookmarkEnd w:id="478"/>
      <w:r/>
      <w:r/>
    </w:p>
    <w:p>
      <w:pPr>
        <w:pStyle w:val="1340"/>
        <w:ind w:firstLine="567"/>
        <w:rPr>
          <w:color w:val="000000"/>
        </w:rPr>
      </w:pPr>
      <w:r>
        <w:t xml:space="preserve">Границы планируемых зон размещения объектов централизованных систем горячего водоснабжения, холодного водоснабжения по территории с. Ратта приведены выше в </w:t>
      </w:r>
      <w:hyperlink w:tooltip="#_Сведения_о_вновь" w:anchor="_Сведения_о_вновь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1.4.3</w:t>
        </w:r>
      </w:hyperlink>
      <w:r>
        <w:t xml:space="preserve">.</w:t>
      </w:r>
      <w:r/>
    </w:p>
    <w:p>
      <w:pPr>
        <w:pStyle w:val="1075"/>
      </w:pPr>
      <w:r/>
      <w:bookmarkStart w:id="479" w:name="_Toc109995100"/>
      <w:r/>
      <w:bookmarkStart w:id="480" w:name="_Toc142312817"/>
      <w: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479"/>
      <w:r>
        <w:t xml:space="preserve">.</w:t>
      </w:r>
      <w:bookmarkEnd w:id="480"/>
      <w:r/>
      <w:r/>
    </w:p>
    <w:p>
      <w:pPr>
        <w:pStyle w:val="1340"/>
        <w:ind w:firstLine="567"/>
      </w:pPr>
      <w:r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 по территории с. Ратта приведены в электронной модели системы водоснабжения с. Ратта.</w:t>
      </w:r>
      <w:r/>
    </w:p>
    <w:p>
      <w:pPr>
        <w:pStyle w:val="1340"/>
        <w:ind w:firstLine="567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rFonts w:asciiTheme="minorHAnsi" w:hAnsiTheme="minorHAnsi"/>
        </w:rPr>
      </w:pPr>
      <w:r/>
      <w:bookmarkStart w:id="481" w:name="_Toc109995101"/>
      <w:r/>
      <w:bookmarkStart w:id="482" w:name="_Toc142312818"/>
      <w:r>
        <w:t xml:space="preserve"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481"/>
      <w:r/>
      <w:bookmarkEnd w:id="482"/>
      <w:r/>
      <w:r/>
    </w:p>
    <w:p>
      <w:pPr>
        <w:pStyle w:val="1464"/>
      </w:pPr>
      <w:r/>
      <w:r/>
    </w:p>
    <w:p>
      <w:pPr>
        <w:pStyle w:val="1075"/>
      </w:pPr>
      <w:r>
        <w:tab/>
      </w:r>
      <w:bookmarkStart w:id="483" w:name="_Toc109995102"/>
      <w:r/>
      <w:bookmarkStart w:id="484" w:name="_Toc142312819"/>
      <w: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483"/>
      <w:r>
        <w:t xml:space="preserve">.</w:t>
      </w:r>
      <w:bookmarkEnd w:id="484"/>
      <w:r/>
      <w:r/>
    </w:p>
    <w:p>
      <w:pPr>
        <w:pStyle w:val="1340"/>
        <w:rPr>
          <w:color w:val="000000"/>
        </w:rPr>
      </w:pPr>
      <w:r>
        <w:t xml:space="preserve">При реализации предлагаемого варианта развития ЦС ВС на территории </w:t>
      </w:r>
      <w:r>
        <w:br/>
        <w:t xml:space="preserve"> с. Ратта </w:t>
      </w:r>
      <w:r>
        <w:t xml:space="preserve">предусматривается мероприятие по строительству СВП, что в свою очередь предполагает наличие промывных вод. Для предотвращения сброса образуемых промывных вод от СВП предлагается вывоз промывной воды ассенизационным способом на проектируемые КОС в с. Ратта.</w:t>
      </w:r>
      <w:r/>
    </w:p>
    <w:p>
      <w:pPr>
        <w:pStyle w:val="1075"/>
      </w:pPr>
      <w:r/>
      <w:bookmarkStart w:id="485" w:name="_Toc109995103"/>
      <w:r/>
      <w:bookmarkStart w:id="486" w:name="_Toc142312820"/>
      <w:r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485"/>
      <w:r>
        <w:t xml:space="preserve">.</w:t>
      </w:r>
      <w:bookmarkEnd w:id="486"/>
      <w:r/>
      <w:r/>
    </w:p>
    <w:p>
      <w:pPr>
        <w:pStyle w:val="1340"/>
        <w:rPr>
          <w:color w:val="000000"/>
        </w:rPr>
      </w:pPr>
      <w:r>
        <w:t xml:space="preserve">При реализации предлагаемого варианта развития ЦС ХВС на территории </w:t>
      </w:r>
      <w:r>
        <w:br/>
        <w:t xml:space="preserve"> с. Ратта не предусматривается мероприятий, в которых необходимым было бы применение химических реагентов (хлора и т.п.).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</w:pPr>
      <w:r>
        <w:t xml:space="preserve"> </w:t>
      </w:r>
      <w:bookmarkStart w:id="487" w:name="_Toc109995104"/>
      <w:r/>
      <w:bookmarkStart w:id="488" w:name="_Toc142312821"/>
      <w:r>
        <w:t xml:space="preserve"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487"/>
      <w:r/>
      <w:bookmarkEnd w:id="488"/>
      <w:r/>
      <w:r/>
    </w:p>
    <w:p>
      <w:pPr>
        <w:pStyle w:val="1340"/>
      </w:pPr>
      <w:r/>
      <w:r/>
    </w:p>
    <w:p>
      <w:pPr>
        <w:pStyle w:val="1075"/>
      </w:pPr>
      <w:r>
        <w:tab/>
      </w:r>
      <w:bookmarkStart w:id="489" w:name="_Toc109995105"/>
      <w:r/>
      <w:bookmarkStart w:id="490" w:name="_Toc142312822"/>
      <w:r>
        <w:t xml:space="preserve">Оценка стоимости основных мероприятий по реализации схем водоснабжения</w:t>
      </w:r>
      <w:bookmarkEnd w:id="489"/>
      <w:r>
        <w:t xml:space="preserve">.</w:t>
      </w:r>
      <w:bookmarkEnd w:id="490"/>
      <w:r/>
      <w:r/>
    </w:p>
    <w:p>
      <w:pPr>
        <w:pStyle w:val="1340"/>
        <w:rPr>
          <w:color w:val="000000"/>
        </w:rPr>
      </w:pPr>
      <w: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водоснабжения произведена в соответствии со следующими нормативными правовыми актами:</w:t>
      </w:r>
      <w:r/>
    </w:p>
    <w:p>
      <w:pPr>
        <w:pStyle w:val="1340"/>
        <w:numPr>
          <w:ilvl w:val="0"/>
          <w:numId w:val="98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</w:t>
      </w:r>
      <w:r>
        <w:rPr>
          <w:rStyle w:val="1246"/>
        </w:rPr>
        <w:t xml:space="preserve">14-2023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водопроводных сетей в соответствии с НЦС 81-02-14-</w:t>
      </w:r>
      <w:r>
        <w:rPr>
          <w:rStyle w:val="1246"/>
        </w:rPr>
        <w:t xml:space="preserve">2023 п</w:t>
      </w:r>
      <w:r>
        <w:rPr>
          <w:szCs w:val="28"/>
        </w:rPr>
        <w:t xml:space="preserve">риняты следующие положения:</w:t>
      </w:r>
      <w:r>
        <w:rPr>
          <w:rFonts w:asciiTheme="minorHAnsi" w:hAnsiTheme="minorHAnsi"/>
          <w:szCs w:val="28"/>
        </w:rPr>
        <w:t xml:space="preserve"> 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водопроводных сетей из полиэтиленовых труб;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</w:t>
      </w:r>
      <w:r>
        <w:rPr>
          <w:rFonts w:asciiTheme="minorHAnsi" w:hAnsiTheme="minorHAnsi"/>
        </w:rPr>
        <w:t xml:space="preserve">без</w:t>
      </w:r>
      <w:r>
        <w:t xml:space="preserve"> креплени</w:t>
      </w:r>
      <w:r>
        <w:rPr>
          <w:rFonts w:asciiTheme="minorHAnsi" w:hAnsiTheme="minorHAnsi"/>
        </w:rPr>
        <w:t xml:space="preserve">й</w:t>
      </w:r>
      <w:r>
        <w:t xml:space="preserve"> (группа гру</w:t>
      </w:r>
      <w:r>
        <w:rPr>
          <w:szCs w:val="28"/>
        </w:rPr>
        <w:t xml:space="preserve">нтов 1-3, глубина – 3м);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Kпер=1,5</w:t>
      </w:r>
      <w:r>
        <w:t xml:space="preserve">5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</w:t>
      </w:r>
      <w:r>
        <w:t xml:space="preserve">98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водоснабжения в соответствии с НЦС 81-02-19-20</w:t>
      </w:r>
      <w:r>
        <w:t xml:space="preserve">23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t xml:space="preserve">,46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Kрег1=1,03;</w:t>
      </w:r>
      <w:r/>
    </w:p>
    <w:p>
      <w:pPr>
        <w:pStyle w:val="1340"/>
        <w:numPr>
          <w:ilvl w:val="0"/>
          <w:numId w:val="7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Для приведения стоимостей мероприятий от цен 20</w:t>
      </w:r>
      <w:r>
        <w:t xml:space="preserve">23</w:t>
      </w:r>
      <w:r>
        <w:t xml:space="preserve">г. к ценам лет их реализации применены определённые в соответствии Прогнозом социально-экономического развития Российской Федерации на пе</w:t>
      </w:r>
      <w:r>
        <w:t xml:space="preserve">риод до 2036 года 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1.6.1. 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bCs/>
        </w:rPr>
      </w:pPr>
      <w:r>
        <w:rPr>
          <w:b/>
          <w:bCs/>
        </w:rPr>
        <w:t xml:space="preserve">Таблица 1.6.1 – Применённые для приведения стоимостей мероприятий от цен </w:t>
      </w:r>
      <w:r>
        <w:rPr>
          <w:b/>
          <w:bCs/>
        </w:rPr>
        <w:t xml:space="preserve">202</w:t>
      </w:r>
      <w:r>
        <w:rPr>
          <w:b/>
          <w:bCs/>
        </w:rPr>
        <w:t xml:space="preserve">3</w:t>
      </w:r>
      <w:r>
        <w:rPr>
          <w:b/>
          <w:bCs/>
        </w:rPr>
        <w:t xml:space="preserve">г.</w:t>
      </w:r>
      <w:r>
        <w:rPr>
          <w:b/>
          <w:bCs/>
        </w:rPr>
        <w:t xml:space="preserve"> к ценам лет их реализации индексы-дефляторы</w:t>
      </w:r>
      <w:r/>
    </w:p>
    <w:p>
      <w:pPr>
        <w:pStyle w:val="1340"/>
        <w:jc w:val="right"/>
        <w:keepLines/>
        <w:keepNext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491" w:name="_Toc109995106"/>
      <w:r/>
      <w:bookmarkStart w:id="492" w:name="_Toc142312823"/>
      <w: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</w:t>
      </w:r>
      <w:bookmarkEnd w:id="491"/>
      <w:r>
        <w:t xml:space="preserve">.</w:t>
      </w:r>
      <w:bookmarkEnd w:id="492"/>
      <w:r/>
      <w:r/>
    </w:p>
    <w:p>
      <w:pPr>
        <w:pStyle w:val="1340"/>
        <w:rPr>
          <w:color w:val="000000"/>
        </w:rPr>
      </w:pPr>
      <w:r>
        <w:t xml:space="preserve">Оценка величины необходимых капитальных вложений в строительство и реконструкцию объек</w:t>
      </w:r>
      <w:r>
        <w:t xml:space="preserve">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</w:t>
      </w:r>
      <w:r>
        <w:t xml:space="preserve">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с. Ратта, приведена в таблице 1.6.2.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b/>
          <w:color w:val="000000"/>
        </w:rPr>
        <w:sectPr>
          <w:footerReference w:type="default" r:id="rId1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1.6.2 – Оценка величины необходимых капитальных вложений в строительство и реконструкцию объектов централизованных систем водоснабжения с предложениями по источникам финансирования по с. Ратта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356"/>
        <w:gridCol w:w="619"/>
        <w:gridCol w:w="619"/>
        <w:gridCol w:w="619"/>
        <w:gridCol w:w="618"/>
        <w:gridCol w:w="618"/>
        <w:gridCol w:w="621"/>
        <w:gridCol w:w="618"/>
        <w:gridCol w:w="618"/>
        <w:gridCol w:w="618"/>
        <w:gridCol w:w="618"/>
        <w:gridCol w:w="618"/>
        <w:gridCol w:w="621"/>
        <w:gridCol w:w="618"/>
        <w:gridCol w:w="618"/>
        <w:gridCol w:w="618"/>
        <w:gridCol w:w="543"/>
        <w:gridCol w:w="702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5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Итого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Строительство СВП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5 288,4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5 288,4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Третья очередь строительства нового участка, кольцевой водопроводной сети с. Ратта, от теплового пункта № 7-1 до теплового пункта № 7-1-4 по ул. Бурдукова для подключения потребителей к водоснабжению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2 896,1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2 896,1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Строительство водопроводных сетей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9 889,0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10 324,1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10 768,0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11 220,3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11 680,3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53 881,7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Реконструкция действующих водопроводных участков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483,7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505,0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526,7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548,8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571,3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594,1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617,9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642,6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668,3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695,1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722,9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751,8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781,8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8 110,0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(без учета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13 268,8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16 117,5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11 294,7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11 769,1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12 251,6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594,1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617,9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642,6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668,3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695,1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722,9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751,8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781,8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70 176,2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НДС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2 653,8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3 223,5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2 258,9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2 353,8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2 450,3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118,8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123,6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128,5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133,7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139,0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144,6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150,4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156,4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14 035,2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(с учетом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15 922,6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19 341,0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13 553,6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14 122,9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14 701,9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712,9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741,5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771,1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802,0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834,1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867,5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902,2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938,2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84 211,4</w:t>
            </w:r>
            <w:r/>
          </w:p>
        </w:tc>
      </w:tr>
    </w:tbl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tabs>
          <w:tab w:val="left" w:pos="992" w:leader="none"/>
        </w:tabs>
        <w:rPr>
          <w:color w:val="000000"/>
        </w:rPr>
        <w:sectPr>
          <w:footnotePr/>
          <w:endnotePr/>
          <w:type w:val="nextPage"/>
          <w:pgSz w:w="16838" w:h="11906" w:orient="landscape"/>
          <w:pgMar w:top="1134" w:right="680" w:bottom="567" w:left="1701" w:header="709" w:footer="709" w:gutter="0"/>
          <w:cols w:num="1" w:sep="0" w:space="708" w:equalWidth="1"/>
          <w:docGrid w:linePitch="360"/>
        </w:sectPr>
      </w:pPr>
      <w:r>
        <w:rPr>
          <w:color w:val="000000"/>
        </w:rPr>
      </w:r>
      <w:r/>
    </w:p>
    <w:p>
      <w:pPr>
        <w:pStyle w:val="1340"/>
        <w:tabs>
          <w:tab w:val="left" w:pos="992" w:leader="none"/>
        </w:tabs>
        <w:rPr>
          <w:rFonts w:asciiTheme="minorHAnsi" w:hAnsiTheme="minorHAnsi"/>
          <w:szCs w:val="28"/>
        </w:rPr>
      </w:pPr>
      <w:r>
        <w:rPr>
          <w:szCs w:val="28"/>
        </w:rPr>
        <w:t xml:space="preserve">Приведенн</w:t>
      </w:r>
      <w:r>
        <w:rPr>
          <w:szCs w:val="28"/>
        </w:rPr>
        <w:t xml:space="preserve">ое</w:t>
      </w:r>
      <w:r>
        <w:rPr>
          <w:szCs w:val="28"/>
        </w:rPr>
        <w:t xml:space="preserve"> в таблице выше мероприяти</w:t>
      </w:r>
      <w:r>
        <w:rPr>
          <w:rFonts w:asciiTheme="minorHAnsi" w:hAnsiTheme="minorHAnsi"/>
          <w:szCs w:val="28"/>
        </w:rPr>
        <w:t xml:space="preserve">е</w:t>
      </w:r>
      <w:r>
        <w:rPr>
          <w:szCs w:val="28"/>
        </w:rPr>
        <w:t xml:space="preserve"> по п. 2 предусматривается выполнять в рамках</w:t>
      </w:r>
      <w:r>
        <w:rPr>
          <w:rFonts w:asciiTheme="minorHAnsi" w:hAnsiTheme="minorHAnsi"/>
          <w:szCs w:val="28"/>
        </w:rPr>
        <w:t xml:space="preserve"> </w:t>
      </w:r>
      <w:r>
        <w:rPr>
          <w:rStyle w:val="1246"/>
        </w:rPr>
        <w:t xml:space="preserve">инвестиционной программы ООО</w:t>
      </w:r>
      <w:r>
        <w:rPr>
          <w:szCs w:val="28"/>
        </w:rPr>
        <w:t xml:space="preserve"> «Ямал-Энерго».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t xml:space="preserve">Для прочих мероприятий в качестве источников финансирования могут рассматриваться:</w:t>
      </w:r>
      <w:r/>
    </w:p>
    <w:p>
      <w:pPr>
        <w:pStyle w:val="1340"/>
        <w:numPr>
          <w:ilvl w:val="0"/>
          <w:numId w:val="9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б</w:t>
      </w:r>
      <w:r>
        <w:t xml:space="preserve">ю</w:t>
      </w:r>
      <w:r>
        <w:t xml:space="preserve">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340"/>
        <w:numPr>
          <w:ilvl w:val="0"/>
          <w:numId w:val="9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</w:t>
      </w:r>
      <w:r>
        <w:t xml:space="preserve">о</w:t>
      </w:r>
      <w:r>
        <w:t xml:space="preserve">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прибыли;</w:t>
      </w:r>
      <w:r/>
    </w:p>
    <w:p>
      <w:pPr>
        <w:pStyle w:val="1340"/>
        <w:numPr>
          <w:ilvl w:val="0"/>
          <w:numId w:val="99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</w:t>
      </w:r>
      <w:r>
        <w:t xml:space="preserve">р</w:t>
      </w:r>
      <w:r>
        <w:t xml:space="preserve">едства абонентов, вносимые в качестве платы за подключение перспективных объектов капитального строительства к централизованным системам водоснабжения.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493" w:name="_Toc109995107"/>
      <w:r/>
      <w:bookmarkStart w:id="494" w:name="_Toc142312824"/>
      <w:r>
        <w:t xml:space="preserve">Цены (тарифы) в сфере водоснабжения</w:t>
      </w:r>
      <w:bookmarkEnd w:id="493"/>
      <w:r/>
      <w:bookmarkEnd w:id="494"/>
      <w:r/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495" w:name="_Toc109995108"/>
      <w:r/>
      <w:bookmarkStart w:id="496" w:name="_Toc142312825"/>
      <w:r>
        <w:t xml:space="preserve">Динамика утверж</w:t>
      </w:r>
      <w:r>
        <w:t xml:space="preserve">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водоснабжения с учетом последних 3 лет</w:t>
      </w:r>
      <w:bookmarkEnd w:id="495"/>
      <w:r>
        <w:t xml:space="preserve">.</w:t>
      </w:r>
      <w:bookmarkEnd w:id="496"/>
      <w:r/>
      <w:r/>
    </w:p>
    <w:p>
      <w:pPr>
        <w:pStyle w:val="1340"/>
        <w:rPr>
          <w:color w:val="000000"/>
        </w:rPr>
      </w:pPr>
      <w:r>
        <w:t xml:space="preserve">Тарифы в сфере питьевого водоснабжения для ООО «Ямал-Энерго» установлены в соответствии с Приказом департамента тарифной политики, эн</w:t>
      </w:r>
      <w:r>
        <w:t xml:space="preserve">ергетики и жилищно-коммунального комплекса ямало-ненецкого автономного округа от 28.11.2019 № 111-т «Об установлении обществу с ограниченной ответственностью «Ямал-Энерго» тарифов на питьевую воду для расчетов с потребителями села Ратта муниципального обра</w:t>
      </w:r>
      <w:r>
        <w:t xml:space="preserve">зования Красноселькупский район, на 2019 - 2020 годы» и Приказом департамента тарифной политики, энергетики и жилищно-коммунального комплекса ямало-ненецкого автономного округа от 09.12.2020 № 111-т «Об установлении обществу с ограниченной ответственностью</w:t>
      </w:r>
      <w:r>
        <w:t xml:space="preserve"> «Ямал-Энерго» тарифов на питьевую воду для расчетов с потребителями села Ратта муниципального образования муниципальный округ Красноселькупский район Ямало-Ненецкого автономного округа и долгосрочных параметров регулирования тарифов, на 2021 - 2025 годы».</w:t>
      </w:r>
      <w:r/>
    </w:p>
    <w:p>
      <w:pPr>
        <w:pStyle w:val="1340"/>
        <w:rPr>
          <w:color w:val="000000"/>
        </w:rPr>
      </w:pPr>
      <w:r>
        <w:t xml:space="preserve">Динамика утвержденных тарифов в сфере питьевого водоснабжения для ООО «Ямал-Энерго» на территории с. Ратта на </w:t>
      </w:r>
      <w:r>
        <w:t xml:space="preserve">202</w:t>
      </w:r>
      <w:r>
        <w:t xml:space="preserve">1</w:t>
      </w:r>
      <w:r>
        <w:t xml:space="preserve">-202</w:t>
      </w:r>
      <w:r>
        <w:t xml:space="preserve">3</w:t>
      </w:r>
      <w:r>
        <w:t xml:space="preserve">гг</w:t>
      </w:r>
      <w:r>
        <w:t xml:space="preserve">. приведена в таблице 1.7.1.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b/>
          <w:color w:val="000000"/>
        </w:rPr>
      </w:pPr>
      <w:r>
        <w:rPr>
          <w:b/>
          <w:bCs/>
        </w:rPr>
        <w:t xml:space="preserve">Таблица 1.7.1 – Динамика утвержденных тарифов в сфере питьевого водоснабжения для ООО «Ямал-Энерго» на территории с. Ратта на </w:t>
      </w:r>
      <w:r>
        <w:rPr>
          <w:b/>
          <w:bCs/>
        </w:rPr>
        <w:t xml:space="preserve">202</w:t>
      </w:r>
      <w:r>
        <w:rPr>
          <w:b/>
          <w:bCs/>
        </w:rPr>
        <w:t xml:space="preserve">1</w:t>
      </w:r>
      <w:r>
        <w:rPr>
          <w:b/>
          <w:bCs/>
        </w:rPr>
        <w:t xml:space="preserve">-202</w:t>
      </w:r>
      <w:r>
        <w:rPr>
          <w:b/>
          <w:bCs/>
        </w:rPr>
        <w:t xml:space="preserve">3</w:t>
      </w:r>
      <w:r>
        <w:rPr>
          <w:b/>
          <w:bCs/>
        </w:rPr>
        <w:t xml:space="preserve">гг</w:t>
      </w:r>
      <w:r>
        <w:rPr>
          <w:b/>
          <w:bCs/>
        </w:rPr>
        <w:t xml:space="preserve">.</w:t>
      </w:r>
      <w:r/>
    </w:p>
    <w:p>
      <w:pPr>
        <w:pStyle w:val="1340"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71"/>
        <w:gridCol w:w="616"/>
        <w:gridCol w:w="3144"/>
        <w:gridCol w:w="2268"/>
        <w:gridCol w:w="1366"/>
        <w:gridCol w:w="1463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497" w:name="_Toc109995109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Год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Период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Тип потребителя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Учет НДС в тарифе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Тариф, руб./м</w:t>
            </w:r>
            <w:r>
              <w:rPr>
                <w:rFonts w:ascii="Liberation Serif" w:hAnsi="Liberation Serif"/>
                <w:color w:val="000000"/>
                <w:sz w:val="20"/>
                <w:szCs w:val="20"/>
                <w:vertAlign w:val="superscript"/>
              </w:rPr>
              <w:t xml:space="preserve">3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Население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39,16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40,49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40,49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41,86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45,62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45,62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01.01.2020 по 30.06.2020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Потребители, имеющие право на льготные тарифы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31,37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8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01.07.2020 по 31.12.2020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32,63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32,63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10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33,74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593,63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639,94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662,01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662,01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01.01.2021 по 30.06.2021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Иные потребители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593,63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16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01.07.2021 по 30.11.2021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517,48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17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01.12.2021 по 31.12.2021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593,63</w:t>
            </w:r>
            <w:r/>
          </w:p>
        </w:tc>
      </w:tr>
      <w:tr>
        <w:trPr>
          <w:trHeight w:val="212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01.01.2022 по 30.06.2022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593,63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19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01.07.2022 по 30.11.2022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639,94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01.12.2022 по 31.12.2022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662,01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 01.01.2023 по 31.12.2023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63" w:type="dxa"/>
            <w:vAlign w:val="center"/>
            <w:textDirection w:val="lrTb"/>
            <w:noWrap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662,01</w:t>
            </w:r>
            <w:r/>
          </w:p>
        </w:tc>
      </w:tr>
    </w:tbl>
    <w:p>
      <w:pPr>
        <w:pStyle w:val="1245"/>
      </w:pPr>
      <w:r/>
      <w:r/>
    </w:p>
    <w:p>
      <w:pPr>
        <w:pStyle w:val="1075"/>
      </w:pPr>
      <w:r/>
      <w:bookmarkStart w:id="498" w:name="_Toc142312826"/>
      <w:r>
        <w:t xml:space="preserve">Структура цен (тарифов), установленных на момент актуализации схемы водоснабжения</w:t>
      </w:r>
      <w:bookmarkEnd w:id="497"/>
      <w:r>
        <w:t xml:space="preserve">.</w:t>
      </w:r>
      <w:bookmarkEnd w:id="498"/>
      <w:r/>
      <w:r/>
    </w:p>
    <w:p>
      <w:pPr>
        <w:pStyle w:val="1340"/>
        <w:rPr>
          <w:color w:val="000000"/>
        </w:rPr>
      </w:pPr>
      <w:r>
        <w:t xml:space="preserve">Структура цен (тарифов) для ООО «Ямал-Энерго» </w:t>
      </w:r>
      <w:r>
        <w:t xml:space="preserve">на 202</w:t>
      </w:r>
      <w:r>
        <w:t xml:space="preserve">2</w:t>
      </w:r>
      <w:r>
        <w:t xml:space="preserve">г</w:t>
      </w:r>
      <w:r>
        <w:t xml:space="preserve">. приведена в таблице 1.7.2.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rPr>
          <w:b/>
          <w:color w:val="000000"/>
        </w:rPr>
      </w:pPr>
      <w:r>
        <w:rPr>
          <w:b/>
          <w:bCs/>
        </w:rPr>
        <w:t xml:space="preserve">Таблица 1.7.2 – Структура цен (тарифов) для ООО «Ямал-Энерго» на </w:t>
      </w:r>
      <w:r>
        <w:rPr>
          <w:b/>
          <w:bCs/>
        </w:rPr>
        <w:t xml:space="preserve">202</w:t>
      </w:r>
      <w:r>
        <w:rPr>
          <w:b/>
          <w:bCs/>
        </w:rPr>
        <w:t xml:space="preserve">2</w:t>
      </w:r>
      <w:r>
        <w:rPr>
          <w:b/>
          <w:bCs/>
        </w:rPr>
        <w:t xml:space="preserve">г</w:t>
      </w:r>
      <w:r>
        <w:rPr>
          <w:b/>
          <w:bCs/>
        </w:rPr>
        <w:t xml:space="preserve">.</w:t>
      </w:r>
      <w:r/>
    </w:p>
    <w:p>
      <w:pPr>
        <w:pStyle w:val="1340"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288"/>
        <w:gridCol w:w="5561"/>
        <w:gridCol w:w="2779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/>
            <w:bookmarkStart w:id="499" w:name="_Toc109995110"/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Значение показателя на 2022, тыс. руб.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покупаемую электрическую энергию (мощность), используемую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1 436,35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Расходы на химические реагенты, используемые в технологическом процессе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0,00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оплату труда и отчисления на социальные нужды основного производственного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681,75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оплату труда и отчисления на социальные нужды административно-управленческого персонала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72,40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амортизацию основных производственных средств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729,32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Расходы на аренду имущества, используемого для осуществления регулируемого вида деятельности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0,00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Общепроизводственные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741,54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Общехозяйственные расходы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34,70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Прочие расходы, которые подлежат отнесению на регулируемые виды деятельности, в том числе: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563,69</w:t>
            </w:r>
            <w:r/>
          </w:p>
        </w:tc>
      </w:tr>
      <w:tr>
        <w:trPr>
          <w:trHeight w:val="2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8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b/>
                <w:bCs/>
                <w:color w:val="000000" w:themeColor="text1"/>
                <w:sz w:val="20"/>
                <w:szCs w:val="20"/>
              </w:rPr>
              <w:t xml:space="preserve">Итого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4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4 259,75</w:t>
            </w:r>
            <w:r/>
          </w:p>
        </w:tc>
      </w:tr>
    </w:tbl>
    <w:p>
      <w:pPr>
        <w:pStyle w:val="1075"/>
        <w:numPr>
          <w:ilvl w:val="0"/>
          <w:numId w:val="0"/>
        </w:numPr>
        <w:ind w:left="0"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75"/>
      </w:pPr>
      <w:r/>
      <w:bookmarkStart w:id="500" w:name="_Toc142312827"/>
      <w:r>
        <w:t xml:space="preserve">Плата за подключение к системе водоснабжения и поступление денежных средств от осуществления деятельности по водоснабжению</w:t>
      </w:r>
      <w:bookmarkEnd w:id="499"/>
      <w:r>
        <w:t xml:space="preserve">.</w:t>
      </w:r>
      <w:bookmarkEnd w:id="500"/>
      <w:r/>
      <w:r/>
    </w:p>
    <w:p>
      <w:pPr>
        <w:pStyle w:val="1340"/>
        <w:rPr>
          <w:color w:val="000000"/>
        </w:rPr>
      </w:pPr>
      <w:r>
        <w:t xml:space="preserve">Плата за подключение к системе водоснабжения ООО «Ямал-Энерго» установлена в соответствии с Приказом департамента тарифной политики, энергетики и жилищно-коммунального комплекса ямало-ненецкого авто</w:t>
      </w:r>
      <w:r>
        <w:t xml:space="preserve">номного округа от 05.11.2020 № 87-т «Об установлении тарифа на подключение (технологическое присоединение) к централизованной системе холодного водоснабжения общества с ограниченной ответственностью «Ямал-Энерго», на 2020 год» и составляет 19,413тыс. руб/м</w:t>
      </w:r>
      <w:r>
        <w:rPr>
          <w:vertAlign w:val="superscript"/>
        </w:rPr>
        <w:t xml:space="preserve">3</w:t>
      </w:r>
      <w:r>
        <w:t xml:space="preserve">/сут (без НДС).</w:t>
      </w:r>
      <w:r/>
    </w:p>
    <w:p>
      <w:pPr>
        <w:pStyle w:val="1340"/>
        <w:rPr>
          <w:color w:val="000000"/>
        </w:rPr>
      </w:pPr>
      <w:r>
        <w:t xml:space="preserve">Поступление денежных средств от осуществления деятельности по питьевому водоснабжению </w:t>
      </w:r>
      <w:r>
        <w:t xml:space="preserve">за 202</w:t>
      </w:r>
      <w:r>
        <w:t xml:space="preserve">2</w:t>
      </w:r>
      <w:r>
        <w:t xml:space="preserve">г</w:t>
      </w:r>
      <w:r>
        <w:t xml:space="preserve">. составило </w:t>
      </w:r>
      <w:r>
        <w:t xml:space="preserve">4259,75</w:t>
      </w:r>
      <w:r>
        <w:t xml:space="preserve">тыс</w:t>
      </w:r>
      <w:r>
        <w:t xml:space="preserve">. руб.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01" w:name="_Toc109995111"/>
      <w:r/>
      <w:bookmarkStart w:id="502" w:name="_Toc142312828"/>
      <w:r>
        <w:t xml:space="preserve">Плановые значения показателей развития централизованных систем водоснабжения</w:t>
      </w:r>
      <w:bookmarkEnd w:id="501"/>
      <w:r/>
      <w:bookmarkEnd w:id="502"/>
      <w:r/>
      <w:r/>
    </w:p>
    <w:p>
      <w:pPr>
        <w:pStyle w:val="1464"/>
      </w:pPr>
      <w:r/>
      <w:r/>
    </w:p>
    <w:p>
      <w:pPr>
        <w:pStyle w:val="1340"/>
        <w:rPr>
          <w:color w:val="000000"/>
        </w:rPr>
      </w:pPr>
      <w:r>
        <w:t xml:space="preserve">В соответствии с пунктом 2 Перечня показателей</w:t>
      </w:r>
      <w:r>
        <w:t xml:space="preserve">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утвержденного Приказом Минстроя РФ от 04.04.2014 № 162/пр, к показателям развития ЦС ХВС относятся: 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качества воды: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доля проб питьевой воды, подаваемой с источников водоснабжения, водопровод</w:t>
      </w:r>
      <w:r>
        <w:t xml:space="preserve">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(%);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надежности и бесперебойности водоснабжения: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</w:t>
      </w:r>
      <w:r>
        <w:t xml:space="preserve">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 (ед./км);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показатели энергетической эффективности: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доля потерь воды в централизованных системах водоснабжения при транспортировке в общем объеме воды, поданной в водопроводную сеть (%);</w:t>
      </w:r>
      <w:r/>
    </w:p>
    <w:p>
      <w:pPr>
        <w:pStyle w:val="1340"/>
        <w:numPr>
          <w:ilvl w:val="0"/>
          <w:numId w:val="100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 (кВт·ч/м³).</w:t>
      </w:r>
      <w:r/>
    </w:p>
    <w:p>
      <w:pPr>
        <w:pStyle w:val="1340"/>
        <w:rPr>
          <w:color w:val="000000"/>
        </w:rPr>
      </w:pPr>
      <w:r>
        <w:t xml:space="preserve">Фактические и плановые значения показателей развития ЦС ХВС с. Ратта приведены в таблице 1.8.1.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b/>
          <w:color w:val="000000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1.8.1 – Фактические и плановые значения показателей развития ЦС ХВС с. Ратта</w:t>
      </w:r>
      <w:r/>
    </w:p>
    <w:p>
      <w:pPr>
        <w:pStyle w:val="1340"/>
      </w:pPr>
      <w:r>
        <w:t xml:space="preserve"> </w:t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56"/>
        <w:gridCol w:w="3267"/>
        <w:gridCol w:w="617"/>
        <w:gridCol w:w="1104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7"/>
        <w:gridCol w:w="557"/>
        <w:gridCol w:w="557"/>
        <w:gridCol w:w="560"/>
      </w:tblGrid>
      <w:tr>
        <w:trPr>
          <w:trHeight w:val="45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 изм.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Фактические значения</w:t>
            </w:r>
            <w:r/>
          </w:p>
        </w:tc>
        <w:tc>
          <w:tcPr>
            <w:gridSpan w:val="16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9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Плановые значения</w:t>
            </w:r>
            <w:r/>
          </w:p>
        </w:tc>
      </w:tr>
      <w:tr>
        <w:trPr>
          <w:trHeight w:val="67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2038г.</w:t>
            </w:r>
            <w:r/>
          </w:p>
        </w:tc>
      </w:tr>
      <w:tr>
        <w:trPr>
          <w:trHeight w:val="30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воды, подаваемой с источников водоснабжения, водоп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надежности и бесперебойности водоснабжения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ед./км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Показатели энергетической эффективности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Доля потерь воды в централизованных системах водоснабжения при транспортировке в общем объеме воды, поданной в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3,57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Удельный расход электрической энергии, потребляемой в технологическом процессе подготовки и транспортировки воды, на единицу объема воды, подаваемой в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кВт·ч/м³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6,99</w:t>
            </w:r>
            <w:r/>
          </w:p>
        </w:tc>
      </w:tr>
    </w:tbl>
    <w:p>
      <w:pPr>
        <w:pStyle w:val="1340"/>
        <w:sectPr>
          <w:footnotePr/>
          <w:endnotePr/>
          <w:type w:val="nextPage"/>
          <w:pgSz w:w="16838" w:h="11906" w:orient="landscape"/>
          <w:pgMar w:top="1134" w:right="680" w:bottom="567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1075"/>
      </w:pPr>
      <w:r/>
      <w:bookmarkStart w:id="503" w:name="_Toc109995112"/>
      <w:r/>
      <w:bookmarkStart w:id="504" w:name="_Toc142312829"/>
      <w:r>
        <w:t xml:space="preserve">Показатели качества воды</w:t>
      </w:r>
      <w:bookmarkEnd w:id="503"/>
      <w:r>
        <w:t xml:space="preserve">.</w:t>
      </w:r>
      <w:bookmarkEnd w:id="504"/>
      <w:r/>
      <w:r/>
    </w:p>
    <w:p>
      <w:pPr>
        <w:pStyle w:val="1340"/>
        <w:rPr>
          <w:color w:val="000000"/>
        </w:rPr>
      </w:pPr>
      <w:r>
        <w:t xml:space="preserve">Показатели качества воды по ЦС ХВС с. Ратта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Раздела 1.8</w:t>
        </w:r>
      </w:hyperlink>
      <w:r>
        <w:t xml:space="preserve">.</w:t>
      </w:r>
      <w:r/>
    </w:p>
    <w:p>
      <w:pPr>
        <w:pStyle w:val="1075"/>
      </w:pPr>
      <w:r/>
      <w:bookmarkStart w:id="505" w:name="_Toc109995113"/>
      <w:r/>
      <w:bookmarkStart w:id="506" w:name="_Toc142312830"/>
      <w:r>
        <w:t xml:space="preserve">Показатели надежности и бесперебойности водоснабжения</w:t>
      </w:r>
      <w:bookmarkEnd w:id="505"/>
      <w:r>
        <w:t xml:space="preserve">.</w:t>
      </w:r>
      <w:bookmarkEnd w:id="506"/>
      <w:r/>
      <w:r/>
    </w:p>
    <w:p>
      <w:pPr>
        <w:pStyle w:val="1340"/>
        <w:rPr>
          <w:color w:val="000000"/>
        </w:rPr>
      </w:pPr>
      <w:r>
        <w:t xml:space="preserve">Показатели надежности и бесперебойности водоснабжения по ЦС ХВС </w:t>
      </w:r>
      <w:r>
        <w:br/>
        <w:t xml:space="preserve"> с. Ратта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Раздела 1.8</w:t>
        </w:r>
      </w:hyperlink>
      <w:r>
        <w:t xml:space="preserve">.</w:t>
      </w:r>
      <w:r/>
    </w:p>
    <w:p>
      <w:pPr>
        <w:pStyle w:val="1075"/>
      </w:pPr>
      <w:r/>
      <w:bookmarkStart w:id="507" w:name="_Toc109995114"/>
      <w:r/>
      <w:bookmarkStart w:id="508" w:name="_Toc142312831"/>
      <w:r>
        <w:t xml:space="preserve">Показатели эффективности использования ресурсов, в том числе уровень потерь воды (тепловой энергии в составе горячей воды)</w:t>
      </w:r>
      <w:bookmarkEnd w:id="507"/>
      <w:r>
        <w:t xml:space="preserve">.</w:t>
      </w:r>
      <w:bookmarkEnd w:id="508"/>
      <w:r/>
      <w:r/>
    </w:p>
    <w:p>
      <w:pPr>
        <w:pStyle w:val="1340"/>
        <w:rPr>
          <w:color w:val="000000"/>
        </w:rPr>
      </w:pPr>
      <w:r>
        <w:t xml:space="preserve">Показатели эффективности использования ресурсов, в том числе уровень потерь воды (тепловой энергии в составе горячей воды) по ЦС ХВС с. Ратта приведены выше в начале </w:t>
      </w:r>
      <w:hyperlink w:tooltip="#_Плановые_значения_показателей_4" w:anchor="_Плановые_значения_показателей_4" w:history="1">
        <w:r>
          <w:rPr>
            <w:rStyle w:val="1267"/>
            <w:rFonts w:eastAsia="Arial"/>
            <w:color w:val="000000" w:themeColor="text1"/>
            <w:u w:val="none"/>
          </w:rPr>
          <w:t xml:space="preserve">Раздела 1.8.</w:t>
        </w:r>
      </w:hyperlink>
      <w:r/>
      <w:r/>
    </w:p>
    <w:p>
      <w:pPr>
        <w:pStyle w:val="1075"/>
      </w:pPr>
      <w:r/>
      <w:bookmarkStart w:id="509" w:name="_Toc109995115"/>
      <w:r/>
      <w:bookmarkStart w:id="510" w:name="_Toc142312832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509"/>
      <w:r>
        <w:t xml:space="preserve">.</w:t>
      </w:r>
      <w:bookmarkEnd w:id="510"/>
      <w:r/>
      <w:r/>
    </w:p>
    <w:p>
      <w:pPr>
        <w:pStyle w:val="1340"/>
        <w:rPr>
          <w:color w:val="000000"/>
        </w:rPr>
      </w:pPr>
      <w:r>
        <w:t xml:space="preserve">Федеральным органом исполнительной власти, осуществляющим функции по выработке госуда</w:t>
      </w:r>
      <w:r>
        <w:t xml:space="preserve">рственной политики и нормативно-правовому регулированию в сфере жилищно-коммунального хозяйства, иные показатели функционирования в сфере централизованного водоснабжения на момент настоящей актуализации Схемы ВСиВО Красноселькупского района не установлены.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11" w:name="_Toc109995116"/>
      <w:r/>
      <w:bookmarkStart w:id="512" w:name="_Toc142312833"/>
      <w:r>
        <w:t xml:space="preserve"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511"/>
      <w:r/>
      <w:bookmarkEnd w:id="512"/>
      <w:r/>
      <w:r/>
    </w:p>
    <w:p>
      <w:pPr>
        <w:pStyle w:val="1464"/>
      </w:pPr>
      <w:r/>
      <w:r/>
    </w:p>
    <w:p>
      <w:pPr>
        <w:pStyle w:val="1075"/>
      </w:pPr>
      <w:r/>
      <w:bookmarkStart w:id="513" w:name="_Toc109995117"/>
      <w:r/>
      <w:bookmarkStart w:id="514" w:name="_Toc142312834"/>
      <w:r>
        <w:t xml:space="preserve">Перечень выявленных бесхозяйных объектов централизованных систем водоснабжения</w:t>
      </w:r>
      <w:bookmarkEnd w:id="513"/>
      <w:r>
        <w:t xml:space="preserve">.</w:t>
      </w:r>
      <w:bookmarkEnd w:id="514"/>
      <w:r/>
      <w:r/>
    </w:p>
    <w:p>
      <w:pPr>
        <w:pStyle w:val="1245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 w:themeColor="text1"/>
        </w:rPr>
        <w:t xml:space="preserve">Бесхозяйные объекты централизованных систем водоснабжения на территории с. Ратта </w:t>
      </w:r>
      <w:r>
        <w:rPr>
          <w:rFonts w:eastAsia="Liberation Serif" w:cs="Liberation Serif"/>
          <w:color w:val="000000"/>
        </w:rPr>
        <w:t xml:space="preserve">не выявлены.</w:t>
      </w:r>
      <w:r/>
    </w:p>
    <w:p>
      <w:pPr>
        <w:pStyle w:val="1075"/>
      </w:pPr>
      <w:r/>
      <w:bookmarkStart w:id="515" w:name="_Toc109995118"/>
      <w:r/>
      <w:bookmarkStart w:id="516" w:name="_Toc142312835"/>
      <w:r>
        <w:t xml:space="preserve">Перечень организаций, уполномоченных на эксплуатацию выявленных бесхозяйных объектов централизованных систем водоснабжения </w:t>
      </w:r>
      <w:r>
        <w:rPr>
          <w:rFonts w:cs="Liberation Serif"/>
        </w:rPr>
        <w:t xml:space="preserve">на территории с. Ратта</w:t>
      </w:r>
      <w:r>
        <w:t xml:space="preserve">.</w:t>
      </w:r>
      <w:bookmarkEnd w:id="515"/>
      <w:r/>
      <w:bookmarkEnd w:id="516"/>
      <w:r/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t xml:space="preserve">В соответствии с ФЗ РФ от 07.12.2011 № 416-ФЗ по вопросам эксплуатации бесхозяйных объектов определено следующее:</w:t>
      </w:r>
      <w:r/>
    </w:p>
    <w:p>
      <w:pPr>
        <w:pStyle w:val="1340"/>
        <w:numPr>
          <w:ilvl w:val="0"/>
          <w:numId w:val="101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t xml:space="preserve">пункт 5 статьи 8 главы 3: «В случае выявления бесхозяйных объектов централизованных систем горячего водоснабжения, холодного водоснабжения и (или) водоотведения, в том</w:t>
      </w:r>
      <w:r>
        <w:t xml:space="preserve"> числе водопроводных и канализационных сетей, путём эксплуатации которых обеспечиваются водоснабжение и (или) водоотведение, эксплуатация таких объектов осуществляется гарантирующей организацией либо организацией, которая осуществляет горячее водоснабжение</w:t>
      </w:r>
      <w:r>
        <w:t xml:space="preserve">, холодное водоснабжение и (или) водоотведение и водопроводные и (или) 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</w:t>
      </w:r>
      <w:r>
        <w:t xml:space="preserve">случае, если гарантирующая организация не определена в соответствии со статьёй 12 настоящего Федерального закона), со дня подписания с органом местного самоуправления поселен</w:t>
      </w:r>
      <w:r>
        <w:t xml:space="preserve">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законодательством»;</w:t>
      </w:r>
      <w:r/>
    </w:p>
    <w:p>
      <w:pPr>
        <w:pStyle w:val="1340"/>
        <w:numPr>
          <w:ilvl w:val="0"/>
          <w:numId w:val="101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t xml:space="preserve">пункт 6 статьи 8 главы 3: «Расходы организации, осуществляющей горячее водоснабжение, холодное водоснабжение и (или) водоотведение, на эксплуатацию бесхозяйных объектов централизованных систем горячего водоснабжения,</w:t>
      </w:r>
      <w:r>
        <w:t xml:space="preserve"> холодного водоснабжения и (или)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утверждёнными Правительством Российской Федерации»;</w:t>
      </w:r>
      <w:r/>
    </w:p>
    <w:p>
      <w:pPr>
        <w:pStyle w:val="1340"/>
        <w:numPr>
          <w:ilvl w:val="0"/>
          <w:numId w:val="101"/>
        </w:numPr>
        <w:ind w:left="0" w:firstLine="709"/>
        <w:tabs>
          <w:tab w:val="clear" w:pos="720" w:leader="none"/>
          <w:tab w:val="left" w:pos="850" w:leader="none"/>
        </w:tabs>
        <w:rPr>
          <w:color w:val="000000"/>
        </w:rPr>
      </w:pPr>
      <w:r>
        <w:t xml:space="preserve">пункт 7 статьи 8 главы 3: «В случае, если снижение качества воды происходит на бесхозяйных объектах централизованных систем горячего водоснабжения, холодного водоснабжения, организация, которая осуществляет горячее водос</w:t>
      </w:r>
      <w:r>
        <w:t xml:space="preserve">набжение, холодное водоснабжение и эксплуатирует такие бесхозяйные объекты, обязана не позднее чем через два года со дня передачи в эксплуатацию этих объектов обеспечить водоснабжение с использованием таких объектов в соответствии с законодательством Росси</w:t>
      </w:r>
      <w:r>
        <w:t xml:space="preserve">йской Федерации, устанавливающим требования к качеству горячей воды, питьевой воды, если меньший срок не установлен утверждёнными в соответствии с настоящим Федеральным законом планами мероприятий по приведению качества горячей воды, питьевой воды в соотве</w:t>
      </w:r>
      <w:r>
        <w:t xml:space="preserve">тствие с установленными требованиями. На указанный срок допускается несоответствие качества подаваемой горячей воды, питьевой воды установленным требованиям, за исключением показателей качества горячей воды, питьевой воды, характеризующих её безопасность».</w:t>
      </w:r>
      <w:r/>
    </w:p>
    <w:p>
      <w:pPr>
        <w:pStyle w:val="1340"/>
        <w:tabs>
          <w:tab w:val="left" w:pos="850" w:leader="none"/>
        </w:tabs>
        <w:rPr>
          <w:color w:val="000000"/>
        </w:rPr>
      </w:pPr>
      <w:r>
        <w:t xml:space="preserve">В случае выявления бесхозяйных объектов централизованных систем водоснабжения организацией, уполномоченной на эксплуатацию бесхозяйных объектов водоснабжения, будет назначена ООО «Ямал-Энерго».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3"/>
        <w:rPr>
          <w:color w:val="000000"/>
        </w:rPr>
      </w:pPr>
      <w:r/>
      <w:bookmarkStart w:id="517" w:name="_Toc142312836"/>
      <w:r/>
      <w:bookmarkStart w:id="518" w:name="_Toc109995119"/>
      <w:r>
        <w:t xml:space="preserve">Схема водоотведения</w:t>
      </w:r>
      <w:bookmarkEnd w:id="517"/>
      <w:r/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19" w:name="_Toc109995120"/>
      <w:r/>
      <w:bookmarkStart w:id="520" w:name="_Toc142312837"/>
      <w:r/>
      <w:bookmarkEnd w:id="518"/>
      <w:r>
        <w:t xml:space="preserve">Существующее положение в сфере водоотведения</w:t>
      </w:r>
      <w:bookmarkEnd w:id="519"/>
      <w:r/>
      <w:bookmarkEnd w:id="520"/>
      <w:r/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521" w:name="_Toc109995121"/>
      <w:r/>
      <w:bookmarkStart w:id="522" w:name="_Toc142312838"/>
      <w:r>
        <w:t xml:space="preserve">Описание структуры системы сбора, очистки и отведения сточных вод на территории населенного пункта на эксплуатационные зоны</w:t>
      </w:r>
      <w:bookmarkEnd w:id="521"/>
      <w:r>
        <w:t xml:space="preserve">.</w:t>
      </w:r>
      <w:bookmarkEnd w:id="522"/>
      <w:r/>
      <w:r/>
    </w:p>
    <w:p>
      <w:pPr>
        <w:pStyle w:val="1340"/>
      </w:pPr>
      <w:r>
        <w:t xml:space="preserve">В с. Ратта отсутствует ЦС ВО, сбор жидких бытовых отходов в существующих жилых домах и отдельно стоящих зданиях различной формы собственности и назнач</w:t>
      </w:r>
      <w:r>
        <w:t xml:space="preserve">ения (общественные здания, магазины, предприятия сферы индивидуального предпринимательства и т.п.) в автономные системы канализации – септики. Далее жидкие бытовые отходы откачиваются спецтехникой, принадлежащей предприятиям частной формы собственности, и </w:t>
      </w:r>
      <w:r>
        <w:t xml:space="preserve">вывозятся на территорию свалки твердых бытовых отходов для слива в специально отведенное место, указанное Администрацией с. Ратта.</w:t>
      </w:r>
      <w:r/>
    </w:p>
    <w:p>
      <w:pPr>
        <w:pStyle w:val="1340"/>
        <w:rPr>
          <w:color w:val="000000"/>
        </w:rPr>
      </w:pPr>
      <w:r>
        <w:rPr>
          <w:szCs w:val="28"/>
        </w:rPr>
        <w:t xml:space="preserve">Общее количество установленных септиков в с. Толька </w:t>
      </w:r>
      <w:r>
        <w:t xml:space="preserve">составляет </w:t>
      </w:r>
      <w:r>
        <w:t xml:space="preserve">34</w:t>
      </w:r>
      <w:r>
        <w:rPr>
          <w:szCs w:val="28"/>
        </w:rPr>
        <w:t xml:space="preserve">шт.</w:t>
      </w:r>
      <w:r/>
    </w:p>
    <w:p>
      <w:pPr>
        <w:pStyle w:val="1075"/>
      </w:pPr>
      <w:r/>
      <w:bookmarkStart w:id="523" w:name="_Toc109995122"/>
      <w:r/>
      <w:bookmarkStart w:id="524" w:name="_Toc142312839"/>
      <w:r>
        <w:t xml:space="preserve"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</w:t>
      </w:r>
      <w:r>
        <w:t xml:space="preserve">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523"/>
      <w:r>
        <w:t xml:space="preserve">.</w:t>
      </w:r>
      <w:bookmarkEnd w:id="524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25" w:name="_Toc109995123"/>
      <w:r/>
      <w:bookmarkStart w:id="526" w:name="_Toc142312840"/>
      <w:r>
        <w:t xml:space="preserve">Описание технологических</w:t>
      </w:r>
      <w:r>
        <w:t xml:space="preserve">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525"/>
      <w:r>
        <w:t xml:space="preserve">.</w:t>
      </w:r>
      <w:bookmarkEnd w:id="52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27" w:name="_Toc109995124"/>
      <w:r/>
      <w:bookmarkStart w:id="528" w:name="_Toc142312841"/>
      <w:r>
        <w:t xml:space="preserve"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527"/>
      <w:r>
        <w:t xml:space="preserve">.</w:t>
      </w:r>
      <w:bookmarkEnd w:id="528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29" w:name="_Toc109995125"/>
      <w:r/>
      <w:bookmarkStart w:id="530" w:name="_Toc142312842"/>
      <w:r>
        <w:t xml:space="preserve"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529"/>
      <w:r>
        <w:t xml:space="preserve">.</w:t>
      </w:r>
      <w:bookmarkEnd w:id="530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31" w:name="_Toc109995126"/>
      <w:r/>
      <w:bookmarkStart w:id="532" w:name="_Toc142312843"/>
      <w:r>
        <w:t xml:space="preserve">Оценка безопасности и надежности объектов централизованной системы водоотведения и их управляемости</w:t>
      </w:r>
      <w:bookmarkEnd w:id="531"/>
      <w:r>
        <w:t xml:space="preserve">.</w:t>
      </w:r>
      <w:bookmarkEnd w:id="532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33" w:name="_Toc109995127"/>
      <w:r/>
      <w:bookmarkStart w:id="534" w:name="_Toc142312844"/>
      <w:r>
        <w:t xml:space="preserve">Оценка воздействия сбросов сточных вод через централизованную систему водоотведения на окружающую среду</w:t>
      </w:r>
      <w:bookmarkEnd w:id="533"/>
      <w:r>
        <w:t xml:space="preserve">.</w:t>
      </w:r>
      <w:bookmarkEnd w:id="534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35" w:name="_Toc109995128"/>
      <w:r/>
      <w:bookmarkStart w:id="536" w:name="_Toc142312845"/>
      <w:r>
        <w:t xml:space="preserve">Описание территорий муниципального образования, не охваченных централизованной системой водоотведения</w:t>
      </w:r>
      <w:bookmarkEnd w:id="535"/>
      <w:r>
        <w:t xml:space="preserve">.</w:t>
      </w:r>
      <w:bookmarkEnd w:id="53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37" w:name="_Toc109995129"/>
      <w:r/>
      <w:bookmarkStart w:id="538" w:name="_Toc142312846"/>
      <w:r>
        <w:t xml:space="preserve">Описание существующих технических и технологических проблем системы водоотведения населенного пункта</w:t>
      </w:r>
      <w:bookmarkEnd w:id="537"/>
      <w:r>
        <w:t xml:space="preserve">.</w:t>
      </w:r>
      <w:bookmarkEnd w:id="538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39" w:name="_Toc109995130"/>
      <w:r/>
      <w:bookmarkStart w:id="540" w:name="_Toc142312847"/>
      <w:r>
        <w:t xml:space="preserve">Сведения об отнесении централизованной системы водоотведения (канализации) к централизо</w:t>
      </w:r>
      <w:r>
        <w:t xml:space="preserve">ванным системам водоотведения населенного пункта, включающие перечень и описание централизованных систем водоотведения (канализации), отнесенных к централизованным системам водоотведения населенного пункта, а также информацию об очистных сооружениях (при и</w:t>
      </w:r>
      <w:r>
        <w:t xml:space="preserve">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539"/>
      <w:r>
        <w:t xml:space="preserve">.</w:t>
      </w:r>
      <w:bookmarkEnd w:id="540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41" w:name="_Toc109995131"/>
      <w:r/>
      <w:bookmarkStart w:id="542" w:name="_Toc142312848"/>
      <w:r>
        <w:t xml:space="preserve">Балансы сточных вод в системе водоотведения</w:t>
      </w:r>
      <w:bookmarkEnd w:id="541"/>
      <w:r/>
      <w:bookmarkEnd w:id="542"/>
      <w:r/>
      <w:r/>
    </w:p>
    <w:p>
      <w:pPr>
        <w:pStyle w:val="1340"/>
        <w:jc w:val="center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543" w:name="_Toc109995132"/>
      <w:r/>
      <w:bookmarkStart w:id="544" w:name="_Toc142312849"/>
      <w:r>
        <w:t xml:space="preserve">Баланс поступления сточных вод в централизованную систему водоотведения и отведения стоков по технологическим зонам водоотведения.</w:t>
      </w:r>
      <w:bookmarkEnd w:id="543"/>
      <w:r/>
      <w:bookmarkEnd w:id="544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45" w:name="_Toc109995133"/>
      <w:r/>
      <w:bookmarkStart w:id="546" w:name="_Toc142312850"/>
      <w:r>
        <w:t xml:space="preserve">Оценка 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545"/>
      <w:r>
        <w:t xml:space="preserve">.</w:t>
      </w:r>
      <w:bookmarkEnd w:id="54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47" w:name="_Toc109995134"/>
      <w:r/>
      <w:bookmarkStart w:id="548" w:name="_Toc142312851"/>
      <w:r>
        <w:t xml:space="preserve"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547"/>
      <w:r>
        <w:t xml:space="preserve">.</w:t>
      </w:r>
      <w:bookmarkEnd w:id="548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49" w:name="_Toc109995135"/>
      <w:r/>
      <w:bookmarkStart w:id="550" w:name="_Toc142312852"/>
      <w:r>
        <w:t xml:space="preserve">Р</w:t>
      </w:r>
      <w:r>
        <w:t xml:space="preserve"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населенному пункту с выделением зон дефицитов и резервов производственных мощностей</w:t>
      </w:r>
      <w:bookmarkEnd w:id="549"/>
      <w:r>
        <w:t xml:space="preserve">.</w:t>
      </w:r>
      <w:bookmarkEnd w:id="550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51" w:name="_Toc109995136"/>
      <w:r/>
      <w:bookmarkStart w:id="552" w:name="_Toc142312853"/>
      <w: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</w:t>
      </w:r>
      <w:r>
        <w:t xml:space="preserve">8</w:t>
      </w:r>
      <w:r>
        <w:t xml:space="preserve"> года с учетом различных сценариев развития населенного пункта</w:t>
      </w:r>
      <w:bookmarkEnd w:id="551"/>
      <w:r>
        <w:t xml:space="preserve">.</w:t>
      </w:r>
      <w:bookmarkEnd w:id="552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53" w:name="_Toc109995137"/>
      <w:r/>
      <w:bookmarkStart w:id="554" w:name="_Toc142312854"/>
      <w:r>
        <w:t xml:space="preserve">Прогноз объема сточных вод</w:t>
      </w:r>
      <w:bookmarkEnd w:id="553"/>
      <w:r/>
      <w:bookmarkEnd w:id="554"/>
      <w:r/>
      <w:r/>
    </w:p>
    <w:p>
      <w:pPr>
        <w:pStyle w:val="1464"/>
      </w:pPr>
      <w:r/>
      <w:r/>
    </w:p>
    <w:p>
      <w:pPr>
        <w:pStyle w:val="1075"/>
      </w:pPr>
      <w:r/>
      <w:bookmarkStart w:id="555" w:name="_Toc109995138"/>
      <w:r/>
      <w:bookmarkStart w:id="556" w:name="_Toc142312855"/>
      <w:r>
        <w:t xml:space="preserve">Сведения о фактическом и ожидаемом поступлении сточных вод в централизованную систему водоотведения</w:t>
      </w:r>
      <w:bookmarkEnd w:id="555"/>
      <w:r>
        <w:t xml:space="preserve">.</w:t>
      </w:r>
      <w:bookmarkEnd w:id="55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57" w:name="_Toc109995139"/>
      <w:r/>
      <w:bookmarkStart w:id="558" w:name="_Toc142312856"/>
      <w:r>
        <w:t xml:space="preserve">Описание структуры централизованной системы водоотведения (эксплуатационные и технологические зоны)</w:t>
      </w:r>
      <w:bookmarkEnd w:id="557"/>
      <w:r>
        <w:t xml:space="preserve">.</w:t>
      </w:r>
      <w:bookmarkEnd w:id="558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59" w:name="_Toc109995140"/>
      <w:r/>
      <w:bookmarkStart w:id="560" w:name="_Toc142312857"/>
      <w:r>
        <w:t xml:space="preserve"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  <w:bookmarkEnd w:id="559"/>
      <w:r>
        <w:t xml:space="preserve">.</w:t>
      </w:r>
      <w:bookmarkEnd w:id="560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61" w:name="_Toc109995141"/>
      <w:r/>
      <w:bookmarkStart w:id="562" w:name="_Toc142312858"/>
      <w:r>
        <w:t xml:space="preserve">Результаты анализа гидравлических режимов и режимов работы элементов централизованной системы водоотведения</w:t>
      </w:r>
      <w:bookmarkEnd w:id="561"/>
      <w:r>
        <w:t xml:space="preserve">.</w:t>
      </w:r>
      <w:bookmarkEnd w:id="562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63" w:name="_Toc109995142"/>
      <w:r/>
      <w:bookmarkStart w:id="564" w:name="_Toc142312859"/>
      <w:r>
        <w:t xml:space="preserve">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563"/>
      <w:r>
        <w:t xml:space="preserve">.</w:t>
      </w:r>
      <w:bookmarkEnd w:id="564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65" w:name="_Toc109995143"/>
      <w:r/>
      <w:bookmarkStart w:id="566" w:name="_Toc142312860"/>
      <w:r>
        <w:t xml:space="preserve"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565"/>
      <w:r/>
      <w:bookmarkEnd w:id="566"/>
      <w:r/>
      <w:r/>
    </w:p>
    <w:p>
      <w:pPr>
        <w:pStyle w:val="1340"/>
        <w:jc w:val="center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567" w:name="_Toc109995144"/>
      <w:r/>
      <w:bookmarkStart w:id="568" w:name="_Toc142312861"/>
      <w:r>
        <w:t xml:space="preserve">Основные направления, принципы, задачи и плановые значения показателей развития централизованной системы водоотведения</w:t>
      </w:r>
      <w:bookmarkEnd w:id="567"/>
      <w:r>
        <w:t xml:space="preserve">.</w:t>
      </w:r>
      <w:bookmarkEnd w:id="568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69" w:name="_Toc109995145"/>
      <w:r/>
      <w:bookmarkStart w:id="570" w:name="_Toc142312862"/>
      <w:r>
        <w:t xml:space="preserve"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569"/>
      <w:r>
        <w:t xml:space="preserve">.</w:t>
      </w:r>
      <w:bookmarkEnd w:id="570"/>
      <w:r/>
      <w:r/>
    </w:p>
    <w:p>
      <w:pPr>
        <w:pStyle w:val="1340"/>
        <w:rPr>
          <w:color w:val="000000"/>
        </w:rPr>
      </w:pPr>
      <w:r>
        <w:t xml:space="preserve">Перечень основных мероприятий по реализации Схемы водоотведения </w:t>
      </w:r>
      <w:r>
        <w:br/>
        <w:t xml:space="preserve"> с. Ратта с разбивкой по годам, включая технические обоснования этих мероприятий, приведен в таблице 2.4.1.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2.4.1 – Перечень основных мероприятий по реализации Схемы водоотведения с. Ратта с разбивкой по годам, включая технические обоснования этих мероприятий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014"/>
        <w:gridCol w:w="6000"/>
        <w:gridCol w:w="1307"/>
        <w:gridCol w:w="1307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571" w:name="_Toc109995146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Период реализации, гг.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начало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конец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16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сбросного коллектора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2028</w:t>
            </w:r>
            <w:r/>
          </w:p>
        </w:tc>
      </w:tr>
    </w:tbl>
    <w:p>
      <w:pPr>
        <w:pStyle w:val="1245"/>
      </w:pPr>
      <w:r/>
      <w:r/>
    </w:p>
    <w:p>
      <w:pPr>
        <w:pStyle w:val="1075"/>
      </w:pPr>
      <w:r/>
      <w:bookmarkStart w:id="572" w:name="_Toc142312863"/>
      <w:r>
        <w:t xml:space="preserve">Технические обоснования основных мероприятий по реализации схем водоотведения</w:t>
      </w:r>
      <w:bookmarkEnd w:id="571"/>
      <w:r>
        <w:t xml:space="preserve">.</w:t>
      </w:r>
      <w:bookmarkEnd w:id="572"/>
      <w:r/>
      <w:r/>
    </w:p>
    <w:p>
      <w:pPr>
        <w:pStyle w:val="1340"/>
        <w:rPr>
          <w:color w:val="000000"/>
        </w:rPr>
      </w:pPr>
      <w:r>
        <w:t xml:space="preserve">Технические обоснования основных мероприятий по реализации Схемы водоотведения с. Ратта приведены в таблице 2.4.2.</w:t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2.4.2 – Технические обоснования основных мероприятий по реализации Схемы водоотведения с. Ратта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914"/>
        <w:gridCol w:w="5417"/>
        <w:gridCol w:w="3297"/>
      </w:tblGrid>
      <w:tr>
        <w:trPr>
          <w:trHeight w:val="517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573" w:name="_Toc109995147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Техническое обоснование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Сокращение сбросов и организация возврата очищенных сточных вод на технические нужды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сбросного коллектора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13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Сокращение сбросов и организация возврата очищенных сточных вод на технические нужды</w:t>
            </w:r>
            <w:r/>
          </w:p>
        </w:tc>
      </w:tr>
    </w:tbl>
    <w:p>
      <w:pPr>
        <w:pStyle w:val="1245"/>
      </w:pPr>
      <w:r/>
      <w:r/>
    </w:p>
    <w:p>
      <w:pPr>
        <w:pStyle w:val="1075"/>
      </w:pPr>
      <w:r/>
      <w:bookmarkStart w:id="574" w:name="_Toc142312864"/>
      <w:r>
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водоотведения.</w:t>
      </w:r>
      <w:bookmarkEnd w:id="573"/>
      <w:r/>
      <w:bookmarkEnd w:id="574"/>
      <w:r/>
      <w:r/>
    </w:p>
    <w:p>
      <w:pPr>
        <w:pStyle w:val="1340"/>
        <w:rPr>
          <w:color w:val="000000"/>
        </w:rPr>
      </w:pPr>
      <w:r>
        <w:t xml:space="preserve">Сведения о вновь строящихся, реконструируемых и предлагаемых к выводу из эксплуатации объектах ЦС ВО с. Ратта приведены в таблице 2.4.3.</w:t>
      </w:r>
      <w:r/>
    </w:p>
    <w:p>
      <w:pPr>
        <w:pStyle w:val="1340"/>
        <w:keepLines/>
        <w:keepNext/>
        <w:rPr>
          <w:color w:val="000000"/>
        </w:rPr>
      </w:pPr>
      <w:r>
        <w:rPr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2.4.3 – Сведения о вновь строящихся, реконструируемых и предлагаемых к выводу из эксплуатации объектах ЦС ВО с. Ратта</w:t>
      </w:r>
      <w:r/>
    </w:p>
    <w:p>
      <w:pPr>
        <w:pStyle w:val="1340"/>
        <w:keepLines/>
        <w:keepNext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692"/>
        <w:gridCol w:w="4103"/>
        <w:gridCol w:w="967"/>
        <w:gridCol w:w="967"/>
        <w:gridCol w:w="967"/>
        <w:gridCol w:w="967"/>
        <w:gridCol w:w="965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/>
            <w:bookmarkStart w:id="575" w:name="_Toc109995148"/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Наименование мероприятия</w:t>
            </w:r>
            <w:r/>
          </w:p>
        </w:tc>
        <w:tc>
          <w:tcPr>
            <w:gridSpan w:val="5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Основные технические характеристики объекта по результатам реализации мероприятия</w:t>
            </w:r>
            <w:r/>
          </w:p>
        </w:tc>
      </w:tr>
      <w:tr>
        <w:trPr>
          <w:trHeight w:val="22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0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канализационные сети</w:t>
            </w:r>
            <w:r/>
          </w:p>
        </w:tc>
        <w:tc>
          <w:tcPr>
            <w:gridSpan w:val="3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0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прочие объекты</w:t>
            </w:r>
            <w:r/>
          </w:p>
        </w:tc>
      </w:tr>
      <w:tr>
        <w:trPr>
          <w:trHeight w:val="105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L, 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Dу, мм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КОС, м³/сут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КНС, м³/ч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иное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7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КОС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31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 w:themeColor="text1"/>
                <w:sz w:val="20"/>
                <w:szCs w:val="20"/>
              </w:rPr>
              <w:t xml:space="preserve">Строительство сбросного коллектора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1200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  <w:lang w:val="en-US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Calibri"/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1245"/>
      </w:pPr>
      <w:r/>
      <w:r/>
    </w:p>
    <w:p>
      <w:pPr>
        <w:pStyle w:val="1075"/>
      </w:pPr>
      <w:r/>
      <w:bookmarkStart w:id="576" w:name="_Toc142312865"/>
      <w: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575"/>
      <w:r>
        <w:t xml:space="preserve">.</w:t>
      </w:r>
      <w:bookmarkEnd w:id="57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77" w:name="_Toc109995149"/>
      <w:r/>
      <w:bookmarkStart w:id="578" w:name="_Toc142312866"/>
      <w:r>
        <w:t xml:space="preserve">Описание вариантов маршрутов прохождения трубопроводов (трасс) на территории населенного пункта, расположения намечаемых площадок под строительство сооружений водоотведения и их обоснование</w:t>
      </w:r>
      <w:bookmarkEnd w:id="577"/>
      <w:r>
        <w:t xml:space="preserve">.</w:t>
      </w:r>
      <w:bookmarkEnd w:id="578"/>
      <w:r/>
      <w:r/>
    </w:p>
    <w:p>
      <w:pPr>
        <w:pStyle w:val="1340"/>
        <w:rPr>
          <w:color w:val="000000"/>
        </w:rPr>
      </w:pPr>
      <w:r>
        <w:t xml:space="preserve">Варианты маршрутов прохождения трубопроводов (трасс) по территории </w:t>
      </w:r>
      <w:r>
        <w:br/>
        <w:t xml:space="preserve"> с. Ратта и их характеристики приведены выше в </w:t>
      </w:r>
      <w:hyperlink w:tooltip="#_Сведения_о_вновь" w:anchor="_Сведения_о_вновь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2.4.4</w:t>
        </w:r>
      </w:hyperlink>
      <w:r>
        <w:t xml:space="preserve">. </w:t>
      </w:r>
      <w:r/>
    </w:p>
    <w:p>
      <w:pPr>
        <w:pStyle w:val="1340"/>
        <w:rPr>
          <w:color w:val="000000"/>
        </w:rPr>
      </w:pPr>
      <w:r>
        <w:t xml:space="preserve">Трассы прокладки перспективных канализационных сетей следует выбирать с учётом обеспечения кратчайшего расстояния до точек подключения перспективных абонентов, рельефа местности, искусственных и естественных преград. </w:t>
      </w:r>
      <w:r/>
    </w:p>
    <w:p>
      <w:pPr>
        <w:pStyle w:val="1340"/>
        <w:rPr>
          <w:color w:val="000000"/>
        </w:rPr>
      </w:pPr>
      <w:r>
        <w:t xml:space="preserve">Трассы прокладки перспективных канализационных сетей и места расположения площадок иных объектов централизованных систем водоотведения подлежат уточнению и корректировке на стадии проектирования объектов.</w:t>
      </w:r>
      <w:r/>
    </w:p>
    <w:p>
      <w:pPr>
        <w:pStyle w:val="1075"/>
      </w:pPr>
      <w:r/>
      <w:bookmarkStart w:id="579" w:name="_Toc109995150"/>
      <w:r/>
      <w:bookmarkStart w:id="580" w:name="_Toc142312867"/>
      <w:r>
        <w:t xml:space="preserve">Границы и характеристики охранных зон сетей и сооружений централизованной системы водоотведения</w:t>
      </w:r>
      <w:bookmarkEnd w:id="579"/>
      <w:r>
        <w:t xml:space="preserve">.</w:t>
      </w:r>
      <w:bookmarkEnd w:id="580"/>
      <w:r/>
      <w:r/>
    </w:p>
    <w:p>
      <w:pPr>
        <w:pStyle w:val="1340"/>
        <w:rPr>
          <w:color w:val="000000"/>
        </w:rPr>
      </w:pPr>
      <w:r>
        <w:t xml:space="preserve">Для канализационных сетей и прочих объектов ЦС ВО в соответствии с действующими в сфере централизованного водоотведения нормативными правовыми актами термин «охранная зона» не применяется.</w:t>
      </w:r>
      <w:r/>
    </w:p>
    <w:p>
      <w:pPr>
        <w:pStyle w:val="1340"/>
        <w:rPr>
          <w:color w:val="000000"/>
        </w:rPr>
      </w:pPr>
      <w:r>
        <w:t xml:space="preserve">При строительстве канализационных сетей и прочих объектов ЦС ВО на территории с. Ратта нормативные требова</w:t>
      </w:r>
      <w:r>
        <w:t xml:space="preserve">ния к размерам занимаемых площадей (размерам земельных участков), размерам санитарно-защитных зон, минимальным расстояниям по горизонтали (в свету) до прочих объектов, а также иные пространственные ограничения и правила должны приниматься в соответствии с:</w:t>
      </w:r>
      <w:r/>
    </w:p>
    <w:p>
      <w:pPr>
        <w:pStyle w:val="1340"/>
        <w:numPr>
          <w:ilvl w:val="0"/>
          <w:numId w:val="102"/>
        </w:numPr>
        <w:ind w:left="0" w:firstLine="709"/>
        <w:rPr>
          <w:color w:val="000000"/>
        </w:rPr>
      </w:pPr>
      <w:r>
        <w:t xml:space="preserve">СП 42.13330.2016 «СНиП 2.07.01-89* Градостроительство. Планировка и застройка городских и сельских посел</w:t>
      </w:r>
      <w:r>
        <w:t xml:space="preserve">ений», утвержденный приказом Министерства строительства и жилищно-коммунального хозяйства Российской Федерации от 30.12.2016 № 1034/пр «Об утверждении СП 42.13330 «СНиП 2.07.01-89* Градостроительство. Планировка и застройка городских и сельских поселений»;</w:t>
      </w:r>
      <w:r/>
    </w:p>
    <w:p>
      <w:pPr>
        <w:pStyle w:val="1340"/>
        <w:numPr>
          <w:ilvl w:val="0"/>
          <w:numId w:val="10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СП 32.13330.2018;</w:t>
      </w:r>
      <w:r/>
    </w:p>
    <w:p>
      <w:pPr>
        <w:pStyle w:val="1340"/>
        <w:numPr>
          <w:ilvl w:val="0"/>
          <w:numId w:val="10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СП 129.13330.2019 «СНиП 3.05.04-85* Наружные сети и сооружения водоснабж</w:t>
      </w:r>
      <w:r>
        <w:t xml:space="preserve">ения и канализации», утвержденный приказом Министерства строительства и жилищно-коммунального хозяйства Российской Федерации от 31.12.2019 № 925/пр «Об утверждении СП 129.13330.2019 «СНиП 3.05.04-85* Наружные сети и сооружения водоснабжения и канализации»;</w:t>
      </w:r>
      <w:r/>
    </w:p>
    <w:p>
      <w:pPr>
        <w:pStyle w:val="1340"/>
        <w:numPr>
          <w:ilvl w:val="0"/>
          <w:numId w:val="10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СП 18.13330.2019 «Производственные объекты. Планировочная организация земельного участка» (СНиП П-89-80* «Генеральные планы промышленных предприятий»)», утвержденный приказом Министерства стро</w:t>
      </w:r>
      <w:r>
        <w:t xml:space="preserve">ительства и жилищно-коммунального хозяйства Российской Федерации от 17.09.2019 № 544/пр «Об утверждении СП 18.13330.2019 «Производственные объекты. Планировочная организация земельного участка» (СНиП П-89-80* «Генеральные планы промышленных предприятий»)»;</w:t>
      </w:r>
      <w:r/>
    </w:p>
    <w:p>
      <w:pPr>
        <w:pStyle w:val="1340"/>
        <w:numPr>
          <w:ilvl w:val="0"/>
          <w:numId w:val="10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СанПиН 2.2.1/2.1.1.1200-03.</w:t>
      </w:r>
      <w:r/>
    </w:p>
    <w:p>
      <w:pPr>
        <w:pStyle w:val="1075"/>
      </w:pPr>
      <w:r/>
      <w:bookmarkStart w:id="581" w:name="_Toc109995151"/>
      <w:r/>
      <w:bookmarkStart w:id="582" w:name="_Toc142312868"/>
      <w:r>
        <w:t xml:space="preserve">Границы планируемых зон размещения объектов централизованной системы водоотведения</w:t>
      </w:r>
      <w:bookmarkEnd w:id="581"/>
      <w:r>
        <w:t xml:space="preserve">.</w:t>
      </w:r>
      <w:bookmarkEnd w:id="582"/>
      <w:r/>
      <w:r/>
    </w:p>
    <w:p>
      <w:pPr>
        <w:pStyle w:val="1340"/>
        <w:rPr>
          <w:color w:val="000000"/>
        </w:rPr>
      </w:pPr>
      <w:r>
        <w:t xml:space="preserve">Границы планируемых зон размещения объектов ЦС ВО по территории с. Ратта приведены выше в </w:t>
      </w:r>
      <w:hyperlink w:tooltip="#_Сведения_о_вновь" w:anchor="_Сведения_о_вновь" w:history="1">
        <w:r>
          <w:rPr>
            <w:rStyle w:val="1267"/>
            <w:rFonts w:eastAsia="Arial"/>
            <w:color w:val="000000" w:themeColor="text1"/>
            <w:u w:val="none"/>
          </w:rPr>
          <w:t xml:space="preserve">Подразделе 2.4.4</w:t>
        </w:r>
      </w:hyperlink>
      <w:r>
        <w:t xml:space="preserve">.</w:t>
      </w:r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4"/>
        <w:rPr>
          <w:color w:val="000000"/>
        </w:rPr>
      </w:pPr>
      <w:r/>
      <w:bookmarkStart w:id="583" w:name="_Toc109995152"/>
      <w:r/>
      <w:bookmarkStart w:id="584" w:name="_Toc142312869"/>
      <w:r>
        <w:t xml:space="preserve">Экологические аспекты мероприятий по строительству и реконструкции объектов централизованной системы водоотведения</w:t>
      </w:r>
      <w:bookmarkEnd w:id="583"/>
      <w:r/>
      <w:bookmarkEnd w:id="584"/>
      <w:r/>
      <w:r/>
    </w:p>
    <w:p>
      <w:pPr>
        <w:pStyle w:val="1340"/>
      </w:pPr>
      <w:r/>
      <w:r/>
    </w:p>
    <w:p>
      <w:pPr>
        <w:pStyle w:val="1075"/>
      </w:pPr>
      <w:r/>
      <w:bookmarkStart w:id="585" w:name="_Toc109995153"/>
      <w:r/>
      <w:bookmarkStart w:id="586" w:name="_Toc142312870"/>
      <w:r>
        <w:t xml:space="preserve"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  <w:bookmarkEnd w:id="585"/>
      <w:r>
        <w:t xml:space="preserve">.</w:t>
      </w:r>
      <w:bookmarkEnd w:id="586"/>
      <w:r/>
      <w:r/>
    </w:p>
    <w:p>
      <w:pPr>
        <w:pStyle w:val="1340"/>
        <w:rPr>
          <w:color w:val="000000"/>
        </w:rPr>
      </w:pPr>
      <w:r>
        <w:t xml:space="preserve">ЦС ВО на территории с. Ратта отсутствуют.</w:t>
      </w:r>
      <w:r/>
    </w:p>
    <w:p>
      <w:pPr>
        <w:pStyle w:val="1075"/>
      </w:pPr>
      <w:r/>
      <w:bookmarkStart w:id="587" w:name="_Toc109995154"/>
      <w:r/>
      <w:bookmarkStart w:id="588" w:name="_Toc142312871"/>
      <w:r>
        <w:t xml:space="preserve">Сведения о применении методов, безопасных для окружающей среды, при утилизации осадков сточных вод</w:t>
      </w:r>
      <w:bookmarkEnd w:id="587"/>
      <w:r>
        <w:t xml:space="preserve">.</w:t>
      </w:r>
      <w:bookmarkEnd w:id="588"/>
      <w:r/>
      <w:r/>
    </w:p>
    <w:p>
      <w:pPr>
        <w:pStyle w:val="1340"/>
        <w:rPr>
          <w:color w:val="000000"/>
        </w:rPr>
      </w:pPr>
      <w:r>
        <w:t xml:space="preserve">При реализации предлагаемого варианта развития ВО на территории </w:t>
      </w:r>
      <w:r>
        <w:br/>
        <w:t xml:space="preserve"> с. Ратта, в рамках предусматриваемого мероприятия по строительству КОС образующийся в резу</w:t>
      </w:r>
      <w:r>
        <w:t xml:space="preserve">льтате очистки осадок предлагается складировать на специализированных площадках, которые должны располагаться на КОС, с целью его подсушивания и возможности дальнейшей утилизации в качестве сельско-хозяйственного удобрения либо в качестве засыпного грунта.</w:t>
      </w:r>
      <w:r/>
    </w:p>
    <w:p>
      <w:pPr>
        <w:pStyle w:val="1340"/>
        <w:rPr>
          <w:color w:val="000000"/>
        </w:rPr>
      </w:pPr>
      <w:r>
        <w:t xml:space="preserve"> </w:t>
      </w:r>
      <w:r/>
    </w:p>
    <w:p>
      <w:pPr>
        <w:pStyle w:val="1074"/>
        <w:rPr>
          <w:color w:val="000000"/>
        </w:rPr>
      </w:pPr>
      <w:r/>
      <w:bookmarkStart w:id="589" w:name="_Toc109995155"/>
      <w:r/>
      <w:bookmarkStart w:id="590" w:name="_Toc142312872"/>
      <w:r>
        <w:t xml:space="preserve"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589"/>
      <w:r/>
      <w:bookmarkEnd w:id="590"/>
      <w:r/>
      <w:r/>
    </w:p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075"/>
      </w:pPr>
      <w:r/>
      <w:bookmarkStart w:id="591" w:name="_Toc109995156"/>
      <w:r/>
      <w:bookmarkStart w:id="592" w:name="_Toc142312873"/>
      <w:r>
        <w:t xml:space="preserve">Оценка потребности в капитальных вложения</w:t>
      </w:r>
      <w:r>
        <w:t xml:space="preserve">х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</w:t>
      </w:r>
      <w:r>
        <w:t xml:space="preserve">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</w:t>
      </w:r>
      <w:bookmarkEnd w:id="591"/>
      <w:r>
        <w:t xml:space="preserve">.</w:t>
      </w:r>
      <w:bookmarkEnd w:id="592"/>
      <w:r/>
      <w:r/>
    </w:p>
    <w:p>
      <w:pPr>
        <w:pStyle w:val="1340"/>
        <w:rPr>
          <w:color w:val="000000"/>
        </w:rPr>
      </w:pPr>
      <w:r>
        <w:t xml:space="preserve">Оценка объёмов капитальных вложений (стоимости) в строительство, реконструкцию и модернизацию объектов централизованных систем водоотведения произведена в соответствии со следующими нормативными правовыми актами:</w:t>
      </w:r>
      <w:r/>
    </w:p>
    <w:p>
      <w:pPr>
        <w:pStyle w:val="1340"/>
        <w:numPr>
          <w:ilvl w:val="0"/>
          <w:numId w:val="10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t xml:space="preserve">методика разработки и применения укрупнённых нормативов цены строительства, а также порядка их утверждения, утверждённая Приказом Минстроя РФ от 29.05.2019 № 314/пр;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81-02-14-20</w:t>
      </w:r>
      <w:r>
        <w:rPr>
          <w:rStyle w:val="1246"/>
        </w:rPr>
        <w:t xml:space="preserve">23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1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НЦС 81-02-19-20</w:t>
      </w:r>
      <w:r>
        <w:rPr>
          <w:rStyle w:val="1246"/>
        </w:rPr>
        <w:t xml:space="preserve">23</w:t>
      </w:r>
      <w:r>
        <w:rPr>
          <w:szCs w:val="28"/>
        </w:rPr>
        <w:t xml:space="preserve">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канализационных сетей в соответствии с НЦС 81-02-14-</w:t>
      </w:r>
      <w:r>
        <w:rPr>
          <w:rStyle w:val="1246"/>
        </w:rPr>
        <w:t xml:space="preserve">2023 </w:t>
      </w:r>
      <w:r>
        <w:rPr>
          <w:szCs w:val="28"/>
        </w:rPr>
        <w:t xml:space="preserve">приняты следующие положения: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применение при строительстве, реконструкции и модернизации канализационных сетей из полиэтиленовых труб;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способ производства работ – разработка мокрого грунта в отвал, без креплений (группа грунтов 1-3, глубина – 3м);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</w:t>
      </w:r>
      <w:r>
        <w:rPr>
          <w:rStyle w:val="1246"/>
        </w:rPr>
        <w:t xml:space="preserve">1,53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Kпер/зон=0,98;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1,04;</w:t>
      </w:r>
      <w:r/>
    </w:p>
    <w:p>
      <w:pPr>
        <w:pStyle w:val="1340"/>
        <w:numPr>
          <w:ilvl w:val="0"/>
          <w:numId w:val="82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 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При определении стоимости строительства, реконструкции и модернизации прочих объектов централизованных систем водоотведения в соответствии с НЦС 81-02-19-</w:t>
      </w:r>
      <w:r>
        <w:rPr>
          <w:rStyle w:val="1246"/>
        </w:rPr>
        <w:t xml:space="preserve">2023</w:t>
      </w:r>
      <w:r>
        <w:rPr>
          <w:szCs w:val="28"/>
        </w:rPr>
        <w:t xml:space="preserve"> приняты следующие положения: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 перехода от цен базового района к уровню цен субъекта Российской Федерации Kпер=1</w:t>
      </w:r>
      <w:r>
        <w:rPr>
          <w:rStyle w:val="1246"/>
        </w:rPr>
        <w:t xml:space="preserve">,46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зональный коэффициент изменения стоимости строительства Kпер/зон=1,02;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учитывающий изменение стоимости строительства на территориях субъектов Российской Федерации, связанный с климатическими условиями Kрег1=</w:t>
      </w:r>
      <w:r>
        <w:rPr>
          <w:rStyle w:val="1246"/>
        </w:rPr>
        <w:t xml:space="preserve">1,03</w:t>
      </w:r>
      <w:r>
        <w:rPr>
          <w:szCs w:val="28"/>
        </w:rPr>
        <w:t xml:space="preserve">;</w:t>
      </w:r>
      <w:r/>
    </w:p>
    <w:p>
      <w:pPr>
        <w:pStyle w:val="1340"/>
        <w:numPr>
          <w:ilvl w:val="0"/>
          <w:numId w:val="83"/>
        </w:numPr>
        <w:ind w:left="0" w:firstLine="709"/>
        <w:tabs>
          <w:tab w:val="clear" w:pos="720" w:leader="none"/>
          <w:tab w:val="left" w:pos="992" w:leader="none"/>
        </w:tabs>
        <w:rPr>
          <w:color w:val="000000"/>
        </w:rPr>
      </w:pPr>
      <w:r>
        <w:rPr>
          <w:szCs w:val="28"/>
        </w:rPr>
        <w:t xml:space="preserve">коэффициент, характеризующий удорожание стоимости строительства в сейсмических районах Российской Федерации по отношению к базовому району Kс=1,00.</w:t>
      </w:r>
      <w:r/>
    </w:p>
    <w:p>
      <w:pPr>
        <w:pStyle w:val="1340"/>
        <w:tabs>
          <w:tab w:val="left" w:pos="992" w:leader="none"/>
        </w:tabs>
        <w:rPr>
          <w:color w:val="000000"/>
        </w:rPr>
      </w:pPr>
      <w:r>
        <w:rPr>
          <w:szCs w:val="28"/>
        </w:rPr>
        <w:t xml:space="preserve">Для приведения стоимостей мероприятий от цен 20</w:t>
      </w:r>
      <w:r>
        <w:rPr>
          <w:rStyle w:val="1246"/>
        </w:rPr>
        <w:t xml:space="preserve">23</w:t>
      </w:r>
      <w:r>
        <w:rPr>
          <w:szCs w:val="28"/>
        </w:rPr>
        <w:t xml:space="preserve">г. к ценам лет их реализации применены определённые в соответствии Прогнозом социально-экономического развития Российской Федерации на пе</w:t>
      </w:r>
      <w:r>
        <w:rPr>
          <w:szCs w:val="28"/>
        </w:rPr>
        <w:t xml:space="preserve">риод до 2036 года (разработан и опубликован 28.11.2018 Министерством экономического развития Российской Федерации) индексы-дефляторы (по базовому варианту по строке «Инвестиции в основной капитал»). Применённые индексы-дефляторы приведены в таблице 2.6.1. </w:t>
      </w:r>
      <w:r/>
    </w:p>
    <w:p>
      <w:pPr>
        <w:pStyle w:val="1340"/>
        <w:keepLines/>
        <w:keepNext/>
        <w:tabs>
          <w:tab w:val="left" w:pos="992" w:leader="none"/>
        </w:tabs>
        <w:rPr>
          <w:color w:val="000000"/>
        </w:rPr>
      </w:pPr>
      <w:r>
        <w:t xml:space="preserve"> </w:t>
      </w:r>
      <w:r/>
    </w:p>
    <w:p>
      <w:pPr>
        <w:pStyle w:val="1340"/>
        <w:jc w:val="right"/>
        <w:keepLines/>
        <w:keepNext/>
        <w:tabs>
          <w:tab w:val="left" w:pos="992" w:leader="none"/>
        </w:tabs>
        <w:rPr>
          <w:color w:val="000000"/>
        </w:rPr>
      </w:pPr>
      <w:r>
        <w:rPr>
          <w:b/>
          <w:bCs/>
          <w:szCs w:val="28"/>
        </w:rPr>
        <w:t xml:space="preserve">Таблица 2.6.1 – Применённые для приведения стоимостей мероприятий от цен </w:t>
      </w:r>
      <w:r>
        <w:rPr>
          <w:rStyle w:val="1246"/>
          <w:b/>
          <w:bCs/>
        </w:rPr>
        <w:t xml:space="preserve">2023</w:t>
      </w:r>
      <w:r>
        <w:rPr>
          <w:b/>
          <w:bCs/>
          <w:szCs w:val="28"/>
        </w:rPr>
        <w:t xml:space="preserve">г. к ценам лет их реализации индексы-дефляторы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1209"/>
        <w:gridCol w:w="618"/>
        <w:gridCol w:w="630"/>
        <w:gridCol w:w="630"/>
        <w:gridCol w:w="630"/>
        <w:gridCol w:w="618"/>
        <w:gridCol w:w="618"/>
        <w:gridCol w:w="618"/>
        <w:gridCol w:w="618"/>
        <w:gridCol w:w="618"/>
        <w:gridCol w:w="618"/>
        <w:gridCol w:w="618"/>
        <w:gridCol w:w="618"/>
        <w:gridCol w:w="619"/>
      </w:tblGrid>
      <w:tr>
        <w:trPr>
          <w:trHeight w:val="225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показателя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</w:t>
            </w:r>
            <w:r>
              <w:rPr>
                <w:rFonts w:ascii="Liberation Serif" w:hAnsi="Liberation Serif"/>
                <w:color w:val="000000"/>
                <w:sz w:val="16"/>
                <w:szCs w:val="16"/>
                <w:lang w:val="en-US"/>
              </w:rPr>
              <w:t xml:space="preserve">-2038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г</w:t>
            </w: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г.</w:t>
            </w:r>
            <w:r/>
          </w:p>
        </w:tc>
      </w:tr>
      <w:tr>
        <w:trPr>
          <w:trHeight w:val="225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</w:tr>
      <w:tr>
        <w:trPr>
          <w:trHeight w:val="4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предыдущему году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104,0%</w:t>
            </w:r>
            <w:r/>
          </w:p>
        </w:tc>
      </w:tr>
      <w:tr>
        <w:trPr>
          <w:trHeight w:val="2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Темп роста по отношению к 2023 г.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105,3%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158,1%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185,0%</w:t>
            </w:r>
            <w:r/>
          </w:p>
        </w:tc>
      </w:tr>
    </w:tbl>
    <w:p>
      <w:pPr>
        <w:pStyle w:val="1340"/>
        <w:rPr>
          <w:color w:val="000000"/>
        </w:rPr>
      </w:pPr>
      <w:r>
        <w:rPr>
          <w:color w:val="000000"/>
        </w:rPr>
      </w:r>
      <w:r/>
    </w:p>
    <w:p>
      <w:pPr>
        <w:pStyle w:val="1340"/>
        <w:rPr>
          <w:color w:val="000000"/>
        </w:rPr>
      </w:pPr>
      <w:r>
        <w:t xml:space="preserve">Оценка потребности в капитальных вложениях в строительство и реконструкцию объе</w:t>
      </w:r>
      <w:r>
        <w:t xml:space="preserve">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</w:t>
      </w:r>
      <w:r>
        <w:t xml:space="preserve">вы</w:t>
      </w:r>
      <w:r>
        <w:t xml:space="preserve">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с. Ратта, приведена в таблице 2.6.2.</w:t>
      </w:r>
      <w:r/>
    </w:p>
    <w:p>
      <w:pPr>
        <w:pStyle w:val="1340"/>
        <w:keepLines/>
        <w:keepNext/>
        <w:rPr>
          <w:color w:val="000000"/>
        </w:rPr>
      </w:pPr>
      <w:r>
        <w:t xml:space="preserve"> </w:t>
      </w:r>
      <w:r/>
    </w:p>
    <w:p>
      <w:pPr>
        <w:pStyle w:val="1340"/>
        <w:keepLines/>
        <w:keepNext/>
        <w:rPr>
          <w:b/>
          <w:color w:val="000000"/>
        </w:rPr>
        <w:sectPr>
          <w:footerReference w:type="default" r:id="rId20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</w:rPr>
      </w:r>
      <w:r/>
    </w:p>
    <w:p>
      <w:pPr>
        <w:pStyle w:val="1340"/>
        <w:jc w:val="right"/>
        <w:keepLines/>
        <w:keepNext/>
        <w:rPr>
          <w:b/>
          <w:color w:val="000000"/>
        </w:rPr>
      </w:pPr>
      <w:r>
        <w:rPr>
          <w:b/>
          <w:bCs/>
        </w:rPr>
        <w:t xml:space="preserve">Таблица 2.6.2 – Оценка потребности в капитальных вложениях в строитель</w:t>
      </w:r>
      <w:r>
        <w:rPr>
          <w:b/>
          <w:bCs/>
        </w:rPr>
        <w:t xml:space="preserve">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</w:t>
      </w:r>
      <w:r>
        <w:rPr>
          <w:b/>
          <w:bCs/>
        </w:rPr>
        <w:t xml:space="preserve">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 по  с. Ратта</w:t>
      </w:r>
      <w:r/>
    </w:p>
    <w:p>
      <w:pPr>
        <w:pStyle w:val="1340"/>
        <w:rPr>
          <w:color w:val="000000"/>
        </w:rPr>
      </w:pPr>
      <w:r>
        <w:t xml:space="preserve">  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9"/>
        <w:gridCol w:w="329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529"/>
        <w:gridCol w:w="702"/>
      </w:tblGrid>
      <w:tr>
        <w:trPr>
          <w:trHeight w:val="20"/>
          <w:tblHeader/>
        </w:trPr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№ п.п.</w:t>
            </w:r>
            <w:r/>
          </w:p>
        </w:tc>
        <w:tc>
          <w:tcPr>
            <w:shd w:val="clear" w:color="000000" w:fill="bfbf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Наименование мероприятия</w:t>
            </w:r>
            <w:r/>
          </w:p>
        </w:tc>
        <w:tc>
          <w:tcPr>
            <w:gridSpan w:val="17"/>
            <w:shd w:val="clear" w:color="000000" w:fill="bfbf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59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Объем капитальных вложений в ценах лет реализации (без учета НДС), тыс. руб.</w:t>
            </w:r>
            <w:r/>
          </w:p>
        </w:tc>
      </w:tr>
      <w:tr>
        <w:trPr>
          <w:trHeight w:val="51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2029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2030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2031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2032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2033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2034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2035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2036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2037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2038 г.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Итого</w:t>
            </w:r>
            <w:r/>
          </w:p>
        </w:tc>
      </w:tr>
      <w:tr>
        <w:trPr>
          <w:trHeight w:val="20"/>
          <w:tblHeader/>
        </w:trPr>
        <w:tc>
          <w:tcPr>
            <w:shd w:val="clear" w:color="000000" w:fill="bfbfb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9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10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11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12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13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14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15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16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17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18</w:t>
            </w:r>
            <w:r/>
          </w:p>
        </w:tc>
        <w:tc>
          <w:tcPr>
            <w:shd w:val="clear" w:color="000000" w:fill="bfbfb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19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Строительство КОС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13 862,6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14 472,6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28 335,2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 w:themeColor="text1"/>
                <w:sz w:val="16"/>
                <w:szCs w:val="16"/>
              </w:rPr>
              <w:t xml:space="preserve">Строительство сбросного коллектора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8 699,0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9 081,8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Calibri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Calibri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17 780,8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(без учета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22 561,6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23 554,4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46 116,0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НДС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4 512,3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4 710,9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9 223,2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ИТОГО (с учетом НДС)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27 073,9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28 265,3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0,0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16"/>
                <w:szCs w:val="16"/>
              </w:rPr>
              <w:t xml:space="preserve">55 339,2</w:t>
            </w:r>
            <w:r/>
          </w:p>
        </w:tc>
      </w:tr>
    </w:tbl>
    <w:p>
      <w:pPr>
        <w:pStyle w:val="1340"/>
        <w:rPr>
          <w:rFonts w:eastAsia="Liberation Serif" w:cs="Liberation Serif"/>
          <w:color w:val="000000"/>
        </w:rPr>
        <w:sectPr>
          <w:footnotePr/>
          <w:endnotePr/>
          <w:type w:val="nextPage"/>
          <w:pgSz w:w="16838" w:h="11906" w:orient="landscape"/>
          <w:pgMar w:top="1134" w:right="680" w:bottom="567" w:left="1701" w:header="709" w:footer="709" w:gutter="0"/>
          <w:cols w:num="1" w:sep="0" w:space="708" w:equalWidth="1"/>
          <w:docGrid w:linePitch="360"/>
        </w:sectPr>
      </w:pPr>
      <w:r>
        <w:rPr>
          <w:rFonts w:eastAsia="Liberation Serif" w:cs="Liberation Serif"/>
          <w:color w:val="000000"/>
        </w:rPr>
      </w:r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Для указанных выше мероприятий в качестве источников финансирования могут рассматриваться:</w:t>
      </w:r>
      <w:r/>
    </w:p>
    <w:p>
      <w:pPr>
        <w:pStyle w:val="1340"/>
        <w:numPr>
          <w:ilvl w:val="0"/>
          <w:numId w:val="104"/>
        </w:numPr>
        <w:ind w:left="0" w:firstLine="709"/>
        <w:tabs>
          <w:tab w:val="clear" w:pos="720" w:leader="none"/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б</w:t>
      </w:r>
      <w:r>
        <w:rPr>
          <w:rFonts w:eastAsia="Liberation Serif" w:cs="Liberation Serif"/>
        </w:rPr>
        <w:t xml:space="preserve">юджетные средства, выделяемые в рамках муниципальных, региональных и (или) федеральных программам по развитию жилищно-коммунального сектора;</w:t>
      </w:r>
      <w:r/>
    </w:p>
    <w:p>
      <w:pPr>
        <w:pStyle w:val="1340"/>
        <w:numPr>
          <w:ilvl w:val="0"/>
          <w:numId w:val="104"/>
        </w:numPr>
        <w:ind w:left="0" w:firstLine="709"/>
        <w:tabs>
          <w:tab w:val="clear" w:pos="720" w:leader="none"/>
          <w:tab w:val="left" w:pos="992" w:leader="none"/>
        </w:tabs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с</w:t>
      </w:r>
      <w:r>
        <w:rPr>
          <w:rFonts w:eastAsia="Liberation Serif" w:cs="Liberation Serif"/>
        </w:rPr>
        <w:t xml:space="preserve">обственные средства организаций, осуществляющих эксплуатацию объектов централизованных систем водоснабжения, в виде амортизационных отчислений, расходов на капитальные вложения, возмещаемые за счет прибыли.</w:t>
      </w:r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rFonts w:asciiTheme="minorHAnsi" w:hAnsiTheme="minorHAnsi"/>
        </w:rPr>
      </w:pPr>
      <w:r/>
      <w:bookmarkStart w:id="593" w:name="_Toc109995157"/>
      <w:r/>
      <w:bookmarkStart w:id="594" w:name="_Toc142312874"/>
      <w:r>
        <w:t xml:space="preserve">Цены (тарифы) в сфере водоотведения</w:t>
      </w:r>
      <w:bookmarkEnd w:id="593"/>
      <w:r/>
      <w:bookmarkEnd w:id="594"/>
      <w:r/>
      <w:r/>
    </w:p>
    <w:p>
      <w:pPr>
        <w:pStyle w:val="1464"/>
        <w:rPr>
          <w:rFonts w:eastAsia="Liberation Serif"/>
        </w:rPr>
      </w:pPr>
      <w:r>
        <w:rPr>
          <w:rFonts w:eastAsia="Liberation Serif"/>
        </w:rPr>
      </w:r>
      <w:r/>
    </w:p>
    <w:p>
      <w:pPr>
        <w:pStyle w:val="1075"/>
      </w:pPr>
      <w:r/>
      <w:bookmarkStart w:id="595" w:name="_Toc109995158"/>
      <w:r/>
      <w:bookmarkStart w:id="596" w:name="_Toc142312875"/>
      <w:r>
        <w:t xml:space="preserve">Динамика утверж</w:t>
      </w:r>
      <w:r>
        <w:t xml:space="preserve">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организации водоотведения с учетом последних 3 лет</w:t>
      </w:r>
      <w:bookmarkEnd w:id="595"/>
      <w:r>
        <w:t xml:space="preserve">.</w:t>
      </w:r>
      <w:bookmarkEnd w:id="596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597" w:name="_Toc109995159"/>
      <w:r/>
      <w:bookmarkStart w:id="598" w:name="_Toc142312876"/>
      <w:r>
        <w:t xml:space="preserve">Структура цен (тарифов), установленных на момент актуализации схемы водоотведения</w:t>
      </w:r>
      <w:bookmarkEnd w:id="597"/>
      <w:r>
        <w:t xml:space="preserve">.</w:t>
      </w:r>
      <w:bookmarkEnd w:id="598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599" w:name="_Toc109995160"/>
      <w:r/>
      <w:bookmarkStart w:id="600" w:name="_Toc142312877"/>
      <w:r>
        <w:t xml:space="preserve">Плата за подключение к системе водоотведения и поступление денежных средств от осуществления деятельности по водоотведению</w:t>
      </w:r>
      <w:bookmarkEnd w:id="599"/>
      <w:r>
        <w:t xml:space="preserve">.</w:t>
      </w:r>
      <w:bookmarkEnd w:id="600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color w:val="000000"/>
        </w:rPr>
      </w:pPr>
      <w:r/>
      <w:bookmarkStart w:id="601" w:name="_Toc109995161"/>
      <w:r/>
      <w:bookmarkStart w:id="602" w:name="_Toc142312878"/>
      <w:r>
        <w:t xml:space="preserve">Плановые значения показателей развития централизованных систем водоотведения</w:t>
      </w:r>
      <w:bookmarkEnd w:id="601"/>
      <w:r/>
      <w:bookmarkEnd w:id="602"/>
      <w:r/>
      <w:r/>
    </w:p>
    <w:p>
      <w:pPr>
        <w:pStyle w:val="1340"/>
        <w:jc w:val="center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5"/>
      </w:pPr>
      <w:r/>
      <w:bookmarkStart w:id="603" w:name="_Toc109995162"/>
      <w:r/>
      <w:bookmarkStart w:id="604" w:name="_Toc142312879"/>
      <w:r>
        <w:t xml:space="preserve">Показатели надежности и бесперебойности водоотведения</w:t>
      </w:r>
      <w:bookmarkEnd w:id="603"/>
      <w:r>
        <w:t xml:space="preserve">.</w:t>
      </w:r>
      <w:bookmarkEnd w:id="604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605" w:name="_Toc109995163"/>
      <w:r/>
      <w:bookmarkStart w:id="606" w:name="_Toc142312880"/>
      <w:r>
        <w:t xml:space="preserve">Показатели качества обслуживания абонентов</w:t>
      </w:r>
      <w:bookmarkEnd w:id="605"/>
      <w:r>
        <w:t xml:space="preserve">.</w:t>
      </w:r>
      <w:bookmarkEnd w:id="606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607" w:name="_Toc109995164"/>
      <w:r/>
      <w:bookmarkStart w:id="608" w:name="_Toc142312881"/>
      <w:r>
        <w:t xml:space="preserve">Показатели очистки сточных вод</w:t>
      </w:r>
      <w:bookmarkEnd w:id="607"/>
      <w:r>
        <w:t xml:space="preserve">.</w:t>
      </w:r>
      <w:bookmarkEnd w:id="608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609" w:name="_Toc109995165"/>
      <w:r/>
      <w:bookmarkStart w:id="610" w:name="_Toc142312882"/>
      <w:r>
        <w:t xml:space="preserve">Показатели эффективности использования ресурсов при транспортировке сточных вод</w:t>
      </w:r>
      <w:bookmarkEnd w:id="609"/>
      <w:r>
        <w:t xml:space="preserve">.</w:t>
      </w:r>
      <w:bookmarkEnd w:id="610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611" w:name="_Toc109995166"/>
      <w:r/>
      <w:bookmarkStart w:id="612" w:name="_Toc142312883"/>
      <w:r>
        <w:t xml:space="preserve">Соотношение цены реализации мероприятий инвестиционной программы и их эффективности - улучшение качества очистки сточных вод</w:t>
      </w:r>
      <w:bookmarkEnd w:id="611"/>
      <w:r>
        <w:t xml:space="preserve">.</w:t>
      </w:r>
      <w:bookmarkEnd w:id="612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075"/>
      </w:pPr>
      <w:r/>
      <w:bookmarkStart w:id="613" w:name="_Toc109995167"/>
      <w:r/>
      <w:bookmarkStart w:id="614" w:name="_Toc142312884"/>
      <w: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613"/>
      <w:r>
        <w:t xml:space="preserve">.</w:t>
      </w:r>
      <w:bookmarkEnd w:id="614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</w:r>
      <w:r/>
    </w:p>
    <w:p>
      <w:pPr>
        <w:pStyle w:val="1074"/>
        <w:rPr>
          <w:rFonts w:asciiTheme="minorHAnsi" w:hAnsiTheme="minorHAnsi"/>
        </w:rPr>
      </w:pPr>
      <w:r/>
      <w:bookmarkStart w:id="615" w:name="_Toc109995168"/>
      <w:r/>
      <w:bookmarkStart w:id="616" w:name="_Toc142312885"/>
      <w:r>
        <w:t xml:space="preserve"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615"/>
      <w:r/>
      <w:bookmarkEnd w:id="616"/>
      <w:r/>
      <w:r/>
    </w:p>
    <w:p>
      <w:pPr>
        <w:pStyle w:val="1464"/>
      </w:pPr>
      <w:r/>
      <w:r/>
    </w:p>
    <w:p>
      <w:pPr>
        <w:pStyle w:val="1075"/>
      </w:pPr>
      <w:r/>
      <w:bookmarkStart w:id="617" w:name="_Toc142312886"/>
      <w:r>
        <w:t xml:space="preserve">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</w:r>
      <w:bookmarkEnd w:id="617"/>
      <w:r/>
      <w:r/>
    </w:p>
    <w:p>
      <w:pPr>
        <w:pStyle w:val="1340"/>
        <w:rPr>
          <w:rFonts w:eastAsia="Liberation Serif" w:cs="Liberation Serif"/>
          <w:color w:val="000000"/>
        </w:rPr>
      </w:pPr>
      <w:r>
        <w:rPr>
          <w:rFonts w:eastAsia="Liberation Serif" w:cs="Liberation Serif"/>
        </w:rPr>
        <w:t xml:space="preserve">ЦС ВО на территории с. Ратта отсутствуют.</w:t>
      </w:r>
      <w:r/>
    </w:p>
    <w:sectPr>
      <w:footerReference w:type="default" r:id="rId21"/>
      <w:footnotePr/>
      <w:endnotePr/>
      <w:type w:val="nextPage"/>
      <w:pgSz w:w="11906" w:h="16838" w:orient="portrait"/>
      <w:pgMar w:top="1134" w:right="567" w:bottom="1134" w:left="1701" w:header="567" w:footer="51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  <w:p>
      <w:r/>
      <w:r/>
    </w:p>
  </w:endnote>
  <w:endnote w:type="continuationSeparator" w:id="0">
    <w:p>
      <w:r>
        <w:continuationSeparator/>
      </w:r>
      <w:r/>
    </w:p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egoe UI">
    <w:panose1 w:val="020B0503020203020204"/>
  </w:font>
  <w:font w:name="Story">
    <w:panose1 w:val="02000603000000000000"/>
  </w:font>
  <w:font w:name="Trebuchet MS">
    <w:panose1 w:val="020B0603020202020204"/>
  </w:font>
  <w:font w:name="Arial CYR">
    <w:panose1 w:val="020B0604020202020204"/>
  </w:font>
  <w:font w:name="Palatino Linotype">
    <w:panose1 w:val="02040502050405020303"/>
  </w:font>
  <w:font w:name="undefined">
    <w:panose1 w:val="02000603000000000000"/>
  </w:font>
  <w:font w:name="Verdana">
    <w:panose1 w:val="020B0604030504040204"/>
  </w:font>
  <w:font w:name="Helv">
    <w:panose1 w:val="02000603000000000000"/>
  </w:font>
  <w:font w:name="Symbol">
    <w:panose1 w:val="05010000000000000000"/>
  </w:font>
  <w:font w:name="Consolas">
    <w:panose1 w:val="020B0606020202030204"/>
  </w:font>
  <w:font w:name="Lucida Sans Unicode">
    <w:panose1 w:val="020B0603030804020204"/>
  </w:font>
  <w:font w:name="Arial Black">
    <w:panose1 w:val="020B0A04020102020204"/>
  </w:font>
  <w:font w:name="TimesNewRoman">
    <w:panose1 w:val="02020603050405020304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ArialMT">
    <w:panose1 w:val="020B0604020202020204"/>
  </w:font>
  <w:font w:name="Cambria">
    <w:panose1 w:val="02040503050406030204"/>
  </w:font>
  <w:font w:name="Futuris">
    <w:panose1 w:val="02000603000000000000"/>
  </w:font>
  <w:font w:name="Liberation Serif">
    <w:panose1 w:val="02020603050405020304"/>
  </w:font>
  <w:font w:name="ГОСТ тип А">
    <w:panose1 w:val="02000603000000000000"/>
  </w:font>
  <w:font w:name="Times New Roman">
    <w:panose1 w:val="02020603050405020304"/>
  </w:font>
  <w:font w:name="Microsoft YaHei">
    <w:panose1 w:val="020B0503020203020204"/>
  </w:font>
  <w:font w:name="Arial Narrow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  <w:p>
      <w:r/>
      <w:r/>
    </w:p>
  </w:footnote>
  <w:footnote w:type="continuationSeparator" w:id="0">
    <w:p>
      <w:r>
        <w:continuationSeparator/>
      </w:r>
      <w:r/>
    </w:p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08231857"/>
      <w:docPartObj>
        <w:docPartGallery w:val="Page Numbers (Top of Page)"/>
        <w:docPartUnique w:val="true"/>
      </w:docPartObj>
      <w:rPr/>
    </w:sdtPr>
    <w:sdtContent>
      <w:p>
        <w:pPr>
          <w:pStyle w:val="1249"/>
          <w:jc w:val="center"/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2</w:t>
        </w:r>
        <w:r>
          <w:rPr>
            <w:rFonts w:ascii="Liberation Serif" w:hAnsi="Liberation Serif"/>
          </w:rPr>
          <w:fldChar w:fldCharType="end"/>
        </w:r>
        <w:r/>
      </w:p>
    </w:sdtContent>
  </w:sdt>
  <w:p>
    <w:pPr>
      <w:pStyle w:val="124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048821977"/>
      <w:docPartObj>
        <w:docPartGallery w:val="Page Numbers (Top of Page)"/>
        <w:docPartUnique w:val="true"/>
      </w:docPartObj>
      <w:rPr/>
    </w:sdtPr>
    <w:sdtContent>
      <w:p>
        <w:pPr>
          <w:pStyle w:val="1249"/>
          <w:jc w:val="center"/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72</w:t>
        </w:r>
        <w:r>
          <w:rPr>
            <w:rFonts w:ascii="Liberation Serif" w:hAnsi="Liberation Serif"/>
          </w:rPr>
          <w:fldChar w:fldCharType="end"/>
        </w:r>
        <w:r/>
      </w:p>
    </w:sdtContent>
  </w:sdt>
  <w:p>
    <w:pPr>
      <w:pStyle w:val="1249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00809409"/>
      <w:docPartObj>
        <w:docPartGallery w:val="Page Numbers (Top of Page)"/>
        <w:docPartUnique w:val="true"/>
      </w:docPartObj>
      <w:rPr>
        <w:rFonts w:ascii="Liberation Serif" w:hAnsi="Liberation Serif"/>
      </w:rPr>
    </w:sdtPr>
    <w:sdtContent>
      <w:p>
        <w:pPr>
          <w:pStyle w:val="1249"/>
          <w:jc w:val="center"/>
          <w:rPr>
            <w:rFonts w:ascii="Liberation Serif" w:hAnsi="Liberation Serif"/>
          </w:rPr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77</w:t>
        </w:r>
        <w:r>
          <w:rPr>
            <w:rFonts w:ascii="Liberation Serif" w:hAnsi="Liberation Serif"/>
          </w:rPr>
          <w:fldChar w:fldCharType="end"/>
        </w:r>
        <w:r/>
      </w:p>
    </w:sdtContent>
  </w:sdt>
  <w:p>
    <w:pPr>
      <w:pStyle w:val="1249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307553862"/>
      <w:docPartObj>
        <w:docPartGallery w:val="Page Numbers (Top of Page)"/>
        <w:docPartUnique w:val="true"/>
      </w:docPartObj>
      <w:rPr>
        <w:rFonts w:ascii="Liberation Serif" w:hAnsi="Liberation Serif"/>
      </w:rPr>
    </w:sdtPr>
    <w:sdtContent>
      <w:p>
        <w:pPr>
          <w:pStyle w:val="1249"/>
          <w:jc w:val="center"/>
          <w:rPr>
            <w:rFonts w:ascii="Liberation Serif" w:hAnsi="Liberation Serif"/>
          </w:rPr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77</w:t>
        </w:r>
        <w:r>
          <w:rPr>
            <w:rFonts w:ascii="Liberation Serif" w:hAnsi="Liberation Serif"/>
          </w:rPr>
          <w:fldChar w:fldCharType="end"/>
        </w:r>
        <w:r/>
      </w:p>
    </w:sdtContent>
  </w:sdt>
  <w:p>
    <w:pPr>
      <w:pStyle w:val="1249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311047087"/>
      <w:docPartObj>
        <w:docPartGallery w:val="Page Numbers (Top of Page)"/>
        <w:docPartUnique w:val="true"/>
      </w:docPartObj>
      <w:rPr>
        <w:rFonts w:ascii="Liberation Serif" w:hAnsi="Liberation Serif"/>
      </w:rPr>
    </w:sdtPr>
    <w:sdtContent>
      <w:p>
        <w:pPr>
          <w:pStyle w:val="1249"/>
          <w:jc w:val="center"/>
          <w:rPr>
            <w:rFonts w:ascii="Liberation Serif" w:hAnsi="Liberation Serif"/>
          </w:rPr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77</w:t>
        </w:r>
        <w:r>
          <w:rPr>
            <w:rFonts w:ascii="Liberation Serif" w:hAnsi="Liberation Serif"/>
          </w:rPr>
          <w:fldChar w:fldCharType="end"/>
        </w:r>
        <w:r/>
      </w:p>
    </w:sdtContent>
  </w:sdt>
  <w:p>
    <w:pPr>
      <w:pStyle w:val="124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8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pStyle w:val="1443"/>
      <w:isLgl w:val="false"/>
      <w:suff w:val="tab"/>
      <w:lvlText w:val=""/>
      <w:lvlJc w:val="left"/>
      <w:pPr>
        <w:ind w:left="1287" w:hanging="360"/>
        <w:tabs>
          <w:tab w:val="num" w:pos="1287" w:leader="none"/>
        </w:tabs>
      </w:pPr>
      <w:rPr>
        <w:rFonts w:hint="default" w:ascii="Symbol" w:hAnsi="Symbol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styleLink w:val="1706"/>
    <w:lvl w:ilvl="0">
      <w:start w:val="1"/>
      <w:numFmt w:val="bullet"/>
      <w:pStyle w:val="1706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2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suff w:val="tab"/>
      <w:lvlText w:val="%2.1.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isLgl/>
      <w:suff w:val="tab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lvl w:ilvl="0">
      <w:start w:val="1"/>
      <w:numFmt w:val="decimal"/>
      <w:pStyle w:val="2207"/>
      <w:isLgl w:val="false"/>
      <w:suff w:val="tab"/>
      <w:lvlText w:val="1.%1.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2149" w:hanging="360"/>
      </w:pPr>
      <w:rPr>
        <w:rFonts w:hint="default"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6">
    <w:multiLevelType w:val="hybridMultilevel"/>
    <w:numStyleLink w:val="1286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8">
    <w:multiLevelType w:val="hybridMultilevel"/>
    <w:lvl w:ilvl="0">
      <w:start w:val="1"/>
      <w:numFmt w:val="bullet"/>
      <w:pStyle w:val="2021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80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2">
    <w:multiLevelType w:val="hybridMultilevel"/>
    <w:lvl w:ilvl="0">
      <w:start w:val="1"/>
      <w:numFmt w:val="decimal"/>
      <w:pStyle w:val="2039"/>
      <w:isLgl w:val="false"/>
      <w:suff w:val="space"/>
      <w:lvlText w:val="%1."/>
      <w:lvlJc w:val="left"/>
      <w:pPr>
        <w:ind w:left="180" w:firstLine="720"/>
      </w:pPr>
      <w:rPr>
        <w:rFonts w:hint="default"/>
        <w:color w:val="auto"/>
      </w:rPr>
    </w:lvl>
    <w:lvl w:ilvl="1">
      <w:start w:val="1"/>
      <w:numFmt w:val="decimal"/>
      <w:isLgl w:val="false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isLgl w:val="false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028" w:hanging="936"/>
        <w:tabs>
          <w:tab w:val="num" w:pos="2028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32" w:hanging="1080"/>
        <w:tabs>
          <w:tab w:val="num" w:pos="2532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036" w:hanging="1224"/>
        <w:tabs>
          <w:tab w:val="num" w:pos="3036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612" w:hanging="1440"/>
        <w:tabs>
          <w:tab w:val="num" w:pos="3612" w:leader="none"/>
        </w:tabs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8">
    <w:multiLevelType w:val="hybridMultilevel"/>
    <w:styleLink w:val="1705"/>
    <w:lvl w:ilvl="0">
      <w:start w:val="1"/>
      <w:numFmt w:val="decimal"/>
      <w:pStyle w:val="170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ascii="Arial" w:hAnsi="Arial"/>
        <w:b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  <w:rPr>
        <w:rFonts w:ascii="Arial" w:hAnsi="Arial"/>
        <w:b/>
        <w:sz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49">
    <w:multiLevelType w:val="hybridMultilevel"/>
    <w:lvl w:ilvl="0">
      <w:start w:val="1"/>
      <w:numFmt w:val="upperRoman"/>
      <w:pStyle w:val="1073"/>
      <w:isLgl w:val="fals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074"/>
      <w:isLgl/>
      <w:suff w:val="space"/>
      <w:lvlText w:val="%1.%2."/>
      <w:lvlJc w:val="center"/>
      <w:pPr>
        <w:ind w:left="0" w:firstLine="0"/>
      </w:pPr>
      <w:rPr>
        <w:rFonts w:hint="default"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75"/>
      <w:isLgl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1076"/>
      <w:isLgl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8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0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2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4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6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8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0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2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45" w:hanging="360"/>
      </w:pPr>
      <w:rPr>
        <w:rFonts w:hint="default" w:ascii="Wingdings" w:hAnsi="Wingdings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7">
    <w:multiLevelType w:val="hybridMultilevel"/>
    <w:styleLink w:val="2034"/>
    <w:lvl w:ilvl="0">
      <w:start w:val="1"/>
      <w:numFmt w:val="bullet"/>
      <w:pStyle w:val="2033"/>
      <w:isLgl w:val="false"/>
      <w:suff w:val="space"/>
      <w:lvlText w:val=""/>
      <w:lvlJc w:val="left"/>
      <w:pPr>
        <w:ind w:left="0" w:firstLine="567"/>
      </w:pPr>
      <w:rPr>
        <w:rFonts w:hint="default" w:ascii="Symbol" w:hAnsi="Symbol"/>
      </w:rPr>
    </w:lvl>
    <w:lvl w:ilvl="1">
      <w:start w:val="1"/>
      <w:numFmt w:val="bullet"/>
      <w:isLgl w:val="false"/>
      <w:suff w:val="space"/>
      <w:lvlText w:val=""/>
      <w:lvlJc w:val="left"/>
      <w:pPr>
        <w:ind w:left="567" w:firstLine="567"/>
      </w:pPr>
      <w:rPr>
        <w:rFonts w:hint="default" w:ascii="Symbol" w:hAnsi="Symbol"/>
      </w:rPr>
    </w:lvl>
    <w:lvl w:ilvl="2">
      <w:start w:val="1"/>
      <w:numFmt w:val="bullet"/>
      <w:isLgl w:val="false"/>
      <w:suff w:val="space"/>
      <w:lvlText w:val=""/>
      <w:lvlJc w:val="left"/>
      <w:pPr>
        <w:ind w:left="1134" w:firstLine="567"/>
      </w:pPr>
      <w:rPr>
        <w:rFonts w:hint="default" w:ascii="Symbol" w:hAnsi="Symbol"/>
      </w:rPr>
    </w:lvl>
    <w:lvl w:ilvl="3">
      <w:start w:val="1"/>
      <w:numFmt w:val="decimal"/>
      <w:isLgl w:val="false"/>
      <w:suff w:val="tab"/>
      <w:lvlText w:val="(%4)"/>
      <w:lvlJc w:val="left"/>
      <w:pPr>
        <w:ind w:left="1701" w:firstLine="567"/>
        <w:tabs>
          <w:tab w:val="num" w:pos="567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ind w:left="2268" w:firstLine="567"/>
        <w:tabs>
          <w:tab w:val="num" w:pos="567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ind w:left="2835" w:firstLine="567"/>
        <w:tabs>
          <w:tab w:val="num" w:pos="567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3402" w:firstLine="567"/>
        <w:tabs>
          <w:tab w:val="num" w:pos="567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3969" w:firstLine="567"/>
        <w:tabs>
          <w:tab w:val="num" w:pos="567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ind w:left="4536" w:firstLine="567"/>
        <w:tabs>
          <w:tab w:val="num" w:pos="567" w:leader="none"/>
        </w:tabs>
      </w:p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1">
    <w:multiLevelType w:val="hybridMultilevel"/>
    <w:styleLink w:val="1702"/>
    <w:lvl w:ilvl="0">
      <w:start w:val="1"/>
      <w:numFmt w:val="decimal"/>
      <w:pStyle w:val="1437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800"/>
      </w:p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3">
    <w:multiLevelType w:val="hybridMultilevel"/>
    <w:styleLink w:val="1798"/>
    <w:lvl w:ilvl="0">
      <w:start w:val="1"/>
      <w:numFmt w:val="decimal"/>
      <w:pStyle w:val="1798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1.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66">
    <w:multiLevelType w:val="hybridMultilevel"/>
    <w:lvl w:ilvl="0">
      <w:start w:val="1"/>
      <w:numFmt w:val="bullet"/>
      <w:pStyle w:val="2046"/>
      <w:isLgl w:val="false"/>
      <w:suff w:val="tab"/>
      <w:lvlText w:val=""/>
      <w:lvlJc w:val="left"/>
      <w:pPr>
        <w:ind w:left="1134" w:hanging="283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5">
    <w:multiLevelType w:val="hybridMultilevel"/>
    <w:styleLink w:val="1704"/>
    <w:lvl w:ilvl="0">
      <w:start w:val="1"/>
      <w:numFmt w:val="bullet"/>
      <w:pStyle w:val="1704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7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5">
    <w:multiLevelType w:val="hybridMultilevel"/>
    <w:styleLink w:val="1707"/>
    <w:lvl w:ilvl="0">
      <w:start w:val="1"/>
      <w:numFmt w:val="decimal"/>
      <w:pStyle w:val="1707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</w:lvl>
    <w:lvl w:ilvl="2">
      <w:start w:val="1"/>
      <w:numFmt w:val="decimal"/>
      <w:isLgl/>
      <w:suff w:val="tab"/>
      <w:lvlText w:val="%1.%2.%3"/>
      <w:lvlJc w:val="left"/>
      <w:pPr>
        <w:ind w:left="1287" w:hanging="720"/>
      </w:pPr>
    </w:lvl>
    <w:lvl w:ilvl="3">
      <w:start w:val="1"/>
      <w:numFmt w:val="decimal"/>
      <w:isLgl/>
      <w:suff w:val="tab"/>
      <w:lvlText w:val="%1.%2.%3.%4"/>
      <w:lvlJc w:val="left"/>
      <w:pPr>
        <w:ind w:left="1287" w:hanging="720"/>
      </w:pPr>
    </w:lvl>
    <w:lvl w:ilvl="4">
      <w:start w:val="1"/>
      <w:numFmt w:val="decimal"/>
      <w:isLgl/>
      <w:suff w:val="tab"/>
      <w:lvlText w:val="%1.%2.%3.%4.%5"/>
      <w:lvlJc w:val="left"/>
      <w:pPr>
        <w:ind w:left="1647" w:hanging="1080"/>
      </w:pPr>
    </w:lvl>
    <w:lvl w:ilvl="5">
      <w:start w:val="1"/>
      <w:numFmt w:val="decimal"/>
      <w:isLgl/>
      <w:suff w:val="tab"/>
      <w:lvlText w:val="%1.%2.%3.%4.%5.%6"/>
      <w:lvlJc w:val="left"/>
      <w:pPr>
        <w:ind w:left="1647" w:hanging="1080"/>
      </w:pPr>
    </w:lvl>
    <w:lvl w:ilvl="6">
      <w:start w:val="1"/>
      <w:numFmt w:val="decimal"/>
      <w:isLgl/>
      <w:suff w:val="tab"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suff w:val="tab"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suff w:val="tab"/>
      <w:lvlText w:val="%1.%2.%3.%4.%5.%6.%7.%8.%9"/>
      <w:lvlJc w:val="left"/>
      <w:pPr>
        <w:ind w:left="2007" w:hanging="1440"/>
      </w:p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3">
    <w:multiLevelType w:val="hybridMultilevel"/>
    <w:styleLink w:val="1703"/>
    <w:lvl w:ilvl="0">
      <w:start w:val="1"/>
      <w:numFmt w:val="bullet"/>
      <w:pStyle w:val="1703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7">
    <w:multiLevelType w:val="hybridMultilevel"/>
    <w:styleLink w:val="1286"/>
    <w:lvl w:ilvl="0">
      <w:start w:val="1"/>
      <w:numFmt w:val="decimal"/>
      <w:pStyle w:val="1286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1080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1081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0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03">
    <w:multiLevelType w:val="hybridMultilevel"/>
    <w:lvl w:ilvl="0">
      <w:start w:val="1"/>
      <w:numFmt w:val="bullet"/>
      <w:pStyle w:val="2029"/>
      <w:isLgl w:val="false"/>
      <w:suff w:val="tab"/>
      <w:lvlText w:val="-"/>
      <w:lvlJc w:val="left"/>
      <w:pPr>
        <w:ind w:left="1429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4">
    <w:multiLevelType w:val="hybridMultilevel"/>
    <w:styleLink w:val="1750"/>
    <w:lvl w:ilvl="0">
      <w:start w:val="1"/>
      <w:numFmt w:val="bullet"/>
      <w:pStyle w:val="1750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 w:cs="Wingdings"/>
      </w:rPr>
    </w:lvl>
  </w:abstractNum>
  <w:abstractNum w:abstractNumId="10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0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8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0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2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4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6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8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0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2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45" w:hanging="360"/>
      </w:pPr>
      <w:rPr>
        <w:rFonts w:hint="default" w:ascii="Wingdings" w:hAnsi="Wingdings"/>
      </w:rPr>
    </w:lvl>
  </w:abstractNum>
  <w:abstractNum w:abstractNumId="10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  <w:sz w:val="24"/>
        <w:szCs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97"/>
  </w:num>
  <w:num w:numId="2">
    <w:abstractNumId w:val="61"/>
  </w:num>
  <w:num w:numId="3">
    <w:abstractNumId w:val="22"/>
  </w:num>
  <w:num w:numId="4">
    <w:abstractNumId w:val="93"/>
  </w:num>
  <w:num w:numId="5">
    <w:abstractNumId w:val="75"/>
  </w:num>
  <w:num w:numId="6">
    <w:abstractNumId w:val="48"/>
  </w:num>
  <w:num w:numId="7">
    <w:abstractNumId w:val="25"/>
  </w:num>
  <w:num w:numId="8">
    <w:abstractNumId w:val="85"/>
  </w:num>
  <w:num w:numId="9">
    <w:abstractNumId w:val="104"/>
  </w:num>
  <w:num w:numId="10">
    <w:abstractNumId w:val="63"/>
  </w:num>
  <w:num w:numId="11">
    <w:abstractNumId w:val="38"/>
  </w:num>
  <w:num w:numId="12">
    <w:abstractNumId w:val="103"/>
  </w:num>
  <w:num w:numId="13">
    <w:abstractNumId w:val="57"/>
  </w:num>
  <w:num w:numId="14">
    <w:abstractNumId w:val="42"/>
  </w:num>
  <w:num w:numId="15">
    <w:abstractNumId w:val="36"/>
  </w:num>
  <w:num w:numId="16">
    <w:abstractNumId w:val="36"/>
  </w:num>
  <w:num w:numId="17">
    <w:abstractNumId w:val="66"/>
  </w:num>
  <w:num w:numId="18">
    <w:abstractNumId w:val="54"/>
  </w:num>
  <w:num w:numId="19">
    <w:abstractNumId w:val="86"/>
  </w:num>
  <w:num w:numId="20">
    <w:abstractNumId w:val="59"/>
  </w:num>
  <w:num w:numId="21">
    <w:abstractNumId w:val="56"/>
  </w:num>
  <w:num w:numId="22">
    <w:abstractNumId w:val="18"/>
  </w:num>
  <w:num w:numId="23">
    <w:abstractNumId w:val="21"/>
  </w:num>
  <w:num w:numId="24">
    <w:abstractNumId w:val="11"/>
  </w:num>
  <w:num w:numId="25">
    <w:abstractNumId w:val="77"/>
  </w:num>
  <w:num w:numId="26">
    <w:abstractNumId w:val="34"/>
  </w:num>
  <w:num w:numId="27">
    <w:abstractNumId w:val="99"/>
  </w:num>
  <w:num w:numId="28">
    <w:abstractNumId w:val="51"/>
  </w:num>
  <w:num w:numId="29">
    <w:abstractNumId w:val="71"/>
  </w:num>
  <w:num w:numId="30">
    <w:abstractNumId w:val="2"/>
  </w:num>
  <w:num w:numId="31">
    <w:abstractNumId w:val="45"/>
  </w:num>
  <w:num w:numId="32">
    <w:abstractNumId w:val="91"/>
  </w:num>
  <w:num w:numId="33">
    <w:abstractNumId w:val="94"/>
  </w:num>
  <w:num w:numId="34">
    <w:abstractNumId w:val="70"/>
  </w:num>
  <w:num w:numId="35">
    <w:abstractNumId w:val="33"/>
  </w:num>
  <w:num w:numId="36">
    <w:abstractNumId w:val="15"/>
  </w:num>
  <w:num w:numId="37">
    <w:abstractNumId w:val="90"/>
  </w:num>
  <w:num w:numId="38">
    <w:abstractNumId w:val="100"/>
  </w:num>
  <w:num w:numId="39">
    <w:abstractNumId w:val="106"/>
  </w:num>
  <w:num w:numId="40">
    <w:abstractNumId w:val="13"/>
  </w:num>
  <w:num w:numId="41">
    <w:abstractNumId w:val="55"/>
  </w:num>
  <w:num w:numId="42">
    <w:abstractNumId w:val="31"/>
  </w:num>
  <w:num w:numId="43">
    <w:abstractNumId w:val="14"/>
  </w:num>
  <w:num w:numId="44">
    <w:abstractNumId w:val="23"/>
  </w:num>
  <w:num w:numId="45">
    <w:abstractNumId w:val="80"/>
  </w:num>
  <w:num w:numId="46">
    <w:abstractNumId w:val="8"/>
  </w:num>
  <w:num w:numId="47">
    <w:abstractNumId w:val="3"/>
  </w:num>
  <w:num w:numId="48">
    <w:abstractNumId w:val="6"/>
  </w:num>
  <w:num w:numId="49">
    <w:abstractNumId w:val="53"/>
  </w:num>
  <w:num w:numId="50">
    <w:abstractNumId w:val="65"/>
  </w:num>
  <w:num w:numId="51">
    <w:abstractNumId w:val="68"/>
  </w:num>
  <w:num w:numId="52">
    <w:abstractNumId w:val="43"/>
  </w:num>
  <w:num w:numId="53">
    <w:abstractNumId w:val="26"/>
  </w:num>
  <w:num w:numId="54">
    <w:abstractNumId w:val="0"/>
  </w:num>
  <w:num w:numId="55">
    <w:abstractNumId w:val="20"/>
  </w:num>
  <w:num w:numId="56">
    <w:abstractNumId w:val="19"/>
  </w:num>
  <w:num w:numId="57">
    <w:abstractNumId w:val="41"/>
  </w:num>
  <w:num w:numId="58">
    <w:abstractNumId w:val="81"/>
  </w:num>
  <w:num w:numId="59">
    <w:abstractNumId w:val="64"/>
  </w:num>
  <w:num w:numId="60">
    <w:abstractNumId w:val="29"/>
  </w:num>
  <w:num w:numId="61">
    <w:abstractNumId w:val="9"/>
  </w:num>
  <w:num w:numId="62">
    <w:abstractNumId w:val="24"/>
  </w:num>
  <w:num w:numId="63">
    <w:abstractNumId w:val="52"/>
  </w:num>
  <w:num w:numId="64">
    <w:abstractNumId w:val="88"/>
  </w:num>
  <w:num w:numId="65">
    <w:abstractNumId w:val="28"/>
  </w:num>
  <w:num w:numId="66">
    <w:abstractNumId w:val="87"/>
  </w:num>
  <w:num w:numId="67">
    <w:abstractNumId w:val="83"/>
  </w:num>
  <w:num w:numId="68">
    <w:abstractNumId w:val="95"/>
  </w:num>
  <w:num w:numId="69">
    <w:abstractNumId w:val="7"/>
  </w:num>
  <w:num w:numId="70">
    <w:abstractNumId w:val="69"/>
  </w:num>
  <w:num w:numId="71">
    <w:abstractNumId w:val="40"/>
  </w:num>
  <w:num w:numId="72">
    <w:abstractNumId w:val="47"/>
  </w:num>
  <w:num w:numId="73">
    <w:abstractNumId w:val="84"/>
  </w:num>
  <w:num w:numId="74">
    <w:abstractNumId w:val="79"/>
  </w:num>
  <w:num w:numId="75">
    <w:abstractNumId w:val="60"/>
  </w:num>
  <w:num w:numId="76">
    <w:abstractNumId w:val="105"/>
  </w:num>
  <w:num w:numId="77">
    <w:abstractNumId w:val="16"/>
  </w:num>
  <w:num w:numId="78">
    <w:abstractNumId w:val="50"/>
  </w:num>
  <w:num w:numId="79">
    <w:abstractNumId w:val="92"/>
  </w:num>
  <w:num w:numId="80">
    <w:abstractNumId w:val="73"/>
  </w:num>
  <w:num w:numId="81">
    <w:abstractNumId w:val="17"/>
  </w:num>
  <w:num w:numId="82">
    <w:abstractNumId w:val="72"/>
  </w:num>
  <w:num w:numId="83">
    <w:abstractNumId w:val="96"/>
  </w:num>
  <w:num w:numId="84">
    <w:abstractNumId w:val="46"/>
  </w:num>
  <w:num w:numId="85">
    <w:abstractNumId w:val="78"/>
  </w:num>
  <w:num w:numId="86">
    <w:abstractNumId w:val="98"/>
  </w:num>
  <w:num w:numId="87">
    <w:abstractNumId w:val="10"/>
  </w:num>
  <w:num w:numId="88">
    <w:abstractNumId w:val="82"/>
  </w:num>
  <w:num w:numId="89">
    <w:abstractNumId w:val="35"/>
  </w:num>
  <w:num w:numId="90">
    <w:abstractNumId w:val="27"/>
  </w:num>
  <w:num w:numId="91">
    <w:abstractNumId w:val="58"/>
  </w:num>
  <w:num w:numId="92">
    <w:abstractNumId w:val="89"/>
  </w:num>
  <w:num w:numId="93">
    <w:abstractNumId w:val="5"/>
  </w:num>
  <w:num w:numId="94">
    <w:abstractNumId w:val="4"/>
  </w:num>
  <w:num w:numId="95">
    <w:abstractNumId w:val="37"/>
  </w:num>
  <w:num w:numId="96">
    <w:abstractNumId w:val="12"/>
  </w:num>
  <w:num w:numId="97">
    <w:abstractNumId w:val="32"/>
  </w:num>
  <w:num w:numId="98">
    <w:abstractNumId w:val="74"/>
  </w:num>
  <w:num w:numId="99">
    <w:abstractNumId w:val="39"/>
  </w:num>
  <w:num w:numId="100">
    <w:abstractNumId w:val="101"/>
  </w:num>
  <w:num w:numId="101">
    <w:abstractNumId w:val="102"/>
  </w:num>
  <w:num w:numId="102">
    <w:abstractNumId w:val="1"/>
  </w:num>
  <w:num w:numId="103">
    <w:abstractNumId w:val="76"/>
  </w:num>
  <w:num w:numId="104">
    <w:abstractNumId w:val="62"/>
  </w:num>
  <w:num w:numId="105">
    <w:abstractNumId w:val="44"/>
  </w:num>
  <w:num w:numId="106">
    <w:abstractNumId w:val="30"/>
  </w:num>
  <w:num w:numId="107">
    <w:abstractNumId w:val="49"/>
  </w:num>
  <w:num w:numId="108">
    <w:abstractNumId w:val="49"/>
    <w:lvlOverride w:ilvl="0">
      <w:startOverride w:val="2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07"/>
  </w:num>
  <w:num w:numId="11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sect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sz w:val="24"/>
        <w:szCs w:val="24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072" w:default="1">
    <w:name w:val="Normal"/>
    <w:qFormat/>
    <w:pPr>
      <w:spacing w:after="0" w:line="240" w:lineRule="auto"/>
    </w:pPr>
    <w:rPr>
      <w:rFonts w:eastAsia="Times New Roman"/>
      <w:lang w:eastAsia="ru-RU"/>
    </w:rPr>
  </w:style>
  <w:style w:type="paragraph" w:styleId="1073">
    <w:name w:val="Heading 1"/>
    <w:basedOn w:val="1234"/>
    <w:next w:val="1245"/>
    <w:link w:val="1233"/>
    <w:uiPriority w:val="9"/>
    <w:qFormat/>
    <w:pPr>
      <w:numPr>
        <w:numId w:val="107"/>
      </w:numPr>
      <w:contextualSpacing w:val="0"/>
      <w:jc w:val="center"/>
      <w:keepLines/>
      <w:keepNext/>
      <w:outlineLvl w:val="0"/>
    </w:pPr>
    <w:rPr>
      <w:rFonts w:ascii="Liberation Serif" w:hAnsi="Liberation Serif" w:eastAsiaTheme="minorHAnsi"/>
      <w:b/>
      <w:sz w:val="28"/>
    </w:rPr>
  </w:style>
  <w:style w:type="paragraph" w:styleId="1074">
    <w:name w:val="Heading 2"/>
    <w:basedOn w:val="1234"/>
    <w:next w:val="1464"/>
    <w:link w:val="1235"/>
    <w:uiPriority w:val="9"/>
    <w:unhideWhenUsed/>
    <w:qFormat/>
    <w:pPr>
      <w:numPr>
        <w:ilvl w:val="1"/>
        <w:numId w:val="107"/>
      </w:numPr>
      <w:contextualSpacing w:val="0"/>
      <w:jc w:val="center"/>
      <w:keepLines/>
      <w:keepNext/>
      <w:outlineLvl w:val="1"/>
    </w:pPr>
    <w:rPr>
      <w:rFonts w:ascii="Liberation Serif" w:hAnsi="Liberation Serif" w:eastAsia="Liberation Serif"/>
      <w:sz w:val="28"/>
    </w:rPr>
  </w:style>
  <w:style w:type="paragraph" w:styleId="1075">
    <w:name w:val="Heading 3"/>
    <w:basedOn w:val="1234"/>
    <w:next w:val="1072"/>
    <w:link w:val="1236"/>
    <w:uiPriority w:val="9"/>
    <w:unhideWhenUsed/>
    <w:qFormat/>
    <w:pPr>
      <w:numPr>
        <w:ilvl w:val="2"/>
        <w:numId w:val="107"/>
      </w:numPr>
      <w:contextualSpacing w:val="0"/>
      <w:jc w:val="both"/>
      <w:keepLines/>
      <w:keepNext/>
      <w:outlineLvl w:val="2"/>
    </w:pPr>
    <w:rPr>
      <w:rFonts w:ascii="Liberation Serif" w:hAnsi="Liberation Serif" w:eastAsia="Liberation Serif"/>
      <w:color w:val="000000"/>
      <w:sz w:val="28"/>
    </w:rPr>
  </w:style>
  <w:style w:type="paragraph" w:styleId="1076">
    <w:name w:val="Heading 4"/>
    <w:basedOn w:val="2168"/>
    <w:next w:val="1464"/>
    <w:link w:val="1237"/>
    <w:uiPriority w:val="9"/>
    <w:unhideWhenUsed/>
    <w:qFormat/>
    <w:pPr>
      <w:numPr>
        <w:ilvl w:val="3"/>
        <w:numId w:val="107"/>
      </w:numPr>
      <w:jc w:val="both"/>
      <w:keepLines/>
      <w:keepNext/>
      <w:outlineLvl w:val="3"/>
    </w:pPr>
    <w:rPr>
      <w:rFonts w:ascii="Liberation Serif" w:hAnsi="Liberation Serif"/>
      <w:sz w:val="28"/>
    </w:rPr>
  </w:style>
  <w:style w:type="paragraph" w:styleId="1077">
    <w:name w:val="Heading 5"/>
    <w:basedOn w:val="1072"/>
    <w:next w:val="1072"/>
    <w:link w:val="1357"/>
    <w:uiPriority w:val="9"/>
    <w:unhideWhenUsed/>
    <w:pPr>
      <w:ind w:left="1008" w:hanging="1008"/>
      <w:keepLines/>
      <w:keepNext/>
      <w:spacing w:before="200"/>
      <w:outlineLvl w:val="4"/>
    </w:pPr>
    <w:rPr>
      <w:rFonts w:ascii="Cambria" w:hAnsi="Cambria"/>
      <w:color w:val="243f60"/>
    </w:rPr>
  </w:style>
  <w:style w:type="paragraph" w:styleId="1078">
    <w:name w:val="Heading 6"/>
    <w:basedOn w:val="1072"/>
    <w:next w:val="1072"/>
    <w:link w:val="1238"/>
    <w:uiPriority w:val="9"/>
    <w:unhideWhenUsed/>
    <w:pPr>
      <w:spacing w:before="240" w:after="60"/>
      <w:outlineLvl w:val="5"/>
    </w:pPr>
    <w:rPr>
      <w:rFonts w:asciiTheme="minorHAnsi" w:hAnsiTheme="minorHAnsi"/>
      <w:b/>
      <w:bCs/>
      <w:sz w:val="22"/>
    </w:rPr>
  </w:style>
  <w:style w:type="paragraph" w:styleId="1079">
    <w:name w:val="Heading 7"/>
    <w:basedOn w:val="1072"/>
    <w:next w:val="1072"/>
    <w:link w:val="1239"/>
    <w:uiPriority w:val="99"/>
    <w:unhideWhenUsed/>
    <w:pPr>
      <w:spacing w:before="240" w:after="60"/>
      <w:outlineLvl w:val="6"/>
    </w:pPr>
    <w:rPr>
      <w:rFonts w:asciiTheme="minorHAnsi" w:hAnsiTheme="minorHAnsi"/>
    </w:rPr>
  </w:style>
  <w:style w:type="paragraph" w:styleId="1080">
    <w:name w:val="Heading 8"/>
    <w:basedOn w:val="1072"/>
    <w:next w:val="1072"/>
    <w:link w:val="1240"/>
    <w:uiPriority w:val="99"/>
    <w:unhideWhenUsed/>
    <w:pPr>
      <w:numPr>
        <w:ilvl w:val="7"/>
        <w:numId w:val="16"/>
      </w:numPr>
      <w:keepLines/>
      <w:keepNext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1081">
    <w:name w:val="Heading 9"/>
    <w:basedOn w:val="1072"/>
    <w:next w:val="1072"/>
    <w:link w:val="1241"/>
    <w:uiPriority w:val="99"/>
    <w:unhideWhenUsed/>
    <w:pPr>
      <w:numPr>
        <w:ilvl w:val="8"/>
        <w:numId w:val="15"/>
      </w:numPr>
      <w:keepLines/>
      <w:keepNext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1082" w:default="1">
    <w:name w:val="Default Paragraph Font"/>
    <w:uiPriority w:val="1"/>
    <w:semiHidden/>
    <w:unhideWhenUsed/>
  </w:style>
  <w:style w:type="table" w:styleId="10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84" w:default="1">
    <w:name w:val="No List"/>
    <w:uiPriority w:val="99"/>
    <w:semiHidden/>
    <w:unhideWhenUsed/>
  </w:style>
  <w:style w:type="character" w:styleId="1085" w:customStyle="1">
    <w:name w:val="Heading 1 Char"/>
    <w:basedOn w:val="1082"/>
    <w:uiPriority w:val="9"/>
    <w:rPr>
      <w:rFonts w:ascii="Arial" w:hAnsi="Arial" w:eastAsia="Arial" w:cs="Arial"/>
      <w:sz w:val="40"/>
      <w:szCs w:val="40"/>
    </w:rPr>
  </w:style>
  <w:style w:type="character" w:styleId="1086" w:customStyle="1">
    <w:name w:val="Heading 2 Char"/>
    <w:basedOn w:val="1082"/>
    <w:uiPriority w:val="9"/>
    <w:rPr>
      <w:rFonts w:ascii="Arial" w:hAnsi="Arial" w:eastAsia="Arial" w:cs="Arial"/>
      <w:sz w:val="34"/>
    </w:rPr>
  </w:style>
  <w:style w:type="character" w:styleId="1087" w:customStyle="1">
    <w:name w:val="Heading 3 Char"/>
    <w:basedOn w:val="1082"/>
    <w:uiPriority w:val="9"/>
    <w:rPr>
      <w:rFonts w:ascii="Arial" w:hAnsi="Arial" w:eastAsia="Arial" w:cs="Arial"/>
      <w:sz w:val="30"/>
      <w:szCs w:val="30"/>
    </w:rPr>
  </w:style>
  <w:style w:type="character" w:styleId="1088" w:customStyle="1">
    <w:name w:val="Heading 4 Char"/>
    <w:basedOn w:val="1082"/>
    <w:uiPriority w:val="9"/>
    <w:rPr>
      <w:rFonts w:ascii="Arial" w:hAnsi="Arial" w:eastAsia="Arial" w:cs="Arial"/>
      <w:b/>
      <w:bCs/>
      <w:sz w:val="26"/>
      <w:szCs w:val="26"/>
    </w:rPr>
  </w:style>
  <w:style w:type="character" w:styleId="1089" w:customStyle="1">
    <w:name w:val="Heading 5 Char"/>
    <w:basedOn w:val="1082"/>
    <w:uiPriority w:val="9"/>
    <w:rPr>
      <w:rFonts w:ascii="Arial" w:hAnsi="Arial" w:eastAsia="Arial" w:cs="Arial"/>
      <w:b/>
      <w:bCs/>
      <w:sz w:val="24"/>
      <w:szCs w:val="24"/>
    </w:rPr>
  </w:style>
  <w:style w:type="character" w:styleId="1090" w:customStyle="1">
    <w:name w:val="Heading 6 Char"/>
    <w:basedOn w:val="1082"/>
    <w:uiPriority w:val="9"/>
    <w:rPr>
      <w:rFonts w:ascii="Arial" w:hAnsi="Arial" w:eastAsia="Arial" w:cs="Arial"/>
      <w:b/>
      <w:bCs/>
      <w:sz w:val="22"/>
      <w:szCs w:val="22"/>
    </w:rPr>
  </w:style>
  <w:style w:type="character" w:styleId="1091" w:customStyle="1">
    <w:name w:val="Heading 7 Char"/>
    <w:basedOn w:val="108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092" w:customStyle="1">
    <w:name w:val="Heading 8 Char"/>
    <w:basedOn w:val="1082"/>
    <w:uiPriority w:val="9"/>
    <w:rPr>
      <w:rFonts w:ascii="Arial" w:hAnsi="Arial" w:eastAsia="Arial" w:cs="Arial"/>
      <w:i/>
      <w:iCs/>
      <w:sz w:val="22"/>
      <w:szCs w:val="22"/>
    </w:rPr>
  </w:style>
  <w:style w:type="character" w:styleId="1093" w:customStyle="1">
    <w:name w:val="Heading 9 Char"/>
    <w:basedOn w:val="1082"/>
    <w:uiPriority w:val="9"/>
    <w:rPr>
      <w:rFonts w:ascii="Arial" w:hAnsi="Arial" w:eastAsia="Arial" w:cs="Arial"/>
      <w:i/>
      <w:iCs/>
      <w:sz w:val="21"/>
      <w:szCs w:val="21"/>
    </w:rPr>
  </w:style>
  <w:style w:type="character" w:styleId="1094" w:customStyle="1">
    <w:name w:val="Title Char"/>
    <w:basedOn w:val="1082"/>
    <w:uiPriority w:val="10"/>
    <w:rPr>
      <w:sz w:val="48"/>
      <w:szCs w:val="48"/>
    </w:rPr>
  </w:style>
  <w:style w:type="character" w:styleId="1095" w:customStyle="1">
    <w:name w:val="Subtitle Char"/>
    <w:basedOn w:val="1082"/>
    <w:uiPriority w:val="11"/>
    <w:rPr>
      <w:sz w:val="24"/>
      <w:szCs w:val="24"/>
    </w:rPr>
  </w:style>
  <w:style w:type="character" w:styleId="1096" w:customStyle="1">
    <w:name w:val="Quote Char"/>
    <w:uiPriority w:val="29"/>
    <w:rPr>
      <w:i/>
    </w:rPr>
  </w:style>
  <w:style w:type="character" w:styleId="1097" w:customStyle="1">
    <w:name w:val="Intense Quote Char"/>
    <w:uiPriority w:val="30"/>
    <w:rPr>
      <w:i/>
    </w:rPr>
  </w:style>
  <w:style w:type="character" w:styleId="1098" w:customStyle="1">
    <w:name w:val="Header Char"/>
    <w:basedOn w:val="1082"/>
    <w:uiPriority w:val="99"/>
  </w:style>
  <w:style w:type="character" w:styleId="1099" w:customStyle="1">
    <w:name w:val="Footer Char"/>
    <w:basedOn w:val="1082"/>
    <w:uiPriority w:val="99"/>
  </w:style>
  <w:style w:type="character" w:styleId="1100" w:customStyle="1">
    <w:name w:val="Caption Char"/>
    <w:uiPriority w:val="99"/>
  </w:style>
  <w:style w:type="table" w:styleId="1101" w:customStyle="1">
    <w:name w:val="Table Grid Light"/>
    <w:basedOn w:val="108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102">
    <w:name w:val="Plain Table 1"/>
    <w:basedOn w:val="108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103">
    <w:name w:val="Plain Table 2"/>
    <w:basedOn w:val="108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104">
    <w:name w:val="Plain Table 3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105">
    <w:name w:val="Plain Table 4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6">
    <w:name w:val="Plain Table 5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107">
    <w:name w:val="Grid Table 1 Light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8" w:customStyle="1">
    <w:name w:val="Grid Table 1 Light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9" w:customStyle="1">
    <w:name w:val="Grid Table 1 Light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0" w:customStyle="1">
    <w:name w:val="Grid Table 1 Light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1" w:customStyle="1">
    <w:name w:val="Grid Table 1 Light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2" w:customStyle="1">
    <w:name w:val="Grid Table 1 Light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3" w:customStyle="1">
    <w:name w:val="Grid Table 1 Light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4">
    <w:name w:val="Grid Table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5" w:customStyle="1">
    <w:name w:val="Grid Table 2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6" w:customStyle="1">
    <w:name w:val="Grid Table 2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7" w:customStyle="1">
    <w:name w:val="Grid Table 2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8" w:customStyle="1">
    <w:name w:val="Grid Table 2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9" w:customStyle="1">
    <w:name w:val="Grid Table 2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0" w:customStyle="1">
    <w:name w:val="Grid Table 2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1">
    <w:name w:val="Grid Table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2" w:customStyle="1">
    <w:name w:val="Grid Table 3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3" w:customStyle="1">
    <w:name w:val="Grid Table 3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4" w:customStyle="1">
    <w:name w:val="Grid Table 3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5" w:customStyle="1">
    <w:name w:val="Grid Table 3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6" w:customStyle="1">
    <w:name w:val="Grid Table 3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7" w:customStyle="1">
    <w:name w:val="Grid Table 3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8">
    <w:name w:val="Grid Table 4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129" w:customStyle="1">
    <w:name w:val="Grid Table 4 - Accent 1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1130" w:customStyle="1">
    <w:name w:val="Grid Table 4 - Accent 2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1131" w:customStyle="1">
    <w:name w:val="Grid Table 4 - Accent 3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1132" w:customStyle="1">
    <w:name w:val="Grid Table 4 - Accent 4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1133" w:customStyle="1">
    <w:name w:val="Grid Table 4 - Accent 5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1134" w:customStyle="1">
    <w:name w:val="Grid Table 4 - Accent 6"/>
    <w:basedOn w:val="1083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1135">
    <w:name w:val="Grid Table 5 Dark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136" w:customStyle="1">
    <w:name w:val="Grid Table 5 Dark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1137" w:customStyle="1">
    <w:name w:val="Grid Table 5 Dark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1138" w:customStyle="1">
    <w:name w:val="Grid Table 5 Dark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139" w:customStyle="1">
    <w:name w:val="Grid Table 5 Dark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140" w:customStyle="1">
    <w:name w:val="Grid Table 5 Dark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141" w:customStyle="1">
    <w:name w:val="Grid Table 5 Dark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142">
    <w:name w:val="Grid Table 6 Colorful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143" w:customStyle="1">
    <w:name w:val="Grid Table 6 Colorful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144" w:customStyle="1">
    <w:name w:val="Grid Table 6 Colorful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145" w:customStyle="1">
    <w:name w:val="Grid Table 6 Colorful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146" w:customStyle="1">
    <w:name w:val="Grid Table 6 Colorful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147" w:customStyle="1">
    <w:name w:val="Grid Table 6 Colorful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148" w:customStyle="1">
    <w:name w:val="Grid Table 6 Colorful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149">
    <w:name w:val="Grid Table 7 Colorful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0" w:customStyle="1">
    <w:name w:val="Grid Table 7 Colorful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1" w:customStyle="1">
    <w:name w:val="Grid Table 7 Colorful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2" w:customStyle="1">
    <w:name w:val="Grid Table 7 Colorful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3" w:customStyle="1">
    <w:name w:val="Grid Table 7 Colorful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4" w:customStyle="1">
    <w:name w:val="Grid Table 7 Colorful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5" w:customStyle="1">
    <w:name w:val="Grid Table 7 Colorful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6">
    <w:name w:val="List Table 1 Light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7" w:customStyle="1">
    <w:name w:val="List Table 1 Light - Accent 1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8" w:customStyle="1">
    <w:name w:val="List Table 1 Light - Accent 2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59" w:customStyle="1">
    <w:name w:val="List Table 1 Light - Accent 3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60" w:customStyle="1">
    <w:name w:val="List Table 1 Light - Accent 4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61" w:customStyle="1">
    <w:name w:val="List Table 1 Light - Accent 5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62" w:customStyle="1">
    <w:name w:val="List Table 1 Light - Accent 6"/>
    <w:basedOn w:val="108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63">
    <w:name w:val="List Table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164" w:customStyle="1">
    <w:name w:val="List Table 2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165" w:customStyle="1">
    <w:name w:val="List Table 2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166" w:customStyle="1">
    <w:name w:val="List Table 2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167" w:customStyle="1">
    <w:name w:val="List Table 2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168" w:customStyle="1">
    <w:name w:val="List Table 2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169" w:customStyle="1">
    <w:name w:val="List Table 2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170">
    <w:name w:val="List Table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1" w:customStyle="1">
    <w:name w:val="List Table 3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2" w:customStyle="1">
    <w:name w:val="List Table 3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3" w:customStyle="1">
    <w:name w:val="List Table 3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4" w:customStyle="1">
    <w:name w:val="List Table 3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5" w:customStyle="1">
    <w:name w:val="List Table 3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6" w:customStyle="1">
    <w:name w:val="List Table 3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7">
    <w:name w:val="List Table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8" w:customStyle="1">
    <w:name w:val="List Table 4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9" w:customStyle="1">
    <w:name w:val="List Table 4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0" w:customStyle="1">
    <w:name w:val="List Table 4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1" w:customStyle="1">
    <w:name w:val="List Table 4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2" w:customStyle="1">
    <w:name w:val="List Table 4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3" w:customStyle="1">
    <w:name w:val="List Table 4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4">
    <w:name w:val="List Table 5 Dark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5" w:customStyle="1">
    <w:name w:val="List Table 5 Dark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6" w:customStyle="1">
    <w:name w:val="List Table 5 Dark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7" w:customStyle="1">
    <w:name w:val="List Table 5 Dark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8" w:customStyle="1">
    <w:name w:val="List Table 5 Dark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9" w:customStyle="1">
    <w:name w:val="List Table 5 Dark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90" w:customStyle="1">
    <w:name w:val="List Table 5 Dark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91">
    <w:name w:val="List Table 6 Colorful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92" w:customStyle="1">
    <w:name w:val="List Table 6 Colorful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193" w:customStyle="1">
    <w:name w:val="List Table 6 Colorful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194" w:customStyle="1">
    <w:name w:val="List Table 6 Colorful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195" w:customStyle="1">
    <w:name w:val="List Table 6 Colorful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196" w:customStyle="1">
    <w:name w:val="List Table 6 Colorful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197" w:customStyle="1">
    <w:name w:val="List Table 6 Colorful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198">
    <w:name w:val="List Table 7 Colorful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9" w:customStyle="1">
    <w:name w:val="List Table 7 Colorful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0" w:customStyle="1">
    <w:name w:val="List Table 7 Colorful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1" w:customStyle="1">
    <w:name w:val="List Table 7 Colorful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2" w:customStyle="1">
    <w:name w:val="List Table 7 Colorful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3" w:customStyle="1">
    <w:name w:val="List Table 7 Colorful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4" w:customStyle="1">
    <w:name w:val="List Table 7 Colorful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5" w:customStyle="1">
    <w:name w:val="Lined - Accent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206" w:customStyle="1">
    <w:name w:val="Lined - Accent 1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207" w:customStyle="1">
    <w:name w:val="Lined - Accent 2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208" w:customStyle="1">
    <w:name w:val="Lined - Accent 3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209" w:customStyle="1">
    <w:name w:val="Lined - Accent 4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210" w:customStyle="1">
    <w:name w:val="Lined - Accent 5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211" w:customStyle="1">
    <w:name w:val="Lined - Accent 6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212" w:customStyle="1">
    <w:name w:val="Bordered &amp; Lined - Accent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213" w:customStyle="1">
    <w:name w:val="Bordered &amp; Lined - Accent 1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214" w:customStyle="1">
    <w:name w:val="Bordered &amp; Lined - Accent 2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215" w:customStyle="1">
    <w:name w:val="Bordered &amp; Lined - Accent 3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216" w:customStyle="1">
    <w:name w:val="Bordered &amp; Lined - Accent 4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217" w:customStyle="1">
    <w:name w:val="Bordered &amp; Lined - Accent 5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218" w:customStyle="1">
    <w:name w:val="Bordered &amp; Lined - Accent 6"/>
    <w:basedOn w:val="108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219" w:customStyle="1">
    <w:name w:val="Bordered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220" w:customStyle="1">
    <w:name w:val="Bordered - Accent 1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221" w:customStyle="1">
    <w:name w:val="Bordered - Accent 2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222" w:customStyle="1">
    <w:name w:val="Bordered - Accent 3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223" w:customStyle="1">
    <w:name w:val="Bordered - Accent 4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224" w:customStyle="1">
    <w:name w:val="Bordered - Accent 5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225" w:customStyle="1">
    <w:name w:val="Bordered - Accent 6"/>
    <w:basedOn w:val="108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226" w:customStyle="1">
    <w:name w:val="Footnote Text Char"/>
    <w:uiPriority w:val="99"/>
    <w:rPr>
      <w:sz w:val="18"/>
    </w:rPr>
  </w:style>
  <w:style w:type="character" w:styleId="1227" w:customStyle="1">
    <w:name w:val="Endnote Text Char"/>
    <w:uiPriority w:val="99"/>
    <w:rPr>
      <w:sz w:val="20"/>
    </w:rPr>
  </w:style>
  <w:style w:type="paragraph" w:styleId="1228" w:customStyle="1">
    <w:name w:val="Рис_подпись"/>
    <w:basedOn w:val="1230"/>
    <w:next w:val="1245"/>
    <w:link w:val="1229"/>
    <w:pPr>
      <w:jc w:val="center"/>
      <w:keepLines w:val="0"/>
      <w:keepNext w:val="0"/>
      <w:spacing w:before="0" w:after="240"/>
    </w:pPr>
  </w:style>
  <w:style w:type="character" w:styleId="1229" w:customStyle="1">
    <w:name w:val="Рис_подпись Знак"/>
    <w:link w:val="1228"/>
    <w:rPr>
      <w:rFonts w:cstheme="minorBidi"/>
    </w:rPr>
  </w:style>
  <w:style w:type="paragraph" w:styleId="1230">
    <w:name w:val="Caption"/>
    <w:next w:val="1072"/>
    <w:link w:val="1242"/>
    <w:uiPriority w:val="35"/>
    <w:unhideWhenUsed/>
    <w:pPr>
      <w:jc w:val="both"/>
      <w:keepLines/>
      <w:keepNext/>
      <w:spacing w:before="120" w:after="0" w:line="240" w:lineRule="auto"/>
    </w:pPr>
    <w:rPr>
      <w:rFonts w:ascii="Liberation Serif" w:hAnsi="Liberation Serif" w:cstheme="minorBidi"/>
      <w:b/>
      <w:bCs/>
      <w:sz w:val="28"/>
    </w:rPr>
  </w:style>
  <w:style w:type="paragraph" w:styleId="1231" w:customStyle="1">
    <w:name w:val="РИС."/>
    <w:basedOn w:val="1072"/>
    <w:next w:val="1228"/>
    <w:link w:val="1232"/>
    <w:pPr>
      <w:jc w:val="center"/>
      <w:keepNext/>
      <w:spacing w:before="240"/>
    </w:pPr>
  </w:style>
  <w:style w:type="character" w:styleId="1232" w:customStyle="1">
    <w:name w:val="РИС. Знак"/>
    <w:link w:val="1231"/>
    <w:rPr>
      <w:rFonts w:eastAsia="Times New Roman" w:cstheme="minorBidi"/>
      <w:szCs w:val="22"/>
    </w:rPr>
  </w:style>
  <w:style w:type="character" w:styleId="1233" w:customStyle="1">
    <w:name w:val="Заголовок 1 Знак"/>
    <w:link w:val="1073"/>
    <w:uiPriority w:val="9"/>
    <w:rPr>
      <w:rFonts w:ascii="Liberation Serif" w:hAnsi="Liberation Serif"/>
      <w:b/>
      <w:sz w:val="28"/>
      <w:lang w:eastAsia="ru-RU"/>
    </w:rPr>
  </w:style>
  <w:style w:type="paragraph" w:styleId="1234">
    <w:name w:val="List Paragraph"/>
    <w:basedOn w:val="1072"/>
    <w:link w:val="1358"/>
    <w:uiPriority w:val="34"/>
    <w:pPr>
      <w:contextualSpacing/>
      <w:ind w:left="720"/>
    </w:pPr>
  </w:style>
  <w:style w:type="character" w:styleId="1235" w:customStyle="1">
    <w:name w:val="Заголовок 2 Знак"/>
    <w:link w:val="1074"/>
    <w:uiPriority w:val="9"/>
    <w:rPr>
      <w:rFonts w:ascii="Liberation Serif" w:hAnsi="Liberation Serif" w:eastAsia="Liberation Serif"/>
      <w:sz w:val="28"/>
      <w:lang w:eastAsia="ru-RU"/>
    </w:rPr>
  </w:style>
  <w:style w:type="character" w:styleId="1236" w:customStyle="1">
    <w:name w:val="Заголовок 3 Знак"/>
    <w:link w:val="1075"/>
    <w:uiPriority w:val="9"/>
    <w:rPr>
      <w:rFonts w:ascii="Liberation Serif" w:hAnsi="Liberation Serif" w:eastAsia="Liberation Serif"/>
      <w:color w:val="000000"/>
      <w:sz w:val="28"/>
      <w:lang w:eastAsia="ru-RU"/>
    </w:rPr>
  </w:style>
  <w:style w:type="character" w:styleId="1237" w:customStyle="1">
    <w:name w:val="Заголовок 4 Знак"/>
    <w:link w:val="1076"/>
    <w:uiPriority w:val="9"/>
    <w:rPr>
      <w:rFonts w:ascii="Liberation Serif" w:hAnsi="Liberation Serif" w:eastAsia="Times New Roman"/>
      <w:sz w:val="28"/>
      <w:lang w:eastAsia="ru-RU"/>
    </w:rPr>
  </w:style>
  <w:style w:type="character" w:styleId="1238" w:customStyle="1">
    <w:name w:val="Заголовок 6 Знак"/>
    <w:basedOn w:val="1082"/>
    <w:link w:val="1078"/>
    <w:uiPriority w:val="9"/>
    <w:rPr>
      <w:rFonts w:asciiTheme="minorHAnsi" w:hAnsiTheme="minorHAnsi" w:eastAsiaTheme="minorEastAsia" w:cstheme="minorBidi"/>
      <w:b/>
      <w:bCs/>
      <w:sz w:val="22"/>
      <w:szCs w:val="22"/>
    </w:rPr>
  </w:style>
  <w:style w:type="character" w:styleId="1239" w:customStyle="1">
    <w:name w:val="Заголовок 7 Знак"/>
    <w:basedOn w:val="1082"/>
    <w:link w:val="1079"/>
    <w:uiPriority w:val="99"/>
    <w:rPr>
      <w:rFonts w:asciiTheme="minorHAnsi" w:hAnsiTheme="minorHAnsi" w:eastAsiaTheme="minorEastAsia" w:cstheme="minorBidi"/>
    </w:rPr>
  </w:style>
  <w:style w:type="character" w:styleId="1240" w:customStyle="1">
    <w:name w:val="Заголовок 8 Знак"/>
    <w:basedOn w:val="1082"/>
    <w:link w:val="1080"/>
    <w:uiPriority w:val="9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character" w:styleId="1241" w:customStyle="1">
    <w:name w:val="Заголовок 9 Знак"/>
    <w:basedOn w:val="1082"/>
    <w:link w:val="1081"/>
    <w:uiPriority w:val="9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1242" w:customStyle="1">
    <w:name w:val="Название объекта Знак"/>
    <w:link w:val="1230"/>
    <w:uiPriority w:val="35"/>
    <w:rPr>
      <w:rFonts w:ascii="Liberation Serif" w:hAnsi="Liberation Serif" w:cstheme="minorBidi"/>
      <w:b/>
      <w:bCs/>
      <w:sz w:val="28"/>
    </w:rPr>
  </w:style>
  <w:style w:type="paragraph" w:styleId="1243">
    <w:name w:val="Subtitle"/>
    <w:basedOn w:val="1072"/>
    <w:link w:val="1244"/>
    <w:uiPriority w:val="99"/>
    <w:pPr>
      <w:jc w:val="center"/>
    </w:pPr>
    <w:rPr>
      <w:sz w:val="28"/>
      <w:szCs w:val="20"/>
    </w:rPr>
  </w:style>
  <w:style w:type="character" w:styleId="1244" w:customStyle="1">
    <w:name w:val="Подзаголовок Знак"/>
    <w:basedOn w:val="1082"/>
    <w:link w:val="1243"/>
    <w:uiPriority w:val="99"/>
    <w:rPr>
      <w:rFonts w:eastAsia="Times New Roman"/>
      <w:sz w:val="28"/>
      <w:szCs w:val="20"/>
      <w:lang w:eastAsia="ru-RU"/>
    </w:rPr>
  </w:style>
  <w:style w:type="paragraph" w:styleId="1245">
    <w:name w:val="No Spacing"/>
    <w:link w:val="1246"/>
    <w:uiPriority w:val="99"/>
    <w:qFormat/>
    <w:pPr>
      <w:ind w:firstLine="709"/>
      <w:jc w:val="both"/>
      <w:spacing w:after="0" w:line="240" w:lineRule="auto"/>
    </w:pPr>
    <w:rPr>
      <w:rFonts w:ascii="Liberation Serif" w:hAnsi="Liberation Serif"/>
      <w:sz w:val="28"/>
    </w:rPr>
  </w:style>
  <w:style w:type="character" w:styleId="1246" w:customStyle="1">
    <w:name w:val="Без интервала Знак"/>
    <w:link w:val="1245"/>
    <w:uiPriority w:val="99"/>
    <w:qFormat/>
    <w:rPr>
      <w:rFonts w:ascii="Liberation Serif" w:hAnsi="Liberation Serif"/>
      <w:sz w:val="28"/>
    </w:rPr>
  </w:style>
  <w:style w:type="paragraph" w:styleId="1247">
    <w:name w:val="TOC Heading"/>
    <w:basedOn w:val="1073"/>
    <w:next w:val="1072"/>
    <w:uiPriority w:val="39"/>
    <w:unhideWhenUsed/>
    <w:pPr>
      <w:spacing w:before="120" w:after="120"/>
      <w:outlineLvl w:val="9"/>
    </w:pPr>
    <w:rPr>
      <w:rFonts w:eastAsiaTheme="majorEastAsia" w:cstheme="majorBidi"/>
      <w:bCs/>
      <w:szCs w:val="28"/>
    </w:rPr>
  </w:style>
  <w:style w:type="table" w:styleId="1248">
    <w:name w:val="Table Grid"/>
    <w:basedOn w:val="108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249">
    <w:name w:val="Header"/>
    <w:basedOn w:val="1072"/>
    <w:link w:val="125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250" w:customStyle="1">
    <w:name w:val="Верхний колонтитул Знак"/>
    <w:basedOn w:val="1082"/>
    <w:link w:val="1249"/>
    <w:uiPriority w:val="99"/>
    <w:rPr>
      <w:rFonts w:eastAsiaTheme="minorEastAsia" w:cstheme="minorBidi"/>
      <w:szCs w:val="22"/>
    </w:rPr>
  </w:style>
  <w:style w:type="paragraph" w:styleId="1251">
    <w:name w:val="Footer"/>
    <w:basedOn w:val="1072"/>
    <w:link w:val="125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252" w:customStyle="1">
    <w:name w:val="Нижний колонтитул Знак"/>
    <w:basedOn w:val="1082"/>
    <w:link w:val="1251"/>
    <w:uiPriority w:val="99"/>
    <w:rPr>
      <w:rFonts w:eastAsiaTheme="minorEastAsia" w:cstheme="minorBidi"/>
      <w:szCs w:val="22"/>
    </w:rPr>
  </w:style>
  <w:style w:type="paragraph" w:styleId="1253" w:customStyle="1">
    <w:name w:val="Таблица_гост"/>
    <w:basedOn w:val="1072"/>
    <w:link w:val="1254"/>
    <w:rPr>
      <w:sz w:val="26"/>
    </w:rPr>
  </w:style>
  <w:style w:type="character" w:styleId="1254" w:customStyle="1">
    <w:name w:val="Таблица_гост Знак"/>
    <w:link w:val="1253"/>
    <w:rPr>
      <w:rFonts w:eastAsiaTheme="minorEastAsia"/>
      <w:sz w:val="26"/>
      <w:szCs w:val="22"/>
    </w:rPr>
  </w:style>
  <w:style w:type="paragraph" w:styleId="1255">
    <w:name w:val="Balloon Text"/>
    <w:basedOn w:val="1072"/>
    <w:link w:val="1256"/>
    <w:uiPriority w:val="99"/>
    <w:unhideWhenUsed/>
    <w:rPr>
      <w:rFonts w:ascii="Tahoma" w:hAnsi="Tahoma" w:cs="Tahoma"/>
      <w:sz w:val="16"/>
      <w:szCs w:val="16"/>
    </w:rPr>
  </w:style>
  <w:style w:type="character" w:styleId="1256" w:customStyle="1">
    <w:name w:val="Текст выноски Знак"/>
    <w:basedOn w:val="1082"/>
    <w:link w:val="1255"/>
    <w:uiPriority w:val="99"/>
    <w:rPr>
      <w:rFonts w:ascii="Tahoma" w:hAnsi="Tahoma" w:cs="Tahoma" w:eastAsiaTheme="minorEastAsia"/>
      <w:sz w:val="16"/>
      <w:szCs w:val="16"/>
    </w:rPr>
  </w:style>
  <w:style w:type="paragraph" w:styleId="1257" w:customStyle="1">
    <w:name w:val="рис_тело"/>
    <w:basedOn w:val="1072"/>
    <w:next w:val="1228"/>
    <w:link w:val="1258"/>
    <w:pPr>
      <w:jc w:val="center"/>
      <w:keepNext/>
      <w:spacing w:before="240"/>
    </w:pPr>
  </w:style>
  <w:style w:type="character" w:styleId="1258" w:customStyle="1">
    <w:name w:val="рис_тело Знак"/>
    <w:link w:val="1257"/>
    <w:rPr>
      <w:rFonts w:eastAsia="Times New Roman"/>
      <w:szCs w:val="22"/>
    </w:rPr>
  </w:style>
  <w:style w:type="paragraph" w:styleId="1259">
    <w:name w:val="toc 1"/>
    <w:basedOn w:val="1072"/>
    <w:next w:val="1072"/>
    <w:uiPriority w:val="39"/>
    <w:unhideWhenUsed/>
    <w:pPr>
      <w:spacing w:after="100"/>
      <w:tabs>
        <w:tab w:val="left" w:pos="480" w:leader="none"/>
        <w:tab w:val="right" w:pos="9628" w:leader="dot"/>
      </w:tabs>
    </w:pPr>
    <w:rPr>
      <w:b/>
      <w:caps/>
    </w:rPr>
  </w:style>
  <w:style w:type="paragraph" w:styleId="1260">
    <w:name w:val="toc 2"/>
    <w:basedOn w:val="1072"/>
    <w:next w:val="1072"/>
    <w:uiPriority w:val="39"/>
    <w:unhideWhenUsed/>
    <w:pPr>
      <w:ind w:left="240"/>
      <w:spacing w:after="100"/>
      <w:tabs>
        <w:tab w:val="left" w:pos="880" w:leader="none"/>
        <w:tab w:val="right" w:pos="9628" w:leader="dot"/>
      </w:tabs>
    </w:pPr>
    <w:rPr>
      <w:b/>
    </w:rPr>
  </w:style>
  <w:style w:type="paragraph" w:styleId="1261">
    <w:name w:val="toc 3"/>
    <w:basedOn w:val="1072"/>
    <w:next w:val="1072"/>
    <w:uiPriority w:val="39"/>
    <w:unhideWhenUsed/>
    <w:pPr>
      <w:ind w:left="480"/>
      <w:spacing w:after="100"/>
      <w:tabs>
        <w:tab w:val="right" w:pos="9627" w:leader="dot"/>
      </w:tabs>
    </w:pPr>
  </w:style>
  <w:style w:type="character" w:styleId="1262">
    <w:name w:val="Book Title"/>
    <w:basedOn w:val="1082"/>
    <w:uiPriority w:val="33"/>
    <w:rPr>
      <w:b/>
      <w:bCs/>
      <w:smallCaps/>
      <w:spacing w:val="5"/>
    </w:rPr>
  </w:style>
  <w:style w:type="paragraph" w:styleId="1263" w:customStyle="1">
    <w:name w:val="Рисунок"/>
    <w:basedOn w:val="1230"/>
    <w:link w:val="1264"/>
    <w:pPr>
      <w:jc w:val="center"/>
    </w:pPr>
    <w:rPr>
      <w:rFonts w:cs="Times New Roman"/>
      <w:lang w:eastAsia="ru-RU"/>
    </w:rPr>
  </w:style>
  <w:style w:type="character" w:styleId="1264" w:customStyle="1">
    <w:name w:val="Рисунок Знак"/>
    <w:basedOn w:val="1082"/>
    <w:link w:val="1263"/>
    <w:rPr>
      <w:bCs/>
      <w:lang w:eastAsia="ru-RU"/>
    </w:rPr>
  </w:style>
  <w:style w:type="paragraph" w:styleId="1265" w:customStyle="1">
    <w:name w:val="Таблица"/>
    <w:basedOn w:val="1230"/>
    <w:link w:val="1266"/>
    <w:rPr>
      <w:rFonts w:cs="Times New Roman"/>
    </w:rPr>
  </w:style>
  <w:style w:type="character" w:styleId="1266" w:customStyle="1">
    <w:name w:val="Таблица Знак"/>
    <w:basedOn w:val="1082"/>
    <w:link w:val="1265"/>
    <w:rPr>
      <w:bCs/>
    </w:rPr>
  </w:style>
  <w:style w:type="character" w:styleId="1267">
    <w:name w:val="Hyperlink"/>
    <w:basedOn w:val="1082"/>
    <w:uiPriority w:val="99"/>
    <w:unhideWhenUsed/>
    <w:rPr>
      <w:color w:val="0000ff" w:themeColor="hyperlink"/>
      <w:u w:val="single"/>
    </w:rPr>
  </w:style>
  <w:style w:type="paragraph" w:styleId="1268">
    <w:name w:val="toc 4"/>
    <w:basedOn w:val="1072"/>
    <w:next w:val="1072"/>
    <w:uiPriority w:val="39"/>
    <w:unhideWhenUsed/>
    <w:pPr>
      <w:ind w:firstLine="709"/>
      <w:spacing w:after="100"/>
    </w:pPr>
  </w:style>
  <w:style w:type="paragraph" w:styleId="1269">
    <w:name w:val="Body Text Indent 2"/>
    <w:basedOn w:val="1072"/>
    <w:link w:val="1270"/>
    <w:uiPriority w:val="99"/>
    <w:pPr>
      <w:ind w:firstLine="720"/>
      <w:jc w:val="both"/>
    </w:pPr>
    <w:rPr>
      <w:sz w:val="28"/>
      <w:szCs w:val="20"/>
    </w:rPr>
  </w:style>
  <w:style w:type="character" w:styleId="1270" w:customStyle="1">
    <w:name w:val="Основной текст с отступом 2 Знак"/>
    <w:basedOn w:val="1082"/>
    <w:link w:val="1269"/>
    <w:uiPriority w:val="99"/>
    <w:rPr>
      <w:rFonts w:eastAsia="Times New Roman"/>
      <w:sz w:val="28"/>
      <w:szCs w:val="20"/>
      <w:lang w:eastAsia="ru-RU"/>
    </w:rPr>
  </w:style>
  <w:style w:type="paragraph" w:styleId="1271" w:customStyle="1">
    <w:name w:val="Таб_подпись"/>
    <w:basedOn w:val="1228"/>
    <w:link w:val="1272"/>
    <w:pPr>
      <w:spacing w:after="0"/>
    </w:pPr>
  </w:style>
  <w:style w:type="character" w:styleId="1272" w:customStyle="1">
    <w:name w:val="Таб_подпись Знак"/>
    <w:basedOn w:val="1229"/>
    <w:link w:val="1271"/>
    <w:rPr>
      <w:rFonts w:cstheme="minorBidi"/>
      <w:b/>
    </w:rPr>
  </w:style>
  <w:style w:type="paragraph" w:styleId="1273" w:customStyle="1">
    <w:name w:val="Standard"/>
    <w:pPr>
      <w:spacing w:after="0" w:line="240" w:lineRule="auto"/>
      <w:widowControl w:val="off"/>
    </w:pPr>
    <w:rPr>
      <w:rFonts w:eastAsia="Arial Unicode MS"/>
      <w:lang w:eastAsia="zh-CN" w:bidi="hi-IN"/>
    </w:rPr>
  </w:style>
  <w:style w:type="paragraph" w:styleId="1274" w:customStyle="1">
    <w:name w:val="Style8"/>
    <w:basedOn w:val="1273"/>
  </w:style>
  <w:style w:type="paragraph" w:styleId="1275" w:customStyle="1">
    <w:name w:val="Style59"/>
    <w:basedOn w:val="1273"/>
  </w:style>
  <w:style w:type="paragraph" w:styleId="1276" w:customStyle="1">
    <w:name w:val="Style57"/>
    <w:basedOn w:val="1273"/>
  </w:style>
  <w:style w:type="paragraph" w:styleId="1277" w:customStyle="1">
    <w:name w:val="Style104"/>
    <w:basedOn w:val="1273"/>
  </w:style>
  <w:style w:type="paragraph" w:styleId="1278" w:customStyle="1">
    <w:name w:val="Style102"/>
    <w:basedOn w:val="1273"/>
  </w:style>
  <w:style w:type="paragraph" w:styleId="1279" w:customStyle="1">
    <w:name w:val="Style16"/>
    <w:basedOn w:val="1273"/>
  </w:style>
  <w:style w:type="paragraph" w:styleId="1280" w:customStyle="1">
    <w:name w:val="Style28"/>
    <w:basedOn w:val="1273"/>
  </w:style>
  <w:style w:type="paragraph" w:styleId="1281" w:customStyle="1">
    <w:name w:val="Style17"/>
    <w:basedOn w:val="1273"/>
  </w:style>
  <w:style w:type="character" w:styleId="1282" w:customStyle="1">
    <w:name w:val="Font Style158"/>
    <w:rPr>
      <w:rFonts w:eastAsia="Times New Roman"/>
      <w:color w:val="auto"/>
      <w:sz w:val="26"/>
      <w:lang w:val="ru-RU" w:eastAsia="zh-CN"/>
    </w:rPr>
  </w:style>
  <w:style w:type="character" w:styleId="1283" w:customStyle="1">
    <w:name w:val="Font Style168"/>
    <w:rPr>
      <w:rFonts w:ascii="Arial" w:hAnsi="Arial"/>
      <w:b/>
      <w:sz w:val="22"/>
      <w:lang w:val="ru-RU" w:eastAsia="zh-CN"/>
    </w:rPr>
  </w:style>
  <w:style w:type="character" w:styleId="1284" w:customStyle="1">
    <w:name w:val="Font Style163"/>
    <w:rPr>
      <w:rFonts w:ascii="Times New Roman" w:hAnsi="Times New Roman"/>
      <w:sz w:val="18"/>
      <w:lang w:val="ru-RU" w:eastAsia="zh-CN"/>
    </w:rPr>
  </w:style>
  <w:style w:type="character" w:styleId="1285" w:customStyle="1">
    <w:name w:val="Font Style162"/>
    <w:rPr>
      <w:rFonts w:ascii="Times New Roman" w:hAnsi="Times New Roman"/>
      <w:b/>
      <w:sz w:val="18"/>
      <w:lang w:val="ru-RU" w:eastAsia="zh-CN"/>
    </w:rPr>
  </w:style>
  <w:style w:type="numbering" w:styleId="1286" w:customStyle="1">
    <w:name w:val="WW8Num1"/>
    <w:pPr>
      <w:numPr>
        <w:numId w:val="1"/>
      </w:numPr>
    </w:pPr>
  </w:style>
  <w:style w:type="character" w:styleId="1287" w:customStyle="1">
    <w:name w:val="Font Style157"/>
    <w:rPr>
      <w:rFonts w:eastAsia="Times New Roman"/>
      <w:b/>
      <w:color w:val="auto"/>
      <w:sz w:val="26"/>
      <w:lang w:val="ru-RU" w:eastAsia="zh-CN"/>
    </w:rPr>
  </w:style>
  <w:style w:type="character" w:styleId="1288">
    <w:name w:val="annotation reference"/>
    <w:basedOn w:val="1082"/>
    <w:uiPriority w:val="99"/>
    <w:unhideWhenUsed/>
    <w:rPr>
      <w:sz w:val="16"/>
      <w:szCs w:val="16"/>
    </w:rPr>
  </w:style>
  <w:style w:type="paragraph" w:styleId="1289">
    <w:name w:val="annotation text"/>
    <w:basedOn w:val="1072"/>
    <w:link w:val="1290"/>
    <w:uiPriority w:val="99"/>
    <w:unhideWhenUsed/>
    <w:rPr>
      <w:sz w:val="20"/>
      <w:szCs w:val="20"/>
    </w:rPr>
  </w:style>
  <w:style w:type="character" w:styleId="1290" w:customStyle="1">
    <w:name w:val="Текст примечания Знак"/>
    <w:basedOn w:val="1082"/>
    <w:link w:val="1289"/>
    <w:uiPriority w:val="99"/>
    <w:rPr>
      <w:rFonts w:eastAsiaTheme="minorEastAsia" w:cstheme="minorBidi"/>
      <w:sz w:val="20"/>
      <w:szCs w:val="20"/>
    </w:rPr>
  </w:style>
  <w:style w:type="paragraph" w:styleId="1291">
    <w:name w:val="annotation subject"/>
    <w:basedOn w:val="1289"/>
    <w:next w:val="1289"/>
    <w:link w:val="1292"/>
    <w:uiPriority w:val="99"/>
    <w:unhideWhenUsed/>
    <w:rPr>
      <w:b/>
      <w:bCs/>
    </w:rPr>
  </w:style>
  <w:style w:type="character" w:styleId="1292" w:customStyle="1">
    <w:name w:val="Тема примечания Знак"/>
    <w:basedOn w:val="1290"/>
    <w:link w:val="1291"/>
    <w:uiPriority w:val="99"/>
    <w:rPr>
      <w:rFonts w:eastAsiaTheme="minorEastAsia" w:cstheme="minorBidi"/>
      <w:b/>
      <w:bCs/>
      <w:sz w:val="20"/>
      <w:szCs w:val="20"/>
    </w:rPr>
  </w:style>
  <w:style w:type="paragraph" w:styleId="1293" w:customStyle="1">
    <w:name w:val="Табл._тело"/>
    <w:link w:val="1294"/>
    <w:pPr>
      <w:jc w:val="center"/>
      <w:spacing w:after="0" w:line="240" w:lineRule="auto"/>
    </w:pPr>
    <w:rPr>
      <w:rFonts w:ascii="Arial" w:hAnsi="Arial" w:eastAsia="Times New Roman"/>
      <w:i/>
      <w:szCs w:val="20"/>
      <w:lang w:eastAsia="ru-RU"/>
    </w:rPr>
  </w:style>
  <w:style w:type="character" w:styleId="1294" w:customStyle="1">
    <w:name w:val="Табл._тело Знак"/>
    <w:link w:val="1293"/>
    <w:rPr>
      <w:rFonts w:ascii="Arial" w:hAnsi="Arial" w:eastAsia="Times New Roman"/>
      <w:i/>
      <w:szCs w:val="20"/>
      <w:lang w:eastAsia="ru-RU"/>
    </w:rPr>
  </w:style>
  <w:style w:type="paragraph" w:styleId="1295" w:customStyle="1">
    <w:name w:val="Рисунок_гост"/>
    <w:basedOn w:val="1072"/>
    <w:next w:val="1072"/>
    <w:link w:val="1296"/>
    <w:pPr>
      <w:jc w:val="center"/>
      <w:keepNext/>
    </w:pPr>
    <w:rPr>
      <w:rFonts w:ascii="ГОСТ тип А" w:hAnsi="ГОСТ тип А"/>
      <w:i/>
      <w:sz w:val="28"/>
      <w:szCs w:val="20"/>
    </w:rPr>
  </w:style>
  <w:style w:type="character" w:styleId="1296" w:customStyle="1">
    <w:name w:val="Рисунок_гост Знак"/>
    <w:link w:val="1295"/>
    <w:rPr>
      <w:rFonts w:ascii="ГОСТ тип А" w:hAnsi="ГОСТ тип А" w:eastAsia="Times New Roman"/>
      <w:i/>
      <w:sz w:val="28"/>
      <w:szCs w:val="20"/>
      <w:lang w:eastAsia="ru-RU"/>
    </w:rPr>
  </w:style>
  <w:style w:type="character" w:styleId="1297">
    <w:name w:val="Placeholder Text"/>
    <w:basedOn w:val="1082"/>
    <w:uiPriority w:val="99"/>
    <w:semiHidden/>
    <w:rPr>
      <w:color w:val="808080"/>
    </w:rPr>
  </w:style>
  <w:style w:type="character" w:styleId="1298">
    <w:name w:val="FollowedHyperlink"/>
    <w:basedOn w:val="1082"/>
    <w:uiPriority w:val="99"/>
    <w:unhideWhenUsed/>
    <w:rPr>
      <w:color w:val="800080"/>
      <w:u w:val="single"/>
    </w:rPr>
  </w:style>
  <w:style w:type="paragraph" w:styleId="1299" w:customStyle="1">
    <w:name w:val="font5"/>
    <w:basedOn w:val="1072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0"/>
      <w:szCs w:val="20"/>
    </w:rPr>
  </w:style>
  <w:style w:type="paragraph" w:styleId="1300" w:customStyle="1">
    <w:name w:val="xl65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01" w:customStyle="1">
    <w:name w:val="xl66"/>
    <w:basedOn w:val="1072"/>
    <w:pPr>
      <w:spacing w:before="100" w:beforeAutospacing="1" w:after="100" w:afterAutospacing="1"/>
    </w:pPr>
  </w:style>
  <w:style w:type="paragraph" w:styleId="1302" w:customStyle="1">
    <w:name w:val="xl67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03" w:customStyle="1">
    <w:name w:val="xl6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04" w:customStyle="1">
    <w:name w:val="xl69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05" w:customStyle="1">
    <w:name w:val="xl7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06" w:customStyle="1">
    <w:name w:val="xl71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07" w:customStyle="1">
    <w:name w:val="xl72"/>
    <w:basedOn w:val="1072"/>
    <w:pPr>
      <w:spacing w:before="100" w:beforeAutospacing="1" w:after="100" w:afterAutospacing="1"/>
    </w:pPr>
  </w:style>
  <w:style w:type="paragraph" w:styleId="1308" w:customStyle="1">
    <w:name w:val="xl7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309" w:customStyle="1">
    <w:name w:val="xl74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310" w:customStyle="1">
    <w:name w:val="xl75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11" w:customStyle="1">
    <w:name w:val="xl76"/>
    <w:basedOn w:val="107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12" w:customStyle="1">
    <w:name w:val="xl63"/>
    <w:basedOn w:val="1072"/>
    <w:uiPriority w:val="99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13" w:customStyle="1">
    <w:name w:val="xl64"/>
    <w:basedOn w:val="1072"/>
    <w:pPr>
      <w:spacing w:before="100" w:beforeAutospacing="1" w:after="100" w:afterAutospacing="1"/>
    </w:pPr>
  </w:style>
  <w:style w:type="paragraph" w:styleId="1314">
    <w:name w:val="Revision"/>
    <w:hidden/>
    <w:uiPriority w:val="99"/>
    <w:semiHidden/>
    <w:pPr>
      <w:spacing w:after="0" w:line="240" w:lineRule="auto"/>
    </w:pPr>
    <w:rPr>
      <w:rFonts w:eastAsiaTheme="minorEastAsia" w:cstheme="minorBidi"/>
      <w:szCs w:val="22"/>
    </w:rPr>
  </w:style>
  <w:style w:type="paragraph" w:styleId="1315" w:customStyle="1">
    <w:name w:val="xl77"/>
    <w:basedOn w:val="1072"/>
    <w:pPr>
      <w:jc w:val="center"/>
      <w:spacing w:before="100" w:beforeAutospacing="1" w:after="100" w:afterAutospacing="1"/>
      <w:pBdr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316" w:customStyle="1">
    <w:name w:val="xl78"/>
    <w:basedOn w:val="1072"/>
    <w:pPr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17" w:customStyle="1">
    <w:name w:val="xl79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44"/>
      <w:szCs w:val="44"/>
    </w:rPr>
  </w:style>
  <w:style w:type="paragraph" w:styleId="1318" w:customStyle="1">
    <w:name w:val="xl80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bottom w:val="single" w:color="auto" w:sz="4" w:space="0"/>
      </w:pBdr>
    </w:pPr>
    <w:rPr>
      <w:b/>
      <w:bCs/>
      <w:sz w:val="44"/>
      <w:szCs w:val="44"/>
    </w:rPr>
  </w:style>
  <w:style w:type="paragraph" w:styleId="1319" w:customStyle="1">
    <w:name w:val="xl81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44"/>
      <w:szCs w:val="44"/>
    </w:rPr>
  </w:style>
  <w:style w:type="paragraph" w:styleId="1320" w:customStyle="1">
    <w:name w:val="xl8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21" w:customStyle="1">
    <w:name w:val="xl83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22" w:customStyle="1">
    <w:name w:val="xl84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23" w:customStyle="1">
    <w:name w:val="xl85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24" w:customStyle="1">
    <w:name w:val="xl8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25" w:customStyle="1">
    <w:name w:val="xl87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26">
    <w:name w:val="table of figures"/>
    <w:basedOn w:val="1072"/>
    <w:next w:val="1072"/>
    <w:uiPriority w:val="99"/>
    <w:unhideWhenUsed/>
  </w:style>
  <w:style w:type="paragraph" w:styleId="1327">
    <w:name w:val="Title"/>
    <w:basedOn w:val="1072"/>
    <w:link w:val="1328"/>
    <w:uiPriority w:val="10"/>
    <w:pPr>
      <w:ind w:firstLine="709"/>
      <w:jc w:val="center"/>
    </w:pPr>
    <w:rPr>
      <w:b/>
      <w:sz w:val="32"/>
      <w:szCs w:val="20"/>
    </w:rPr>
  </w:style>
  <w:style w:type="character" w:styleId="1328" w:customStyle="1">
    <w:name w:val="Заголовок Знак"/>
    <w:basedOn w:val="1082"/>
    <w:link w:val="1327"/>
    <w:rPr>
      <w:rFonts w:eastAsia="Times New Roman"/>
      <w:b/>
      <w:sz w:val="32"/>
      <w:szCs w:val="20"/>
      <w:lang w:eastAsia="ru-RU"/>
    </w:rPr>
  </w:style>
  <w:style w:type="paragraph" w:styleId="1329">
    <w:name w:val="footnote text"/>
    <w:basedOn w:val="1072"/>
    <w:link w:val="1330"/>
    <w:uiPriority w:val="99"/>
    <w:pPr>
      <w:ind w:firstLine="709"/>
      <w:jc w:val="both"/>
    </w:pPr>
    <w:rPr>
      <w:sz w:val="20"/>
      <w:szCs w:val="20"/>
    </w:rPr>
  </w:style>
  <w:style w:type="character" w:styleId="1330" w:customStyle="1">
    <w:name w:val="Текст сноски Знак"/>
    <w:basedOn w:val="1082"/>
    <w:link w:val="1329"/>
    <w:uiPriority w:val="99"/>
    <w:rPr>
      <w:rFonts w:eastAsia="Times New Roman"/>
      <w:sz w:val="20"/>
      <w:szCs w:val="20"/>
      <w:lang w:eastAsia="ru-RU"/>
    </w:rPr>
  </w:style>
  <w:style w:type="character" w:styleId="1331">
    <w:name w:val="footnote reference"/>
    <w:basedOn w:val="1082"/>
    <w:uiPriority w:val="99"/>
    <w:rPr>
      <w:rFonts w:cs="Times New Roman"/>
      <w:vertAlign w:val="superscript"/>
    </w:rPr>
  </w:style>
  <w:style w:type="paragraph" w:styleId="1332" w:customStyle="1">
    <w:name w:val="Default"/>
    <w:pPr>
      <w:spacing w:after="0" w:line="240" w:lineRule="auto"/>
    </w:pPr>
    <w:rPr>
      <w:color w:val="000000"/>
    </w:rPr>
  </w:style>
  <w:style w:type="paragraph" w:styleId="1333" w:customStyle="1">
    <w:name w:val="textn"/>
    <w:basedOn w:val="1072"/>
    <w:pPr>
      <w:spacing w:before="100" w:beforeAutospacing="1" w:after="100" w:afterAutospacing="1"/>
    </w:pPr>
  </w:style>
  <w:style w:type="paragraph" w:styleId="1334" w:customStyle="1">
    <w:name w:val="Абзац списка1"/>
    <w:basedOn w:val="1072"/>
    <w:pPr>
      <w:ind w:left="720"/>
    </w:pPr>
    <w:rPr>
      <w:rFonts w:ascii="Calibri" w:hAnsi="Calibri" w:cs="Calibri"/>
      <w:sz w:val="22"/>
    </w:rPr>
  </w:style>
  <w:style w:type="character" w:styleId="1335" w:customStyle="1">
    <w:name w:val="apple-converted-space"/>
    <w:basedOn w:val="1082"/>
  </w:style>
  <w:style w:type="character" w:styleId="1336">
    <w:name w:val="Emphasis"/>
    <w:basedOn w:val="1082"/>
    <w:uiPriority w:val="20"/>
    <w:rPr>
      <w:i/>
      <w:iCs/>
    </w:rPr>
  </w:style>
  <w:style w:type="character" w:styleId="1337">
    <w:name w:val="Strong"/>
    <w:basedOn w:val="1082"/>
    <w:uiPriority w:val="22"/>
    <w:rPr>
      <w:b/>
      <w:bCs/>
    </w:rPr>
  </w:style>
  <w:style w:type="character" w:styleId="1338" w:customStyle="1">
    <w:name w:val="mw-headline"/>
    <w:basedOn w:val="1082"/>
  </w:style>
  <w:style w:type="paragraph" w:styleId="1339" w:customStyle="1">
    <w:name w:val="prequote"/>
    <w:basedOn w:val="1072"/>
    <w:pPr>
      <w:spacing w:before="100" w:beforeAutospacing="1" w:after="100" w:afterAutospacing="1"/>
    </w:pPr>
  </w:style>
  <w:style w:type="paragraph" w:styleId="1340">
    <w:name w:val="Normal (Web)"/>
    <w:basedOn w:val="1072"/>
    <w:uiPriority w:val="99"/>
    <w:unhideWhenUsed/>
    <w:qFormat/>
    <w:pPr>
      <w:ind w:firstLine="709"/>
      <w:jc w:val="both"/>
    </w:pPr>
    <w:rPr>
      <w:rFonts w:ascii="Liberation Serif" w:hAnsi="Liberation Serif"/>
      <w:color w:val="000000" w:themeColor="text1"/>
      <w:sz w:val="28"/>
    </w:rPr>
  </w:style>
  <w:style w:type="paragraph" w:styleId="1341" w:customStyle="1">
    <w:name w:val="Цитата 21"/>
    <w:basedOn w:val="1072"/>
    <w:pPr>
      <w:spacing w:before="100" w:beforeAutospacing="1" w:after="100" w:afterAutospacing="1"/>
    </w:pPr>
  </w:style>
  <w:style w:type="character" w:styleId="1342" w:customStyle="1">
    <w:name w:val="headtext"/>
    <w:basedOn w:val="1082"/>
  </w:style>
  <w:style w:type="paragraph" w:styleId="1343">
    <w:name w:val="HTML Preformatted"/>
    <w:basedOn w:val="1072"/>
    <w:link w:val="1344"/>
    <w:uiPriority w:val="99"/>
    <w:unhideWhenUsed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1344" w:customStyle="1">
    <w:name w:val="Стандартный HTML Знак"/>
    <w:basedOn w:val="1082"/>
    <w:link w:val="1343"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styleId="1345">
    <w:name w:val="Body Text Indent"/>
    <w:basedOn w:val="1072"/>
    <w:link w:val="1346"/>
    <w:uiPriority w:val="99"/>
    <w:unhideWhenUsed/>
    <w:pPr>
      <w:ind w:left="283"/>
      <w:spacing w:after="120"/>
    </w:pPr>
  </w:style>
  <w:style w:type="character" w:styleId="1346" w:customStyle="1">
    <w:name w:val="Основной текст с отступом Знак"/>
    <w:basedOn w:val="1082"/>
    <w:link w:val="1345"/>
    <w:uiPriority w:val="99"/>
    <w:rPr>
      <w:rFonts w:eastAsiaTheme="minorEastAsia" w:cstheme="minorBidi"/>
      <w:szCs w:val="22"/>
    </w:rPr>
  </w:style>
  <w:style w:type="paragraph" w:styleId="1347" w:customStyle="1">
    <w:name w:val="font6"/>
    <w:basedOn w:val="1072"/>
    <w:pPr>
      <w:spacing w:before="100" w:beforeAutospacing="1" w:after="100" w:afterAutospacing="1"/>
    </w:pPr>
    <w:rPr>
      <w:color w:val="000000"/>
      <w:sz w:val="16"/>
      <w:szCs w:val="16"/>
    </w:rPr>
  </w:style>
  <w:style w:type="paragraph" w:styleId="1348" w:customStyle="1">
    <w:name w:val="xl88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bottom w:val="single" w:color="auto" w:sz="8" w:space="0"/>
      </w:pBdr>
    </w:pPr>
    <w:rPr>
      <w:b/>
      <w:bCs/>
      <w:sz w:val="20"/>
      <w:szCs w:val="20"/>
    </w:rPr>
  </w:style>
  <w:style w:type="paragraph" w:styleId="1349" w:customStyle="1">
    <w:name w:val="xl89"/>
    <w:basedOn w:val="1072"/>
    <w:pPr>
      <w:jc w:val="center"/>
      <w:spacing w:before="100" w:beforeAutospacing="1" w:after="100" w:afterAutospacing="1"/>
      <w:pBdr>
        <w:top w:val="single" w:color="auto" w:sz="8" w:space="0"/>
        <w:bottom w:val="single" w:color="auto" w:sz="8" w:space="0"/>
      </w:pBdr>
    </w:pPr>
    <w:rPr>
      <w:b/>
      <w:bCs/>
      <w:sz w:val="20"/>
      <w:szCs w:val="20"/>
    </w:rPr>
  </w:style>
  <w:style w:type="paragraph" w:styleId="1350" w:customStyle="1">
    <w:name w:val="xl90"/>
    <w:basedOn w:val="1072"/>
    <w:pPr>
      <w:jc w:val="center"/>
      <w:spacing w:before="100" w:beforeAutospacing="1" w:after="100" w:afterAutospacing="1"/>
      <w:pBdr>
        <w:top w:val="single" w:color="auto" w:sz="8" w:space="0"/>
        <w:bottom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351" w:customStyle="1">
    <w:name w:val="xl91"/>
    <w:basedOn w:val="1072"/>
    <w:pPr>
      <w:jc w:val="center"/>
      <w:spacing w:before="100" w:beforeAutospacing="1" w:after="100" w:afterAutospacing="1"/>
    </w:pPr>
  </w:style>
  <w:style w:type="paragraph" w:styleId="1352" w:customStyle="1">
    <w:name w:val="xl92"/>
    <w:basedOn w:val="1072"/>
    <w:pPr>
      <w:jc w:val="center"/>
      <w:spacing w:before="100" w:beforeAutospacing="1" w:after="100" w:afterAutospacing="1"/>
      <w:pBdr>
        <w:right w:val="single" w:color="auto" w:sz="8" w:space="0"/>
      </w:pBdr>
    </w:pPr>
  </w:style>
  <w:style w:type="paragraph" w:styleId="1353" w:customStyle="1">
    <w:name w:val="xl93"/>
    <w:basedOn w:val="1072"/>
    <w:pPr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</w:style>
  <w:style w:type="paragraph" w:styleId="1354" w:customStyle="1">
    <w:name w:val="xl94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355">
    <w:name w:val="Quote"/>
    <w:basedOn w:val="1072"/>
    <w:next w:val="1072"/>
    <w:link w:val="1356"/>
    <w:uiPriority w:val="29"/>
    <w:rPr>
      <w:i/>
      <w:iCs/>
      <w:color w:val="000000" w:themeColor="text1"/>
    </w:rPr>
  </w:style>
  <w:style w:type="character" w:styleId="1356" w:customStyle="1">
    <w:name w:val="Цитата 2 Знак"/>
    <w:basedOn w:val="1082"/>
    <w:link w:val="1355"/>
    <w:uiPriority w:val="29"/>
    <w:rPr>
      <w:rFonts w:eastAsiaTheme="minorEastAsia" w:cstheme="minorBidi"/>
      <w:i/>
      <w:iCs/>
      <w:color w:val="000000" w:themeColor="text1"/>
      <w:szCs w:val="22"/>
    </w:rPr>
  </w:style>
  <w:style w:type="character" w:styleId="1357" w:customStyle="1">
    <w:name w:val="Заголовок 5 Знак"/>
    <w:basedOn w:val="1082"/>
    <w:link w:val="1077"/>
    <w:uiPriority w:val="9"/>
    <w:rPr>
      <w:rFonts w:ascii="Cambria" w:hAnsi="Cambria" w:eastAsiaTheme="minorEastAsia" w:cstheme="minorBidi"/>
      <w:color w:val="243f60"/>
      <w:szCs w:val="22"/>
      <w:lang w:eastAsia="ru-RU"/>
    </w:rPr>
  </w:style>
  <w:style w:type="character" w:styleId="1358" w:customStyle="1">
    <w:name w:val="Абзац списка Знак"/>
    <w:link w:val="1234"/>
    <w:uiPriority w:val="34"/>
    <w:rPr>
      <w:rFonts w:eastAsiaTheme="minorEastAsia" w:cstheme="minorBidi"/>
      <w:szCs w:val="22"/>
    </w:rPr>
  </w:style>
  <w:style w:type="paragraph" w:styleId="1359" w:customStyle="1">
    <w:name w:val="xl1605"/>
    <w:basedOn w:val="1072"/>
    <w:pPr>
      <w:spacing w:before="100" w:beforeAutospacing="1" w:after="100" w:afterAutospacing="1"/>
    </w:pPr>
  </w:style>
  <w:style w:type="paragraph" w:styleId="1360" w:customStyle="1">
    <w:name w:val="xl1606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61" w:customStyle="1">
    <w:name w:val="xl1607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62" w:customStyle="1">
    <w:name w:val="xl1608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63" w:customStyle="1">
    <w:name w:val="xl1609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64" w:customStyle="1">
    <w:name w:val="xl1610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5" w:customStyle="1">
    <w:name w:val="xl1611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6" w:customStyle="1">
    <w:name w:val="xl1612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7" w:customStyle="1">
    <w:name w:val="xl1613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8" w:customStyle="1">
    <w:name w:val="xl1614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16"/>
      <w:szCs w:val="16"/>
    </w:rPr>
  </w:style>
  <w:style w:type="paragraph" w:styleId="1369" w:customStyle="1">
    <w:name w:val="xl1615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16"/>
      <w:szCs w:val="16"/>
    </w:rPr>
  </w:style>
  <w:style w:type="paragraph" w:styleId="1370" w:customStyle="1">
    <w:name w:val="xl1616"/>
    <w:basedOn w:val="1072"/>
    <w:pPr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71" w:customStyle="1">
    <w:name w:val="xl1617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2" w:customStyle="1">
    <w:name w:val="xl1618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3" w:customStyle="1">
    <w:name w:val="xl1619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4" w:customStyle="1">
    <w:name w:val="xl1620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75" w:customStyle="1">
    <w:name w:val="xl1621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16"/>
      <w:szCs w:val="16"/>
    </w:rPr>
  </w:style>
  <w:style w:type="paragraph" w:styleId="1376" w:customStyle="1">
    <w:name w:val="xl1622"/>
    <w:basedOn w:val="1072"/>
    <w:pPr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77" w:customStyle="1">
    <w:name w:val="xl1623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8" w:customStyle="1">
    <w:name w:val="xl1624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9" w:customStyle="1">
    <w:name w:val="xl1625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80" w:customStyle="1">
    <w:name w:val="xl1626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1" w:customStyle="1">
    <w:name w:val="xl1627"/>
    <w:basedOn w:val="1072"/>
    <w:pPr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82" w:customStyle="1">
    <w:name w:val="xl1628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3" w:customStyle="1">
    <w:name w:val="xl1629"/>
    <w:basedOn w:val="1072"/>
    <w:pPr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4" w:customStyle="1">
    <w:name w:val="xl1630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5" w:customStyle="1">
    <w:name w:val="xl1631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86" w:customStyle="1">
    <w:name w:val="xl1632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87" w:customStyle="1">
    <w:name w:val="xl1633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88" w:customStyle="1">
    <w:name w:val="xl1634"/>
    <w:basedOn w:val="1072"/>
    <w:pPr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9" w:customStyle="1">
    <w:name w:val="xl1635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0" w:customStyle="1">
    <w:name w:val="xl1636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1" w:customStyle="1">
    <w:name w:val="xl1637"/>
    <w:basedOn w:val="1072"/>
    <w:pPr>
      <w:jc w:val="center"/>
      <w:spacing w:before="100" w:beforeAutospacing="1" w:after="100" w:afterAutospacing="1"/>
      <w:shd w:val="clear" w:color="000000" w:fill="948a5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2" w:customStyle="1">
    <w:name w:val="xl1638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3" w:customStyle="1">
    <w:name w:val="xl1639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94">
    <w:name w:val="toc 5"/>
    <w:basedOn w:val="1072"/>
    <w:next w:val="1072"/>
    <w:uiPriority w:val="39"/>
    <w:unhideWhenUsed/>
    <w:pPr>
      <w:ind w:left="880"/>
      <w:spacing w:after="100"/>
    </w:pPr>
    <w:rPr>
      <w:rFonts w:asciiTheme="minorHAnsi" w:hAnsiTheme="minorHAnsi"/>
      <w:sz w:val="22"/>
    </w:rPr>
  </w:style>
  <w:style w:type="paragraph" w:styleId="1395">
    <w:name w:val="toc 6"/>
    <w:basedOn w:val="1072"/>
    <w:next w:val="1072"/>
    <w:uiPriority w:val="39"/>
    <w:unhideWhenUsed/>
    <w:pPr>
      <w:ind w:left="1100"/>
      <w:spacing w:after="100"/>
    </w:pPr>
    <w:rPr>
      <w:rFonts w:asciiTheme="minorHAnsi" w:hAnsiTheme="minorHAnsi"/>
      <w:sz w:val="22"/>
    </w:rPr>
  </w:style>
  <w:style w:type="paragraph" w:styleId="1396">
    <w:name w:val="toc 7"/>
    <w:basedOn w:val="1072"/>
    <w:next w:val="1072"/>
    <w:uiPriority w:val="39"/>
    <w:unhideWhenUsed/>
    <w:pPr>
      <w:ind w:left="1320"/>
      <w:spacing w:after="100"/>
    </w:pPr>
    <w:rPr>
      <w:rFonts w:asciiTheme="minorHAnsi" w:hAnsiTheme="minorHAnsi"/>
      <w:sz w:val="22"/>
    </w:rPr>
  </w:style>
  <w:style w:type="paragraph" w:styleId="1397">
    <w:name w:val="toc 8"/>
    <w:basedOn w:val="1072"/>
    <w:next w:val="1072"/>
    <w:uiPriority w:val="39"/>
    <w:unhideWhenUsed/>
    <w:pPr>
      <w:ind w:left="1540"/>
      <w:spacing w:after="100"/>
    </w:pPr>
    <w:rPr>
      <w:rFonts w:asciiTheme="minorHAnsi" w:hAnsiTheme="minorHAnsi"/>
      <w:sz w:val="22"/>
    </w:rPr>
  </w:style>
  <w:style w:type="paragraph" w:styleId="1398">
    <w:name w:val="toc 9"/>
    <w:basedOn w:val="1072"/>
    <w:next w:val="1072"/>
    <w:uiPriority w:val="39"/>
    <w:unhideWhenUsed/>
    <w:pPr>
      <w:ind w:left="1760"/>
      <w:spacing w:after="100"/>
    </w:pPr>
    <w:rPr>
      <w:rFonts w:asciiTheme="minorHAnsi" w:hAnsiTheme="minorHAnsi"/>
      <w:sz w:val="22"/>
    </w:rPr>
  </w:style>
  <w:style w:type="paragraph" w:styleId="1399">
    <w:name w:val="endnote text"/>
    <w:basedOn w:val="1072"/>
    <w:link w:val="1400"/>
    <w:uiPriority w:val="99"/>
    <w:unhideWhenUsed/>
    <w:rPr>
      <w:sz w:val="20"/>
      <w:szCs w:val="20"/>
    </w:rPr>
  </w:style>
  <w:style w:type="character" w:styleId="1400" w:customStyle="1">
    <w:name w:val="Текст концевой сноски Знак"/>
    <w:basedOn w:val="1082"/>
    <w:link w:val="1399"/>
    <w:uiPriority w:val="99"/>
    <w:rPr>
      <w:rFonts w:eastAsiaTheme="minorEastAsia" w:cstheme="minorBidi"/>
      <w:sz w:val="20"/>
      <w:szCs w:val="20"/>
    </w:rPr>
  </w:style>
  <w:style w:type="character" w:styleId="1401">
    <w:name w:val="endnote reference"/>
    <w:basedOn w:val="1082"/>
    <w:uiPriority w:val="99"/>
    <w:unhideWhenUsed/>
    <w:rPr>
      <w:vertAlign w:val="superscript"/>
    </w:rPr>
  </w:style>
  <w:style w:type="paragraph" w:styleId="1402" w:customStyle="1">
    <w:name w:val="xl164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403" w:customStyle="1">
    <w:name w:val="xl1641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404" w:customStyle="1">
    <w:name w:val="xl1642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405" w:customStyle="1">
    <w:name w:val="xl1643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406" w:customStyle="1">
    <w:name w:val="xl1644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  <w:sz w:val="20"/>
      <w:szCs w:val="20"/>
    </w:rPr>
  </w:style>
  <w:style w:type="paragraph" w:styleId="1407" w:customStyle="1">
    <w:name w:val="xl1645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bottom w:val="single" w:color="auto" w:sz="4" w:space="0"/>
      </w:pBdr>
    </w:pPr>
    <w:rPr>
      <w:b/>
      <w:bCs/>
      <w:color w:val="000000"/>
      <w:sz w:val="20"/>
      <w:szCs w:val="20"/>
    </w:rPr>
  </w:style>
  <w:style w:type="paragraph" w:styleId="1408" w:customStyle="1">
    <w:name w:val="xl1646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409" w:customStyle="1">
    <w:name w:val="xl1647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bottom w:val="single" w:color="auto" w:sz="4" w:space="0"/>
      </w:pBdr>
    </w:pPr>
    <w:rPr>
      <w:b/>
      <w:bCs/>
      <w:color w:val="000000"/>
      <w:sz w:val="20"/>
      <w:szCs w:val="20"/>
    </w:rPr>
  </w:style>
  <w:style w:type="paragraph" w:styleId="1410" w:customStyle="1">
    <w:name w:val="xl1648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character" w:styleId="1411" w:customStyle="1">
    <w:name w:val="wmi-callto"/>
    <w:basedOn w:val="1082"/>
  </w:style>
  <w:style w:type="paragraph" w:styleId="1412">
    <w:name w:val="Body Text"/>
    <w:basedOn w:val="1072"/>
    <w:link w:val="1413"/>
    <w:uiPriority w:val="99"/>
    <w:unhideWhenUsed/>
    <w:pPr>
      <w:spacing w:after="120"/>
    </w:pPr>
  </w:style>
  <w:style w:type="character" w:styleId="1413" w:customStyle="1">
    <w:name w:val="Основной текст Знак"/>
    <w:basedOn w:val="1082"/>
    <w:link w:val="1412"/>
    <w:uiPriority w:val="99"/>
    <w:rPr>
      <w:rFonts w:eastAsiaTheme="minorEastAsia" w:cstheme="minorBidi"/>
      <w:szCs w:val="22"/>
    </w:rPr>
  </w:style>
  <w:style w:type="paragraph" w:styleId="1414" w:customStyle="1">
    <w:name w:val="ConsPlusNormal"/>
    <w:link w:val="2182"/>
    <w:pPr>
      <w:spacing w:after="0" w:line="240" w:lineRule="auto"/>
      <w:widowControl w:val="off"/>
    </w:pPr>
    <w:rPr>
      <w:rFonts w:eastAsia="Times New Roman"/>
      <w:szCs w:val="20"/>
      <w:lang w:eastAsia="ru-RU"/>
    </w:rPr>
  </w:style>
  <w:style w:type="paragraph" w:styleId="1415" w:customStyle="1">
    <w:name w:val="Рисунок_подпись"/>
    <w:basedOn w:val="1230"/>
    <w:link w:val="1416"/>
    <w:pPr>
      <w:jc w:val="center"/>
      <w:keepLines w:val="0"/>
      <w:spacing w:before="0" w:after="240" w:line="276" w:lineRule="auto"/>
    </w:pPr>
    <w:rPr>
      <w:rFonts w:cs="Times New Roman"/>
      <w:lang w:eastAsia="ru-RU"/>
    </w:rPr>
  </w:style>
  <w:style w:type="character" w:styleId="1416" w:customStyle="1">
    <w:name w:val="Рисунок_подпись Знак"/>
    <w:link w:val="1415"/>
    <w:rPr>
      <w:bCs/>
      <w:lang w:eastAsia="ru-RU"/>
    </w:rPr>
  </w:style>
  <w:style w:type="paragraph" w:styleId="1417" w:customStyle="1">
    <w:name w:val="Рис_назв"/>
    <w:basedOn w:val="1072"/>
    <w:next w:val="1072"/>
    <w:link w:val="1418"/>
    <w:pPr>
      <w:jc w:val="center"/>
      <w:keepLines/>
      <w:spacing w:after="240"/>
    </w:pPr>
    <w:rPr>
      <w:rFonts w:eastAsia="TimesNewRoman"/>
    </w:rPr>
  </w:style>
  <w:style w:type="character" w:styleId="1418" w:customStyle="1">
    <w:name w:val="Рис_назв Знак"/>
    <w:link w:val="1417"/>
    <w:rPr>
      <w:rFonts w:eastAsia="TimesNewRoman" w:cstheme="minorBidi"/>
      <w:szCs w:val="22"/>
      <w:lang w:eastAsia="ru-RU"/>
    </w:rPr>
  </w:style>
  <w:style w:type="paragraph" w:styleId="1419">
    <w:name w:val="List Bullet 3"/>
    <w:basedOn w:val="1072"/>
    <w:pPr>
      <w:ind w:left="714" w:hanging="357"/>
      <w:jc w:val="both"/>
      <w:widowControl w:val="off"/>
    </w:pPr>
    <w:rPr>
      <w:rFonts w:eastAsia="Microsoft YaHei"/>
    </w:rPr>
  </w:style>
  <w:style w:type="paragraph" w:styleId="1420" w:customStyle="1">
    <w:name w:val="S_Обычный"/>
    <w:basedOn w:val="1072"/>
    <w:link w:val="1421"/>
    <w:pPr>
      <w:ind w:firstLine="709"/>
      <w:jc w:val="both"/>
      <w:spacing w:line="360" w:lineRule="auto"/>
    </w:pPr>
  </w:style>
  <w:style w:type="character" w:styleId="1421" w:customStyle="1">
    <w:name w:val="S_Обычный Знак"/>
    <w:link w:val="1420"/>
    <w:rPr>
      <w:rFonts w:eastAsiaTheme="minorEastAsia" w:cstheme="minorBidi"/>
      <w:lang w:eastAsia="ru-RU"/>
    </w:rPr>
  </w:style>
  <w:style w:type="paragraph" w:styleId="1422" w:customStyle="1">
    <w:name w:val="S_Маркированный"/>
    <w:basedOn w:val="1424"/>
    <w:link w:val="1423"/>
    <w:pPr>
      <w:contextualSpacing w:val="0"/>
      <w:ind w:left="0" w:firstLine="709"/>
      <w:jc w:val="both"/>
      <w:spacing w:line="360" w:lineRule="auto"/>
      <w:tabs>
        <w:tab w:val="left" w:pos="992" w:leader="none"/>
      </w:tabs>
    </w:pPr>
    <w:rPr>
      <w:color w:val="000000"/>
    </w:rPr>
  </w:style>
  <w:style w:type="character" w:styleId="1423" w:customStyle="1">
    <w:name w:val="S_Маркированный Знак"/>
    <w:link w:val="1422"/>
    <w:rPr>
      <w:rFonts w:eastAsiaTheme="minorEastAsia" w:cstheme="minorBidi"/>
      <w:color w:val="000000"/>
      <w:lang w:eastAsia="ru-RU"/>
    </w:rPr>
  </w:style>
  <w:style w:type="paragraph" w:styleId="1424">
    <w:name w:val="List Bullet"/>
    <w:basedOn w:val="1072"/>
    <w:link w:val="1436"/>
    <w:unhideWhenUsed/>
    <w:pPr>
      <w:contextualSpacing/>
      <w:ind w:left="1429" w:hanging="360"/>
    </w:pPr>
  </w:style>
  <w:style w:type="paragraph" w:styleId="1425">
    <w:name w:val="index 1"/>
    <w:basedOn w:val="1072"/>
    <w:uiPriority w:val="99"/>
    <w:semiHidden/>
    <w:unhideWhenUsed/>
    <w:pPr>
      <w:ind w:firstLine="567"/>
      <w:jc w:val="both"/>
      <w:widowControl w:val="off"/>
    </w:pPr>
    <w:rPr>
      <w:rFonts w:eastAsia="Microsoft YaHei"/>
    </w:rPr>
  </w:style>
  <w:style w:type="paragraph" w:styleId="1426">
    <w:name w:val="index 2"/>
    <w:basedOn w:val="1072"/>
    <w:uiPriority w:val="99"/>
    <w:semiHidden/>
    <w:unhideWhenUsed/>
    <w:pPr>
      <w:ind w:left="720" w:firstLine="567"/>
      <w:jc w:val="both"/>
      <w:widowControl w:val="off"/>
    </w:pPr>
    <w:rPr>
      <w:rFonts w:eastAsia="Microsoft YaHei"/>
    </w:rPr>
  </w:style>
  <w:style w:type="paragraph" w:styleId="1427">
    <w:name w:val="index 3"/>
    <w:basedOn w:val="1072"/>
    <w:uiPriority w:val="99"/>
    <w:semiHidden/>
    <w:unhideWhenUsed/>
    <w:pPr>
      <w:ind w:firstLine="567"/>
      <w:jc w:val="both"/>
      <w:widowControl w:val="off"/>
    </w:pPr>
    <w:rPr>
      <w:rFonts w:eastAsia="Microsoft YaHei"/>
    </w:rPr>
  </w:style>
  <w:style w:type="paragraph" w:styleId="1428">
    <w:name w:val="index 4"/>
    <w:basedOn w:val="1072"/>
    <w:uiPriority w:val="99"/>
    <w:semiHidden/>
    <w:unhideWhenUsed/>
    <w:pPr>
      <w:ind w:left="1440" w:firstLine="567"/>
      <w:jc w:val="both"/>
      <w:widowControl w:val="off"/>
    </w:pPr>
    <w:rPr>
      <w:rFonts w:eastAsia="Microsoft YaHei"/>
    </w:rPr>
  </w:style>
  <w:style w:type="paragraph" w:styleId="1429">
    <w:name w:val="index 5"/>
    <w:basedOn w:val="1072"/>
    <w:uiPriority w:val="99"/>
    <w:semiHidden/>
    <w:unhideWhenUsed/>
    <w:pPr>
      <w:ind w:left="1800" w:firstLine="567"/>
      <w:jc w:val="both"/>
      <w:widowControl w:val="off"/>
    </w:pPr>
    <w:rPr>
      <w:rFonts w:eastAsia="Microsoft YaHei"/>
    </w:rPr>
  </w:style>
  <w:style w:type="character" w:styleId="1430" w:customStyle="1">
    <w:name w:val="Нижний колонтитул Знак1"/>
    <w:rPr>
      <w:rFonts w:eastAsia="Times New Roman" w:cs="Times New Roman"/>
      <w:szCs w:val="22"/>
    </w:rPr>
  </w:style>
  <w:style w:type="paragraph" w:styleId="1431">
    <w:name w:val="index heading"/>
    <w:basedOn w:val="1072"/>
    <w:next w:val="1425"/>
    <w:uiPriority w:val="99"/>
    <w:semiHidden/>
    <w:unhideWhenUsed/>
    <w:pPr>
      <w:ind w:firstLine="567"/>
      <w:jc w:val="both"/>
      <w:spacing w:line="480" w:lineRule="atLeast"/>
      <w:widowControl w:val="off"/>
    </w:pPr>
    <w:rPr>
      <w:rFonts w:ascii="Arial Black" w:hAnsi="Arial Black" w:eastAsia="Microsoft YaHei"/>
    </w:rPr>
  </w:style>
  <w:style w:type="paragraph" w:styleId="1432">
    <w:name w:val="table of authorities"/>
    <w:basedOn w:val="1072"/>
    <w:uiPriority w:val="99"/>
    <w:semiHidden/>
    <w:unhideWhenUsed/>
    <w:pPr>
      <w:ind w:left="1440" w:hanging="360"/>
      <w:jc w:val="both"/>
      <w:widowControl w:val="off"/>
      <w:tabs>
        <w:tab w:val="right" w:pos="7560" w:leader="dot"/>
      </w:tabs>
    </w:pPr>
    <w:rPr>
      <w:rFonts w:eastAsia="Microsoft YaHei"/>
    </w:rPr>
  </w:style>
  <w:style w:type="paragraph" w:styleId="1433">
    <w:name w:val="toa heading"/>
    <w:basedOn w:val="1072"/>
    <w:next w:val="1432"/>
    <w:uiPriority w:val="99"/>
    <w:semiHidden/>
    <w:unhideWhenUsed/>
    <w:pPr>
      <w:ind w:firstLine="567"/>
      <w:jc w:val="both"/>
      <w:keepNext/>
      <w:spacing w:line="480" w:lineRule="atLeast"/>
      <w:widowControl w:val="off"/>
    </w:pPr>
    <w:rPr>
      <w:rFonts w:ascii="Arial Black" w:hAnsi="Arial Black" w:eastAsia="Microsoft YaHei"/>
      <w:b/>
      <w:spacing w:val="-10"/>
    </w:rPr>
  </w:style>
  <w:style w:type="character" w:styleId="1434" w:customStyle="1">
    <w:name w:val="Список Знак"/>
    <w:link w:val="1435"/>
    <w:uiPriority w:val="99"/>
    <w:rPr>
      <w:rFonts w:ascii="Microsoft YaHei" w:hAnsi="Microsoft YaHei" w:eastAsia="Microsoft YaHei"/>
      <w:sz w:val="20"/>
      <w:szCs w:val="22"/>
    </w:rPr>
  </w:style>
  <w:style w:type="paragraph" w:styleId="1435">
    <w:name w:val="List"/>
    <w:basedOn w:val="1072"/>
    <w:link w:val="1434"/>
    <w:uiPriority w:val="99"/>
    <w:unhideWhenUsed/>
    <w:pPr>
      <w:jc w:val="both"/>
      <w:widowControl w:val="off"/>
    </w:pPr>
    <w:rPr>
      <w:rFonts w:ascii="Microsoft YaHei" w:hAnsi="Microsoft YaHei" w:eastAsia="Microsoft YaHei"/>
      <w:sz w:val="20"/>
    </w:rPr>
  </w:style>
  <w:style w:type="character" w:styleId="1436" w:customStyle="1">
    <w:name w:val="Маркированный список Знак"/>
    <w:link w:val="1424"/>
    <w:rPr>
      <w:rFonts w:eastAsiaTheme="minorEastAsia" w:cstheme="minorBidi"/>
      <w:szCs w:val="22"/>
      <w:lang w:eastAsia="ru-RU"/>
    </w:rPr>
  </w:style>
  <w:style w:type="paragraph" w:styleId="1437">
    <w:name w:val="List Number"/>
    <w:basedOn w:val="1072"/>
    <w:uiPriority w:val="99"/>
    <w:unhideWhenUsed/>
    <w:pPr>
      <w:numPr>
        <w:numId w:val="2"/>
      </w:numPr>
      <w:contextualSpacing/>
      <w:jc w:val="both"/>
      <w:widowControl w:val="off"/>
    </w:pPr>
    <w:rPr>
      <w:rFonts w:eastAsia="Microsoft YaHei"/>
    </w:rPr>
  </w:style>
  <w:style w:type="character" w:styleId="1438" w:customStyle="1">
    <w:name w:val="Список 2 Знак"/>
    <w:link w:val="1439"/>
    <w:rPr>
      <w:rFonts w:ascii="Microsoft YaHei" w:hAnsi="Microsoft YaHei" w:eastAsia="Microsoft YaHei"/>
      <w:spacing w:val="-5"/>
      <w:sz w:val="20"/>
      <w:szCs w:val="22"/>
    </w:rPr>
  </w:style>
  <w:style w:type="paragraph" w:styleId="1439">
    <w:name w:val="List 2"/>
    <w:basedOn w:val="1072"/>
    <w:link w:val="1438"/>
    <w:unhideWhenUsed/>
    <w:pPr>
      <w:contextualSpacing/>
      <w:ind w:left="566" w:hanging="283"/>
      <w:jc w:val="both"/>
      <w:widowControl w:val="off"/>
    </w:pPr>
    <w:rPr>
      <w:rFonts w:ascii="Microsoft YaHei" w:hAnsi="Microsoft YaHei" w:eastAsia="Microsoft YaHei"/>
      <w:spacing w:val="-5"/>
      <w:sz w:val="20"/>
    </w:rPr>
  </w:style>
  <w:style w:type="paragraph" w:styleId="1440">
    <w:name w:val="List 3"/>
    <w:basedOn w:val="1435"/>
    <w:uiPriority w:val="99"/>
    <w:unhideWhenUsed/>
    <w:pPr>
      <w:ind w:left="2160"/>
    </w:pPr>
  </w:style>
  <w:style w:type="paragraph" w:styleId="1441">
    <w:name w:val="List 4"/>
    <w:basedOn w:val="1435"/>
    <w:uiPriority w:val="99"/>
    <w:unhideWhenUsed/>
    <w:pPr>
      <w:ind w:left="2520"/>
    </w:pPr>
  </w:style>
  <w:style w:type="paragraph" w:styleId="1442">
    <w:name w:val="List 5"/>
    <w:basedOn w:val="1435"/>
    <w:uiPriority w:val="99"/>
    <w:unhideWhenUsed/>
    <w:pPr>
      <w:ind w:left="2880"/>
    </w:pPr>
  </w:style>
  <w:style w:type="paragraph" w:styleId="1443">
    <w:name w:val="List Bullet 2"/>
    <w:basedOn w:val="1424"/>
    <w:uiPriority w:val="99"/>
    <w:unhideWhenUsed/>
    <w:pPr>
      <w:numPr>
        <w:numId w:val="3"/>
      </w:numPr>
      <w:contextualSpacing w:val="0"/>
      <w:ind w:left="360"/>
      <w:jc w:val="both"/>
      <w:widowControl w:val="off"/>
      <w:tabs>
        <w:tab w:val="left" w:pos="0" w:leader="none"/>
        <w:tab w:val="left" w:pos="1134" w:leader="none"/>
        <w:tab w:val="clear" w:pos="1287" w:leader="none"/>
      </w:tabs>
    </w:pPr>
    <w:rPr>
      <w:sz w:val="22"/>
    </w:rPr>
  </w:style>
  <w:style w:type="paragraph" w:styleId="1444">
    <w:name w:val="List Bullet 4"/>
    <w:basedOn w:val="1072"/>
    <w:uiPriority w:val="99"/>
    <w:unhideWhenUsed/>
    <w:pPr>
      <w:jc w:val="both"/>
      <w:widowControl w:val="off"/>
    </w:pPr>
    <w:rPr>
      <w:rFonts w:eastAsia="Microsoft YaHei"/>
    </w:rPr>
  </w:style>
  <w:style w:type="paragraph" w:styleId="1445">
    <w:name w:val="List Bullet 5"/>
    <w:basedOn w:val="1072"/>
    <w:uiPriority w:val="99"/>
    <w:unhideWhenUsed/>
    <w:pPr>
      <w:jc w:val="both"/>
      <w:widowControl w:val="off"/>
    </w:pPr>
    <w:rPr>
      <w:rFonts w:eastAsia="Microsoft YaHei"/>
    </w:rPr>
  </w:style>
  <w:style w:type="paragraph" w:styleId="1446">
    <w:name w:val="List Number 2"/>
    <w:basedOn w:val="1437"/>
    <w:uiPriority w:val="99"/>
    <w:unhideWhenUsed/>
    <w:pPr>
      <w:numPr>
        <w:numId w:val="0"/>
      </w:numPr>
      <w:contextualSpacing w:val="0"/>
    </w:pPr>
  </w:style>
  <w:style w:type="paragraph" w:styleId="1447">
    <w:name w:val="List Number 3"/>
    <w:basedOn w:val="1437"/>
    <w:uiPriority w:val="99"/>
    <w:unhideWhenUsed/>
    <w:pPr>
      <w:numPr>
        <w:numId w:val="0"/>
      </w:numPr>
      <w:contextualSpacing w:val="0"/>
    </w:pPr>
  </w:style>
  <w:style w:type="paragraph" w:styleId="1448">
    <w:name w:val="List Number 4"/>
    <w:basedOn w:val="1437"/>
    <w:uiPriority w:val="99"/>
    <w:unhideWhenUsed/>
    <w:pPr>
      <w:numPr>
        <w:numId w:val="0"/>
      </w:numPr>
      <w:contextualSpacing w:val="0"/>
    </w:pPr>
  </w:style>
  <w:style w:type="paragraph" w:styleId="1449">
    <w:name w:val="List Number 5"/>
    <w:basedOn w:val="1437"/>
    <w:uiPriority w:val="99"/>
    <w:unhideWhenUsed/>
    <w:pPr>
      <w:numPr>
        <w:numId w:val="0"/>
      </w:numPr>
      <w:contextualSpacing w:val="0"/>
    </w:pPr>
  </w:style>
  <w:style w:type="character" w:styleId="1450" w:customStyle="1">
    <w:name w:val="Основной текст Знак1"/>
    <w:uiPriority w:val="99"/>
    <w:rPr>
      <w:rFonts w:eastAsia="Times New Roman" w:cs="Times New Roman"/>
      <w:szCs w:val="22"/>
    </w:rPr>
  </w:style>
  <w:style w:type="paragraph" w:styleId="1451">
    <w:name w:val="List Continue"/>
    <w:basedOn w:val="1435"/>
    <w:uiPriority w:val="99"/>
    <w:unhideWhenUsed/>
  </w:style>
  <w:style w:type="paragraph" w:styleId="1452">
    <w:name w:val="List Continue 2"/>
    <w:basedOn w:val="1451"/>
    <w:uiPriority w:val="99"/>
    <w:unhideWhenUsed/>
    <w:pPr>
      <w:ind w:left="2160"/>
    </w:pPr>
  </w:style>
  <w:style w:type="paragraph" w:styleId="1453">
    <w:name w:val="List Continue 3"/>
    <w:basedOn w:val="1451"/>
    <w:uiPriority w:val="99"/>
    <w:unhideWhenUsed/>
    <w:pPr>
      <w:ind w:left="2520"/>
    </w:pPr>
  </w:style>
  <w:style w:type="paragraph" w:styleId="1454">
    <w:name w:val="List Continue 4"/>
    <w:basedOn w:val="1451"/>
    <w:uiPriority w:val="99"/>
    <w:unhideWhenUsed/>
    <w:pPr>
      <w:ind w:left="2880"/>
    </w:pPr>
  </w:style>
  <w:style w:type="paragraph" w:styleId="1455">
    <w:name w:val="List Continue 5"/>
    <w:basedOn w:val="1451"/>
    <w:uiPriority w:val="99"/>
    <w:unhideWhenUsed/>
    <w:pPr>
      <w:ind w:left="3240"/>
    </w:pPr>
  </w:style>
  <w:style w:type="paragraph" w:styleId="1456">
    <w:name w:val="Body Text 2"/>
    <w:basedOn w:val="1072"/>
    <w:link w:val="1457"/>
    <w:uiPriority w:val="99"/>
    <w:unhideWhenUsed/>
    <w:pPr>
      <w:ind w:firstLine="567"/>
      <w:jc w:val="both"/>
      <w:spacing w:before="240" w:line="480" w:lineRule="auto"/>
      <w:widowControl w:val="off"/>
    </w:pPr>
    <w:rPr>
      <w:rFonts w:eastAsia="Microsoft YaHei"/>
    </w:rPr>
  </w:style>
  <w:style w:type="character" w:styleId="1457" w:customStyle="1">
    <w:name w:val="Основной текст 2 Знак"/>
    <w:basedOn w:val="1082"/>
    <w:link w:val="1456"/>
    <w:uiPriority w:val="99"/>
    <w:rPr>
      <w:rFonts w:eastAsia="Microsoft YaHei" w:cstheme="minorBidi"/>
      <w:szCs w:val="22"/>
      <w:lang w:eastAsia="ru-RU"/>
    </w:rPr>
  </w:style>
  <w:style w:type="paragraph" w:styleId="1458">
    <w:name w:val="Body Text 3"/>
    <w:basedOn w:val="1072"/>
    <w:link w:val="1459"/>
    <w:uiPriority w:val="99"/>
    <w:unhideWhenUsed/>
    <w:pPr>
      <w:spacing w:after="120"/>
      <w:widowControl w:val="off"/>
    </w:pPr>
    <w:rPr>
      <w:rFonts w:eastAsia="Lucida Sans Unicode"/>
      <w:sz w:val="16"/>
      <w:szCs w:val="16"/>
      <w:lang w:eastAsia="ar-SA"/>
    </w:rPr>
  </w:style>
  <w:style w:type="character" w:styleId="1459" w:customStyle="1">
    <w:name w:val="Основной текст 3 Знак"/>
    <w:basedOn w:val="1082"/>
    <w:link w:val="1458"/>
    <w:uiPriority w:val="99"/>
    <w:rPr>
      <w:rFonts w:eastAsia="Lucida Sans Unicode" w:cstheme="minorBidi"/>
      <w:sz w:val="16"/>
      <w:szCs w:val="16"/>
      <w:lang w:eastAsia="ar-SA"/>
    </w:rPr>
  </w:style>
  <w:style w:type="paragraph" w:styleId="1460">
    <w:name w:val="Body Text Indent 3"/>
    <w:basedOn w:val="1072"/>
    <w:link w:val="1461"/>
    <w:uiPriority w:val="99"/>
    <w:unhideWhenUsed/>
    <w:pPr>
      <w:ind w:firstLine="709"/>
      <w:jc w:val="both"/>
      <w:spacing w:line="360" w:lineRule="auto"/>
      <w:widowControl w:val="off"/>
    </w:pPr>
    <w:rPr>
      <w:color w:val="444444"/>
      <w:szCs w:val="20"/>
    </w:rPr>
  </w:style>
  <w:style w:type="character" w:styleId="1461" w:customStyle="1">
    <w:name w:val="Основной текст с отступом 3 Знак"/>
    <w:basedOn w:val="1082"/>
    <w:link w:val="1460"/>
    <w:uiPriority w:val="99"/>
    <w:rPr>
      <w:rFonts w:eastAsiaTheme="minorEastAsia" w:cstheme="minorBidi"/>
      <w:color w:val="444444"/>
      <w:szCs w:val="20"/>
      <w:lang w:eastAsia="ru-RU"/>
    </w:rPr>
  </w:style>
  <w:style w:type="paragraph" w:styleId="1462">
    <w:name w:val="Document Map"/>
    <w:basedOn w:val="1072"/>
    <w:link w:val="1463"/>
    <w:uiPriority w:val="99"/>
    <w:unhideWhenUsed/>
    <w:pPr>
      <w:ind w:firstLine="567"/>
      <w:jc w:val="both"/>
      <w:shd w:val="clear" w:color="auto" w:fill="000080"/>
      <w:widowControl w:val="off"/>
    </w:pPr>
    <w:rPr>
      <w:rFonts w:ascii="Tahoma" w:hAnsi="Tahoma" w:eastAsia="Microsoft YaHei" w:cs="Tahoma"/>
    </w:rPr>
  </w:style>
  <w:style w:type="character" w:styleId="1463" w:customStyle="1">
    <w:name w:val="Схема документа Знак"/>
    <w:basedOn w:val="1082"/>
    <w:link w:val="1462"/>
    <w:uiPriority w:val="99"/>
    <w:rPr>
      <w:rFonts w:ascii="Tahoma" w:hAnsi="Tahoma" w:eastAsia="Microsoft YaHei" w:cs="Tahoma"/>
      <w:szCs w:val="22"/>
      <w:shd w:val="clear" w:color="auto" w:fill="000080"/>
      <w:lang w:eastAsia="ru-RU"/>
    </w:rPr>
  </w:style>
  <w:style w:type="paragraph" w:styleId="1464">
    <w:name w:val="Plain Text"/>
    <w:basedOn w:val="1072"/>
    <w:link w:val="1465"/>
    <w:uiPriority w:val="99"/>
    <w:unhideWhenUsed/>
    <w:rPr>
      <w:rFonts w:ascii="Consolas" w:hAnsi="Consolas"/>
      <w:sz w:val="21"/>
      <w:szCs w:val="21"/>
    </w:rPr>
  </w:style>
  <w:style w:type="character" w:styleId="1465" w:customStyle="1">
    <w:name w:val="Текст Знак"/>
    <w:basedOn w:val="1082"/>
    <w:link w:val="1464"/>
    <w:uiPriority w:val="99"/>
    <w:rPr>
      <w:rFonts w:ascii="Consolas" w:hAnsi="Consolas" w:eastAsiaTheme="minorEastAsia" w:cstheme="minorBidi"/>
      <w:sz w:val="21"/>
      <w:szCs w:val="21"/>
      <w:lang w:eastAsia="ru-RU"/>
    </w:rPr>
  </w:style>
  <w:style w:type="paragraph" w:styleId="1466" w:customStyle="1">
    <w:name w:val="Для таблицы (приложения 1)"/>
    <w:basedOn w:val="1072"/>
    <w:uiPriority w:val="99"/>
    <w:pPr>
      <w:widowControl w:val="off"/>
    </w:pPr>
    <w:rPr>
      <w:bCs/>
      <w:color w:val="000000"/>
      <w:sz w:val="20"/>
    </w:rPr>
  </w:style>
  <w:style w:type="character" w:styleId="1467" w:customStyle="1">
    <w:name w:val="рисунок Знак"/>
    <w:link w:val="1468"/>
    <w:semiHidden/>
    <w:rPr>
      <w:lang w:eastAsia="ru-RU"/>
    </w:rPr>
  </w:style>
  <w:style w:type="paragraph" w:styleId="1468" w:customStyle="1">
    <w:name w:val="рисунок"/>
    <w:basedOn w:val="1072"/>
    <w:next w:val="1072"/>
    <w:link w:val="1467"/>
    <w:semiHidden/>
    <w:pPr>
      <w:ind w:firstLine="567"/>
      <w:jc w:val="center"/>
      <w:keepNext/>
      <w:spacing w:line="360" w:lineRule="auto"/>
    </w:pPr>
    <w:rPr>
      <w:rFonts w:eastAsiaTheme="minorHAnsi"/>
    </w:rPr>
  </w:style>
  <w:style w:type="paragraph" w:styleId="1469" w:customStyle="1">
    <w:name w:val="Заголовок 0"/>
    <w:basedOn w:val="1073"/>
    <w:uiPriority w:val="99"/>
    <w:rPr>
      <w:rFonts w:eastAsia="Microsoft YaHei"/>
    </w:rPr>
  </w:style>
  <w:style w:type="character" w:styleId="1470" w:customStyle="1">
    <w:name w:val="Заголовок таблицы Знак"/>
    <w:link w:val="1471"/>
    <w:rPr>
      <w:rFonts w:ascii="Microsoft YaHei" w:hAnsi="Microsoft YaHei" w:eastAsia="Microsoft YaHei"/>
      <w:szCs w:val="22"/>
      <w:lang w:eastAsia="ru-RU"/>
    </w:rPr>
  </w:style>
  <w:style w:type="paragraph" w:styleId="1471" w:customStyle="1">
    <w:name w:val="Заголовок таблицы"/>
    <w:basedOn w:val="1072"/>
    <w:next w:val="1072"/>
    <w:link w:val="1470"/>
    <w:pPr>
      <w:ind w:firstLine="567"/>
      <w:keepLines/>
      <w:keepNext/>
      <w:spacing w:before="80" w:after="80" w:line="360" w:lineRule="auto"/>
    </w:pPr>
    <w:rPr>
      <w:rFonts w:ascii="Microsoft YaHei" w:hAnsi="Microsoft YaHei" w:eastAsia="Microsoft YaHei"/>
    </w:rPr>
  </w:style>
  <w:style w:type="paragraph" w:styleId="1472" w:customStyle="1">
    <w:name w:val="Стиль Основной текст + 11 пт Первая строка:  095 см Перед:  6 пт"/>
    <w:basedOn w:val="1072"/>
    <w:uiPriority w:val="99"/>
    <w:semiHidden/>
    <w:pPr>
      <w:ind w:firstLine="709"/>
      <w:jc w:val="both"/>
      <w:spacing w:line="360" w:lineRule="auto"/>
    </w:pPr>
    <w:rPr>
      <w:szCs w:val="20"/>
    </w:rPr>
  </w:style>
  <w:style w:type="character" w:styleId="1473" w:customStyle="1">
    <w:name w:val="Подрисуночный текст Знак"/>
    <w:link w:val="1474"/>
    <w:rPr>
      <w:rFonts w:ascii="Microsoft YaHei" w:hAnsi="Microsoft YaHei" w:eastAsia="Microsoft YaHei"/>
      <w:szCs w:val="22"/>
      <w:lang w:eastAsia="ru-RU"/>
    </w:rPr>
  </w:style>
  <w:style w:type="paragraph" w:styleId="1474" w:customStyle="1">
    <w:name w:val="Подрисуночный текст"/>
    <w:basedOn w:val="1072"/>
    <w:next w:val="1072"/>
    <w:link w:val="1473"/>
    <w:pPr>
      <w:ind w:firstLine="567"/>
      <w:jc w:val="center"/>
      <w:keepNext/>
      <w:spacing w:line="360" w:lineRule="auto"/>
    </w:pPr>
    <w:rPr>
      <w:rFonts w:ascii="Microsoft YaHei" w:hAnsi="Microsoft YaHei" w:eastAsia="Microsoft YaHei"/>
    </w:rPr>
  </w:style>
  <w:style w:type="paragraph" w:styleId="1475" w:customStyle="1">
    <w:name w:val="Подпись рисунков/таблиц"/>
    <w:basedOn w:val="1072"/>
    <w:uiPriority w:val="99"/>
    <w:qFormat/>
    <w:pPr>
      <w:jc w:val="center"/>
      <w:keepNext/>
    </w:pPr>
    <w:rPr>
      <w:rFonts w:ascii="Liberation Serif" w:hAnsi="Liberation Serif"/>
      <w:b/>
      <w:bCs/>
      <w:sz w:val="28"/>
      <w:szCs w:val="18"/>
    </w:rPr>
  </w:style>
  <w:style w:type="paragraph" w:styleId="1476" w:customStyle="1">
    <w:name w:val="Нормальный"/>
    <w:uiPriority w:val="99"/>
    <w:pPr>
      <w:spacing w:line="360" w:lineRule="auto"/>
      <w:tabs>
        <w:tab w:val="left" w:pos="567" w:leader="none"/>
        <w:tab w:val="left" w:pos="2268" w:leader="none"/>
        <w:tab w:val="left" w:pos="3118" w:leader="none"/>
        <w:tab w:val="left" w:pos="4039" w:leader="none"/>
        <w:tab w:val="left" w:pos="4819" w:leader="none"/>
        <w:tab w:val="left" w:pos="5670" w:leader="none"/>
        <w:tab w:val="left" w:pos="6520" w:leader="none"/>
      </w:tabs>
    </w:pPr>
    <w:rPr>
      <w:rFonts w:ascii="Courier New" w:hAnsi="Courier New" w:eastAsia="Times New Roman"/>
      <w:b/>
      <w:lang w:eastAsia="ru-RU"/>
    </w:rPr>
  </w:style>
  <w:style w:type="character" w:styleId="1477" w:customStyle="1">
    <w:name w:val="Маркированный_1 Знак"/>
    <w:link w:val="1478"/>
    <w:rPr>
      <w:rFonts w:eastAsia="Times New Roman"/>
      <w:lang w:eastAsia="ru-RU"/>
    </w:rPr>
  </w:style>
  <w:style w:type="paragraph" w:styleId="1478" w:customStyle="1">
    <w:name w:val="Маркированный_1"/>
    <w:basedOn w:val="1072"/>
    <w:link w:val="1477"/>
    <w:pPr>
      <w:ind w:firstLine="720"/>
      <w:jc w:val="both"/>
      <w:spacing w:line="360" w:lineRule="auto"/>
      <w:tabs>
        <w:tab w:val="left" w:pos="900" w:leader="none"/>
      </w:tabs>
    </w:pPr>
  </w:style>
  <w:style w:type="paragraph" w:styleId="1479" w:customStyle="1">
    <w:name w:val="Содержимое таблицы"/>
    <w:basedOn w:val="1072"/>
    <w:uiPriority w:val="99"/>
    <w:pPr>
      <w:widowControl w:val="off"/>
      <w:suppressLineNumbers/>
    </w:pPr>
    <w:rPr>
      <w:rFonts w:eastAsia="Lucida Sans Unicode"/>
    </w:rPr>
  </w:style>
  <w:style w:type="paragraph" w:styleId="1480" w:customStyle="1">
    <w:name w:val="ConsPlusTitle"/>
    <w:uiPriority w:val="99"/>
    <w:pPr>
      <w:widowControl w:val="off"/>
    </w:pPr>
    <w:rPr>
      <w:rFonts w:ascii="Arial" w:hAnsi="Arial" w:eastAsia="Times New Roman" w:cs="Arial"/>
      <w:b/>
      <w:bCs/>
      <w:sz w:val="16"/>
      <w:szCs w:val="16"/>
      <w:lang w:eastAsia="ru-RU"/>
    </w:rPr>
  </w:style>
  <w:style w:type="paragraph" w:styleId="1481" w:customStyle="1">
    <w:name w:val="Обычный1"/>
    <w:uiPriority w:val="99"/>
    <w:rPr>
      <w:rFonts w:eastAsia="Times New Roman"/>
      <w:lang w:eastAsia="ru-RU"/>
    </w:rPr>
  </w:style>
  <w:style w:type="paragraph" w:styleId="1482" w:customStyle="1">
    <w:name w:val="Основной текст 31"/>
    <w:basedOn w:val="1481"/>
    <w:uiPriority w:val="99"/>
    <w:rPr>
      <w:sz w:val="28"/>
    </w:rPr>
  </w:style>
  <w:style w:type="paragraph" w:styleId="1483" w:customStyle="1">
    <w:name w:val="ConsNormal"/>
    <w:uiPriority w:val="99"/>
    <w:pPr>
      <w:ind w:firstLine="720"/>
      <w:widowControl w:val="off"/>
    </w:pPr>
    <w:rPr>
      <w:rFonts w:ascii="Arial" w:hAnsi="Arial" w:eastAsia="Times New Roman"/>
      <w:lang w:eastAsia="ru-RU"/>
    </w:rPr>
  </w:style>
  <w:style w:type="paragraph" w:styleId="1484" w:customStyle="1">
    <w:name w:val="ConsCell"/>
    <w:uiPriority w:val="99"/>
    <w:pPr>
      <w:widowControl w:val="off"/>
    </w:pPr>
    <w:rPr>
      <w:rFonts w:ascii="Arial" w:hAnsi="Arial" w:eastAsia="Times New Roman"/>
      <w:lang w:eastAsia="ru-RU"/>
    </w:rPr>
  </w:style>
  <w:style w:type="paragraph" w:styleId="1485" w:customStyle="1">
    <w:name w:val="T"/>
    <w:basedOn w:val="1072"/>
    <w:uiPriority w:val="99"/>
    <w:pPr>
      <w:jc w:val="center"/>
      <w:widowControl w:val="off"/>
    </w:pPr>
    <w:rPr>
      <w:szCs w:val="20"/>
      <w:lang w:eastAsia="ar-SA"/>
    </w:rPr>
  </w:style>
  <w:style w:type="paragraph" w:styleId="1486" w:customStyle="1">
    <w:name w:val="Без интервала1"/>
    <w:rPr>
      <w:lang w:val="uk-UA" w:eastAsia="ru-RU"/>
    </w:rPr>
  </w:style>
  <w:style w:type="paragraph" w:styleId="1487" w:customStyle="1">
    <w:name w:val="Style3"/>
    <w:basedOn w:val="1072"/>
    <w:uiPriority w:val="99"/>
    <w:pPr>
      <w:widowControl w:val="off"/>
    </w:pPr>
    <w:rPr>
      <w:rFonts w:ascii="Arial Narrow" w:hAnsi="Arial Narrow"/>
    </w:rPr>
  </w:style>
  <w:style w:type="paragraph" w:styleId="1488" w:customStyle="1">
    <w:name w:val="Style6"/>
    <w:basedOn w:val="1072"/>
    <w:uiPriority w:val="99"/>
    <w:pPr>
      <w:widowControl w:val="off"/>
    </w:pPr>
    <w:rPr>
      <w:rFonts w:ascii="Arial Narrow" w:hAnsi="Arial Narrow"/>
    </w:rPr>
  </w:style>
  <w:style w:type="paragraph" w:styleId="1489" w:customStyle="1">
    <w:name w:val="Style15"/>
    <w:basedOn w:val="1072"/>
    <w:uiPriority w:val="99"/>
    <w:pPr>
      <w:widowControl w:val="off"/>
    </w:pPr>
    <w:rPr>
      <w:rFonts w:ascii="Arial Narrow" w:hAnsi="Arial Narrow"/>
    </w:rPr>
  </w:style>
  <w:style w:type="paragraph" w:styleId="1490" w:customStyle="1">
    <w:name w:val="Style18"/>
    <w:basedOn w:val="1072"/>
    <w:uiPriority w:val="99"/>
    <w:pPr>
      <w:widowControl w:val="off"/>
    </w:pPr>
    <w:rPr>
      <w:rFonts w:ascii="Arial Narrow" w:hAnsi="Arial Narrow"/>
    </w:rPr>
  </w:style>
  <w:style w:type="paragraph" w:styleId="1491" w:customStyle="1">
    <w:name w:val="Style19"/>
    <w:basedOn w:val="1072"/>
    <w:uiPriority w:val="99"/>
    <w:pPr>
      <w:widowControl w:val="off"/>
    </w:pPr>
    <w:rPr>
      <w:rFonts w:ascii="Arial Narrow" w:hAnsi="Arial Narrow"/>
    </w:rPr>
  </w:style>
  <w:style w:type="paragraph" w:styleId="1492" w:customStyle="1">
    <w:name w:val="Заголовок 11"/>
    <w:basedOn w:val="1072"/>
    <w:next w:val="1072"/>
    <w:uiPriority w:val="9"/>
    <w:pPr>
      <w:keepLines/>
      <w:keepNext/>
      <w:spacing w:before="480"/>
      <w:outlineLvl w:val="0"/>
    </w:pPr>
    <w:rPr>
      <w:b/>
      <w:bCs/>
      <w:i/>
      <w:color w:val="000000"/>
      <w:szCs w:val="28"/>
    </w:rPr>
  </w:style>
  <w:style w:type="paragraph" w:styleId="1493" w:customStyle="1">
    <w:name w:val="Заголовок 21"/>
    <w:basedOn w:val="1072"/>
    <w:next w:val="1072"/>
    <w:uiPriority w:val="9"/>
    <w:pPr>
      <w:keepLines/>
      <w:keepNext/>
      <w:spacing w:before="200"/>
      <w:outlineLvl w:val="1"/>
    </w:pPr>
    <w:rPr>
      <w:bCs/>
      <w:color w:val="000000"/>
      <w:szCs w:val="26"/>
    </w:rPr>
  </w:style>
  <w:style w:type="paragraph" w:styleId="1494" w:customStyle="1">
    <w:name w:val="Заголовок 31"/>
    <w:basedOn w:val="1072"/>
    <w:next w:val="1072"/>
    <w:uiPriority w:val="9"/>
    <w:pPr>
      <w:keepLines/>
      <w:keepNext/>
      <w:spacing w:before="200"/>
      <w:outlineLvl w:val="2"/>
    </w:pPr>
    <w:rPr>
      <w:b/>
      <w:bCs/>
      <w:i/>
      <w:color w:val="000000"/>
    </w:rPr>
  </w:style>
  <w:style w:type="paragraph" w:styleId="1495" w:customStyle="1">
    <w:name w:val="Знак Знак Знак Знак"/>
    <w:basedOn w:val="1072"/>
    <w:uiPriority w:val="9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/>
    </w:rPr>
  </w:style>
  <w:style w:type="paragraph" w:styleId="1496" w:customStyle="1">
    <w:name w:val="font7"/>
    <w:basedOn w:val="1072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styleId="1497" w:customStyle="1">
    <w:name w:val="font8"/>
    <w:basedOn w:val="1072"/>
    <w:pPr>
      <w:spacing w:before="100" w:beforeAutospacing="1" w:after="100" w:afterAutospacing="1"/>
    </w:pPr>
    <w:rPr>
      <w:rFonts w:ascii="Symbol" w:hAnsi="Symbol"/>
      <w:b/>
      <w:bCs/>
      <w:color w:val="000000"/>
      <w:sz w:val="20"/>
      <w:szCs w:val="20"/>
    </w:rPr>
  </w:style>
  <w:style w:type="paragraph" w:styleId="1498" w:customStyle="1">
    <w:name w:val="Основной текст5"/>
    <w:basedOn w:val="1072"/>
    <w:uiPriority w:val="99"/>
    <w:pPr>
      <w:ind w:hanging="500"/>
      <w:jc w:val="both"/>
      <w:spacing w:line="414" w:lineRule="exact"/>
      <w:shd w:val="clear" w:color="auto" w:fill="ffffff"/>
      <w:widowControl w:val="off"/>
    </w:pPr>
    <w:rPr>
      <w:color w:val="000000"/>
      <w:sz w:val="23"/>
      <w:szCs w:val="23"/>
    </w:rPr>
  </w:style>
  <w:style w:type="character" w:styleId="1499" w:customStyle="1">
    <w:name w:val="Основной текст_"/>
    <w:link w:val="1500"/>
    <w:rPr>
      <w:rFonts w:eastAsia="Times New Roman"/>
      <w:sz w:val="23"/>
      <w:szCs w:val="23"/>
      <w:shd w:val="clear" w:color="auto" w:fill="ffffff"/>
    </w:rPr>
  </w:style>
  <w:style w:type="paragraph" w:styleId="1500" w:customStyle="1">
    <w:name w:val="Основной текст3"/>
    <w:basedOn w:val="1072"/>
    <w:link w:val="1499"/>
    <w:pPr>
      <w:ind w:hanging="460"/>
      <w:jc w:val="both"/>
      <w:spacing w:after="180" w:line="0" w:lineRule="atLeast"/>
      <w:shd w:val="clear" w:color="auto" w:fill="ffffff"/>
      <w:widowControl w:val="off"/>
    </w:pPr>
    <w:rPr>
      <w:sz w:val="23"/>
      <w:szCs w:val="23"/>
    </w:rPr>
  </w:style>
  <w:style w:type="paragraph" w:styleId="1501" w:customStyle="1">
    <w:name w:val="xl121"/>
    <w:basedOn w:val="1072"/>
    <w:pPr>
      <w:spacing w:before="100" w:beforeAutospacing="1" w:after="100" w:afterAutospacing="1"/>
    </w:pPr>
    <w:rPr>
      <w:rFonts w:ascii="Helv" w:hAnsi="Helv"/>
    </w:rPr>
  </w:style>
  <w:style w:type="paragraph" w:styleId="1502" w:customStyle="1">
    <w:name w:val="xl122"/>
    <w:basedOn w:val="1072"/>
    <w:pPr>
      <w:spacing w:before="100" w:beforeAutospacing="1" w:after="100" w:afterAutospacing="1"/>
    </w:pPr>
    <w:rPr>
      <w:rFonts w:ascii="Helv" w:hAnsi="Helv"/>
    </w:rPr>
  </w:style>
  <w:style w:type="paragraph" w:styleId="1503" w:customStyle="1">
    <w:name w:val="xl123"/>
    <w:basedOn w:val="1072"/>
    <w:pPr>
      <w:spacing w:before="100" w:beforeAutospacing="1" w:after="100" w:afterAutospacing="1"/>
      <w:shd w:val="clear" w:color="auto" w:fill="ffffff"/>
    </w:pPr>
    <w:rPr>
      <w:rFonts w:ascii="Helv" w:hAnsi="Helv"/>
    </w:rPr>
  </w:style>
  <w:style w:type="paragraph" w:styleId="1504" w:customStyle="1">
    <w:name w:val="xl124"/>
    <w:basedOn w:val="1072"/>
    <w:pPr>
      <w:spacing w:before="100" w:beforeAutospacing="1" w:after="100" w:afterAutospacing="1"/>
      <w:shd w:val="thinReverseDiagStripe" w:color="666699" w:fill="ffffff"/>
    </w:pPr>
    <w:rPr>
      <w:rFonts w:ascii="Helv" w:hAnsi="Helv"/>
    </w:rPr>
  </w:style>
  <w:style w:type="paragraph" w:styleId="1505" w:customStyle="1">
    <w:name w:val="xl125"/>
    <w:basedOn w:val="1072"/>
    <w:pPr>
      <w:spacing w:before="100" w:beforeAutospacing="1" w:after="100" w:afterAutospacing="1"/>
      <w:shd w:val="clear" w:color="auto" w:fill="963634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ffffff"/>
    </w:rPr>
  </w:style>
  <w:style w:type="paragraph" w:styleId="1506" w:customStyle="1">
    <w:name w:val="xl126"/>
    <w:basedOn w:val="1072"/>
    <w:pPr>
      <w:jc w:val="center"/>
      <w:spacing w:before="100" w:beforeAutospacing="1" w:after="100" w:afterAutospacing="1"/>
      <w:shd w:val="clear" w:color="auto" w:fill="963634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b/>
      <w:bCs/>
      <w:color w:val="ffffff"/>
    </w:rPr>
  </w:style>
  <w:style w:type="paragraph" w:styleId="1507" w:customStyle="1">
    <w:name w:val="xl127"/>
    <w:basedOn w:val="1072"/>
    <w:pPr>
      <w:spacing w:before="100" w:beforeAutospacing="1" w:after="100" w:afterAutospacing="1"/>
      <w:shd w:val="clear" w:color="auto" w:fill="96363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ffffff"/>
    </w:rPr>
  </w:style>
  <w:style w:type="paragraph" w:styleId="1508" w:customStyle="1">
    <w:name w:val="xl128"/>
    <w:basedOn w:val="1072"/>
    <w:pPr>
      <w:spacing w:before="100" w:beforeAutospacing="1" w:after="100" w:afterAutospacing="1"/>
      <w:shd w:val="clear" w:color="auto" w:fill="8db4e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09" w:customStyle="1">
    <w:name w:val="xl129"/>
    <w:basedOn w:val="1072"/>
    <w:pPr>
      <w:jc w:val="center"/>
      <w:spacing w:before="100" w:beforeAutospacing="1" w:after="100" w:afterAutospacing="1"/>
      <w:shd w:val="clear" w:color="auto" w:fill="8db4e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10" w:customStyle="1">
    <w:name w:val="xl130"/>
    <w:basedOn w:val="1072"/>
    <w:pPr>
      <w:jc w:val="right"/>
      <w:spacing w:before="100" w:beforeAutospacing="1" w:after="100" w:afterAutospacing="1"/>
      <w:shd w:val="clear" w:color="auto" w:fill="8db4e2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11" w:customStyle="1">
    <w:name w:val="xl131"/>
    <w:basedOn w:val="1072"/>
    <w:pPr>
      <w:spacing w:before="100" w:beforeAutospacing="1" w:after="100" w:afterAutospacing="1"/>
      <w:shd w:val="thinReverseDiagStripe" w:color="666699" w:fill="8db4e2"/>
    </w:pPr>
    <w:rPr>
      <w:rFonts w:ascii="Helv" w:hAnsi="Helv"/>
      <w:b/>
      <w:bCs/>
    </w:rPr>
  </w:style>
  <w:style w:type="paragraph" w:styleId="1512" w:customStyle="1">
    <w:name w:val="xl132"/>
    <w:basedOn w:val="1072"/>
    <w:pPr>
      <w:spacing w:before="100" w:beforeAutospacing="1" w:after="100" w:afterAutospacing="1"/>
      <w:shd w:val="clear" w:color="auto" w:fill="95b3d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13" w:customStyle="1">
    <w:name w:val="xl133"/>
    <w:basedOn w:val="1072"/>
    <w:pPr>
      <w:jc w:val="center"/>
      <w:spacing w:before="100" w:beforeAutospacing="1" w:after="100" w:afterAutospacing="1"/>
      <w:shd w:val="clear" w:color="auto" w:fill="95b3d7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14" w:customStyle="1">
    <w:name w:val="xl134"/>
    <w:basedOn w:val="1072"/>
    <w:pPr>
      <w:jc w:val="right"/>
      <w:spacing w:before="100" w:beforeAutospacing="1" w:after="100" w:afterAutospacing="1"/>
      <w:shd w:val="clear" w:color="auto" w:fill="95b3d7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15" w:customStyle="1">
    <w:name w:val="xl135"/>
    <w:basedOn w:val="1072"/>
    <w:pPr>
      <w:spacing w:before="100" w:beforeAutospacing="1" w:after="100" w:afterAutospacing="1"/>
      <w:shd w:val="clear" w:color="auto" w:fill="95b3d7"/>
    </w:pPr>
  </w:style>
  <w:style w:type="paragraph" w:styleId="1516" w:customStyle="1">
    <w:name w:val="xl136"/>
    <w:basedOn w:val="1072"/>
    <w:pPr>
      <w:jc w:val="center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17" w:customStyle="1">
    <w:name w:val="xl137"/>
    <w:basedOn w:val="1072"/>
    <w:pPr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18" w:customStyle="1">
    <w:name w:val="xl138"/>
    <w:basedOn w:val="1072"/>
    <w:pPr>
      <w:spacing w:before="100" w:beforeAutospacing="1" w:after="100" w:afterAutospacing="1"/>
      <w:shd w:val="clear" w:color="auto" w:fill="d8e4bc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19" w:customStyle="1">
    <w:name w:val="xl139"/>
    <w:basedOn w:val="1072"/>
    <w:pPr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0" w:customStyle="1">
    <w:name w:val="xl140"/>
    <w:basedOn w:val="1072"/>
    <w:pPr>
      <w:spacing w:before="100" w:beforeAutospacing="1" w:after="100" w:afterAutospacing="1"/>
      <w:shd w:val="clear" w:color="auto" w:fill="ffffff"/>
    </w:pPr>
    <w:rPr>
      <w:rFonts w:ascii="Arial" w:hAnsi="Arial" w:cs="Arial"/>
      <w:color w:val="366092"/>
    </w:rPr>
  </w:style>
  <w:style w:type="paragraph" w:styleId="1521" w:customStyle="1">
    <w:name w:val="xl141"/>
    <w:basedOn w:val="1072"/>
    <w:pPr>
      <w:spacing w:before="100" w:beforeAutospacing="1" w:after="100" w:afterAutospacing="1"/>
    </w:pPr>
    <w:rPr>
      <w:rFonts w:ascii="Arial" w:hAnsi="Arial" w:cs="Arial"/>
      <w:color w:val="366092"/>
    </w:rPr>
  </w:style>
  <w:style w:type="paragraph" w:styleId="1522" w:customStyle="1">
    <w:name w:val="xl142"/>
    <w:basedOn w:val="1072"/>
    <w:pPr>
      <w:ind w:firstLine="1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9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3" w:customStyle="1">
    <w:name w:val="xl143"/>
    <w:basedOn w:val="1072"/>
    <w:pPr>
      <w:ind w:firstLine="2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18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4" w:customStyle="1">
    <w:name w:val="xl144"/>
    <w:basedOn w:val="1072"/>
    <w:pPr>
      <w:ind w:firstLine="3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27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5" w:customStyle="1">
    <w:name w:val="xl145"/>
    <w:basedOn w:val="1072"/>
    <w:pPr>
      <w:ind w:firstLine="4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31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6" w:customStyle="1">
    <w:name w:val="xl146"/>
    <w:basedOn w:val="1072"/>
    <w:pPr>
      <w:ind w:firstLine="2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18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7" w:customStyle="1">
    <w:name w:val="xl147"/>
    <w:basedOn w:val="1072"/>
    <w:pPr>
      <w:jc w:val="center"/>
      <w:spacing w:before="100" w:beforeAutospacing="1" w:after="100" w:afterAutospacing="1"/>
      <w:shd w:val="clear" w:color="auto" w:fill="c4d79b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366092"/>
    </w:rPr>
  </w:style>
  <w:style w:type="paragraph" w:styleId="1528" w:customStyle="1">
    <w:name w:val="xl148"/>
    <w:basedOn w:val="1072"/>
    <w:pPr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29" w:customStyle="1">
    <w:name w:val="xl149"/>
    <w:basedOn w:val="1072"/>
    <w:pPr>
      <w:spacing w:before="100" w:beforeAutospacing="1" w:after="100" w:afterAutospacing="1"/>
      <w:shd w:val="clear" w:color="auto" w:fill="d8e4bc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30" w:customStyle="1">
    <w:name w:val="xl150"/>
    <w:basedOn w:val="1072"/>
    <w:pPr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31" w:customStyle="1">
    <w:name w:val="xl151"/>
    <w:basedOn w:val="1072"/>
    <w:pPr>
      <w:spacing w:before="100" w:beforeAutospacing="1" w:after="100" w:afterAutospacing="1"/>
      <w:shd w:val="clear" w:color="auto" w:fill="d8e4bc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366092"/>
    </w:rPr>
  </w:style>
  <w:style w:type="paragraph" w:styleId="1532" w:customStyle="1">
    <w:name w:val="xl152"/>
    <w:basedOn w:val="1072"/>
    <w:pPr>
      <w:ind w:firstLine="100"/>
      <w:spacing w:before="100" w:beforeAutospacing="1" w:after="100" w:afterAutospacing="1"/>
      <w:shd w:val="clear" w:color="auto" w:fill="c4d79b"/>
      <w:pBdr>
        <w:top w:val="single" w:color="auto" w:sz="4" w:space="0"/>
        <w:left w:val="single" w:color="auto" w:sz="4" w:space="9"/>
        <w:right w:val="single" w:color="auto" w:sz="4" w:space="0"/>
      </w:pBdr>
    </w:pPr>
    <w:rPr>
      <w:color w:val="366092"/>
    </w:rPr>
  </w:style>
  <w:style w:type="paragraph" w:styleId="1533" w:customStyle="1">
    <w:name w:val="xl153"/>
    <w:basedOn w:val="1072"/>
    <w:pPr>
      <w:jc w:val="center"/>
      <w:spacing w:before="100" w:beforeAutospacing="1" w:after="100" w:afterAutospacing="1"/>
      <w:shd w:val="clear" w:color="auto" w:fill="c4d79b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366092"/>
    </w:rPr>
  </w:style>
  <w:style w:type="paragraph" w:styleId="1534" w:customStyle="1">
    <w:name w:val="xl154"/>
    <w:basedOn w:val="1072"/>
    <w:pPr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366092"/>
    </w:rPr>
  </w:style>
  <w:style w:type="paragraph" w:styleId="1535" w:customStyle="1">
    <w:name w:val="xl155"/>
    <w:basedOn w:val="1072"/>
    <w:pPr>
      <w:spacing w:before="100" w:beforeAutospacing="1" w:after="100" w:afterAutospacing="1"/>
      <w:shd w:val="clear" w:color="auto" w:fill="d8e4bc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366092"/>
    </w:rPr>
  </w:style>
  <w:style w:type="paragraph" w:styleId="1536" w:customStyle="1">
    <w:name w:val="xl156"/>
    <w:basedOn w:val="1072"/>
    <w:pPr>
      <w:jc w:val="center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</w:pPr>
    <w:rPr>
      <w:color w:val="ff0000"/>
    </w:rPr>
  </w:style>
  <w:style w:type="paragraph" w:styleId="1537" w:customStyle="1">
    <w:name w:val="xl157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</w:pPr>
    <w:rPr>
      <w:color w:val="ff0000"/>
    </w:rPr>
  </w:style>
  <w:style w:type="paragraph" w:styleId="1538" w:customStyle="1">
    <w:name w:val="xl158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</w:pPr>
    <w:rPr>
      <w:color w:val="ff0000"/>
    </w:rPr>
  </w:style>
  <w:style w:type="paragraph" w:styleId="1539" w:customStyle="1">
    <w:name w:val="xl159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4" w:space="0"/>
        <w:bottom w:val="single" w:color="auto" w:sz="8" w:space="0"/>
        <w:right w:val="single" w:color="auto" w:sz="4" w:space="0"/>
      </w:pBdr>
    </w:pPr>
    <w:rPr>
      <w:color w:val="ff0000"/>
    </w:rPr>
  </w:style>
  <w:style w:type="paragraph" w:styleId="1540" w:customStyle="1">
    <w:name w:val="xl160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4" w:space="0"/>
        <w:bottom w:val="single" w:color="auto" w:sz="8" w:space="0"/>
        <w:right w:val="single" w:color="auto" w:sz="4" w:space="0"/>
      </w:pBdr>
    </w:pPr>
    <w:rPr>
      <w:color w:val="ff0000"/>
    </w:rPr>
  </w:style>
  <w:style w:type="paragraph" w:styleId="1541" w:customStyle="1">
    <w:name w:val="xl161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542" w:customStyle="1">
    <w:name w:val="xl162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543" w:customStyle="1">
    <w:name w:val="xl163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544" w:customStyle="1">
    <w:name w:val="xl164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bottom w:val="single" w:color="auto" w:sz="4" w:space="0"/>
        <w:right w:val="single" w:color="auto" w:sz="4" w:space="0"/>
      </w:pBdr>
    </w:pPr>
    <w:rPr>
      <w:color w:val="376091"/>
    </w:rPr>
  </w:style>
  <w:style w:type="paragraph" w:styleId="1545" w:customStyle="1">
    <w:name w:val="xl165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546" w:customStyle="1">
    <w:name w:val="xl166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right w:val="single" w:color="auto" w:sz="4" w:space="0"/>
      </w:pBdr>
    </w:pPr>
    <w:rPr>
      <w:color w:val="376091"/>
    </w:rPr>
  </w:style>
  <w:style w:type="paragraph" w:styleId="1547" w:customStyle="1">
    <w:name w:val="xl167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4" w:space="0"/>
        <w:right w:val="single" w:color="auto" w:sz="4" w:space="0"/>
      </w:pBdr>
    </w:pPr>
    <w:rPr>
      <w:color w:val="ff0000"/>
    </w:rPr>
  </w:style>
  <w:style w:type="paragraph" w:styleId="1548" w:customStyle="1">
    <w:name w:val="xl168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4" w:space="0"/>
        <w:right w:val="single" w:color="auto" w:sz="4" w:space="0"/>
      </w:pBdr>
    </w:pPr>
    <w:rPr>
      <w:color w:val="ff0000"/>
    </w:rPr>
  </w:style>
  <w:style w:type="paragraph" w:styleId="1549" w:customStyle="1">
    <w:name w:val="xl169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550" w:customStyle="1">
    <w:name w:val="xl170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51" w:customStyle="1">
    <w:name w:val="xl171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552" w:customStyle="1">
    <w:name w:val="xl172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right w:val="single" w:color="auto" w:sz="4" w:space="0"/>
      </w:pBdr>
    </w:pPr>
    <w:rPr>
      <w:color w:val="ff0000"/>
    </w:rPr>
  </w:style>
  <w:style w:type="paragraph" w:styleId="1553" w:customStyle="1">
    <w:name w:val="xl173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554" w:customStyle="1">
    <w:name w:val="xl174"/>
    <w:basedOn w:val="1072"/>
    <w:pPr>
      <w:spacing w:before="100" w:beforeAutospacing="1" w:after="100" w:afterAutospacing="1"/>
      <w:shd w:val="clear" w:color="auto" w:fill="c2d69a"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555" w:customStyle="1">
    <w:name w:val="xl175"/>
    <w:basedOn w:val="1072"/>
    <w:pPr>
      <w:jc w:val="center"/>
      <w:spacing w:before="100" w:beforeAutospacing="1" w:after="100" w:afterAutospacing="1"/>
      <w:shd w:val="clear" w:color="auto" w:fill="c2d69a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56" w:customStyle="1">
    <w:name w:val="xl176"/>
    <w:basedOn w:val="1072"/>
    <w:pPr>
      <w:ind w:firstLine="100"/>
      <w:spacing w:before="100" w:beforeAutospacing="1" w:after="100" w:afterAutospacing="1"/>
      <w:shd w:val="clear" w:color="auto" w:fill="c2d69a"/>
      <w:pBdr>
        <w:top w:val="single" w:color="auto" w:sz="4" w:space="0"/>
        <w:left w:val="single" w:color="auto" w:sz="8" w:space="11"/>
        <w:bottom w:val="single" w:color="auto" w:sz="8" w:space="0"/>
        <w:right w:val="single" w:color="auto" w:sz="4" w:space="0"/>
      </w:pBdr>
    </w:pPr>
    <w:rPr>
      <w:color w:val="ff0000"/>
    </w:rPr>
  </w:style>
  <w:style w:type="paragraph" w:styleId="1557" w:customStyle="1">
    <w:name w:val="xl177"/>
    <w:basedOn w:val="1072"/>
    <w:pPr>
      <w:jc w:val="right"/>
      <w:spacing w:before="100" w:beforeAutospacing="1" w:after="100" w:afterAutospacing="1"/>
      <w:shd w:val="clear" w:color="auto" w:fill="fcd5b4"/>
      <w:pBdr>
        <w:top w:val="single" w:color="auto" w:sz="8" w:space="0"/>
        <w:bottom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558" w:customStyle="1">
    <w:name w:val="xl178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8" w:space="0"/>
        <w:bottom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559" w:customStyle="1">
    <w:name w:val="xl179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8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60" w:customStyle="1">
    <w:name w:val="xl180"/>
    <w:basedOn w:val="1072"/>
    <w:pPr>
      <w:jc w:val="center"/>
      <w:spacing w:before="100" w:beforeAutospacing="1" w:after="100" w:afterAutospacing="1"/>
      <w:shd w:val="clear" w:color="auto" w:fill="c2d69a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61" w:customStyle="1">
    <w:name w:val="xl181"/>
    <w:basedOn w:val="1072"/>
    <w:pPr>
      <w:jc w:val="right"/>
      <w:spacing w:before="100" w:beforeAutospacing="1" w:after="100" w:afterAutospacing="1"/>
      <w:shd w:val="clear" w:color="auto" w:fill="d7e4bc"/>
      <w:pBdr>
        <w:top w:val="single" w:color="auto" w:sz="8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62" w:customStyle="1">
    <w:name w:val="xl182"/>
    <w:basedOn w:val="1072"/>
    <w:pPr>
      <w:jc w:val="center"/>
      <w:spacing w:before="100" w:beforeAutospacing="1" w:after="100" w:afterAutospacing="1"/>
      <w:shd w:val="clear" w:color="auto" w:fill="c2d69a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</w:pPr>
    <w:rPr>
      <w:b/>
      <w:bCs/>
      <w:color w:val="ff0000"/>
    </w:rPr>
  </w:style>
  <w:style w:type="paragraph" w:styleId="1563" w:customStyle="1">
    <w:name w:val="Iau?iue"/>
    <w:uiPriority w:val="99"/>
    <w:rPr>
      <w:rFonts w:eastAsia="Times New Roman"/>
      <w:lang w:val="en-US" w:eastAsia="ru-RU"/>
    </w:rPr>
  </w:style>
  <w:style w:type="character" w:styleId="1564" w:customStyle="1">
    <w:name w:val="Основной текст (5)_"/>
    <w:link w:val="1565"/>
    <w:rPr>
      <w:rFonts w:ascii="Palatino Linotype" w:hAnsi="Palatino Linotype" w:eastAsia="Palatino Linotype" w:cs="Palatino Linotype"/>
      <w:i/>
      <w:iCs/>
      <w:sz w:val="10"/>
      <w:szCs w:val="10"/>
      <w:shd w:val="clear" w:color="auto" w:fill="ffffff"/>
    </w:rPr>
  </w:style>
  <w:style w:type="paragraph" w:styleId="1565" w:customStyle="1">
    <w:name w:val="Основной текст (5)"/>
    <w:basedOn w:val="1072"/>
    <w:link w:val="1564"/>
    <w:pPr>
      <w:jc w:val="center"/>
      <w:spacing w:line="0" w:lineRule="atLeast"/>
      <w:shd w:val="clear" w:color="auto" w:fill="ffffff"/>
      <w:widowControl w:val="off"/>
    </w:pPr>
    <w:rPr>
      <w:rFonts w:ascii="Palatino Linotype" w:hAnsi="Palatino Linotype" w:eastAsia="Palatino Linotype" w:cs="Palatino Linotype"/>
      <w:i/>
      <w:iCs/>
      <w:sz w:val="10"/>
      <w:szCs w:val="10"/>
    </w:rPr>
  </w:style>
  <w:style w:type="character" w:styleId="1566">
    <w:name w:val="line number"/>
    <w:uiPriority w:val="99"/>
    <w:unhideWhenUsed/>
    <w:rPr>
      <w:sz w:val="18"/>
    </w:rPr>
  </w:style>
  <w:style w:type="character" w:styleId="1567">
    <w:name w:val="page number"/>
    <w:uiPriority w:val="99"/>
    <w:unhideWhenUsed/>
    <w:rPr>
      <w:rFonts w:hint="default" w:ascii="Arial Black" w:hAnsi="Arial Black"/>
      <w:spacing w:val="-10"/>
      <w:sz w:val="18"/>
    </w:rPr>
  </w:style>
  <w:style w:type="character" w:styleId="1568">
    <w:name w:val="Intense Emphasis"/>
    <w:uiPriority w:val="21"/>
    <w:rPr>
      <w:b/>
      <w:bCs/>
      <w:i/>
      <w:iCs/>
      <w:color w:val="4f81bd"/>
    </w:rPr>
  </w:style>
  <w:style w:type="character" w:styleId="1569" w:customStyle="1">
    <w:name w:val="bindvalue"/>
    <w:basedOn w:val="1082"/>
    <w:uiPriority w:val="99"/>
  </w:style>
  <w:style w:type="character" w:styleId="1570" w:customStyle="1">
    <w:name w:val="PEStyleFont6"/>
    <w:rPr>
      <w:rFonts w:hint="default" w:ascii="Arial CYR" w:hAnsi="Arial CYR" w:cs="Courier New"/>
      <w:b/>
      <w:spacing w:val="0"/>
      <w:position w:val="0"/>
      <w:sz w:val="16"/>
      <w:u w:val="none"/>
    </w:rPr>
  </w:style>
  <w:style w:type="character" w:styleId="1571" w:customStyle="1">
    <w:name w:val="PEStyleFont8"/>
    <w:rPr>
      <w:rFonts w:hint="default" w:ascii="Arial CYR" w:hAnsi="Arial CYR" w:cs="Courier New"/>
      <w:spacing w:val="0"/>
      <w:position w:val="0"/>
      <w:sz w:val="16"/>
      <w:u w:val="none"/>
    </w:rPr>
  </w:style>
  <w:style w:type="character" w:styleId="1572" w:customStyle="1">
    <w:name w:val="PEStyleFont7"/>
    <w:rPr>
      <w:rFonts w:hint="default" w:ascii="Arial CYR" w:hAnsi="Arial CYR" w:cs="Courier New"/>
      <w:b/>
      <w:spacing w:val="0"/>
      <w:position w:val="0"/>
      <w:sz w:val="16"/>
      <w:u w:val="none"/>
    </w:rPr>
  </w:style>
  <w:style w:type="character" w:styleId="1573" w:customStyle="1">
    <w:name w:val="Font Style13"/>
    <w:rPr>
      <w:rFonts w:hint="default" w:ascii="Arial Narrow" w:hAnsi="Arial Narrow" w:cs="Arial Narrow"/>
      <w:sz w:val="24"/>
      <w:szCs w:val="24"/>
    </w:rPr>
  </w:style>
  <w:style w:type="character" w:styleId="1574" w:customStyle="1">
    <w:name w:val="Font Style27"/>
    <w:rPr>
      <w:rFonts w:hint="default" w:ascii="Arial Narrow" w:hAnsi="Arial Narrow" w:cs="Arial Narrow"/>
      <w:b/>
      <w:bCs/>
      <w:sz w:val="16"/>
      <w:szCs w:val="16"/>
    </w:rPr>
  </w:style>
  <w:style w:type="character" w:styleId="1575" w:customStyle="1">
    <w:name w:val="Font Style28"/>
    <w:rPr>
      <w:rFonts w:hint="default" w:ascii="Arial Narrow" w:hAnsi="Arial Narrow" w:cs="Arial Narrow"/>
      <w:sz w:val="16"/>
      <w:szCs w:val="16"/>
    </w:rPr>
  </w:style>
  <w:style w:type="character" w:styleId="1576" w:customStyle="1">
    <w:name w:val="Font Style29"/>
    <w:rPr>
      <w:rFonts w:hint="default" w:ascii="Trebuchet MS" w:hAnsi="Trebuchet MS" w:cs="Trebuchet MS"/>
      <w:b/>
      <w:bCs/>
      <w:sz w:val="12"/>
      <w:szCs w:val="12"/>
    </w:rPr>
  </w:style>
  <w:style w:type="character" w:styleId="1577" w:customStyle="1">
    <w:name w:val="Заголовок 1 Знак1"/>
    <w:uiPriority w:val="9"/>
    <w:rPr>
      <w:rFonts w:hint="default" w:ascii="Cambria" w:hAnsi="Cambria" w:eastAsia="Times New Roman" w:cs="Times New Roman"/>
      <w:b/>
      <w:bCs/>
      <w:color w:val="365f91"/>
      <w:sz w:val="28"/>
    </w:rPr>
  </w:style>
  <w:style w:type="character" w:styleId="1578" w:customStyle="1">
    <w:name w:val="Гиперссылка1"/>
    <w:uiPriority w:val="99"/>
    <w:rPr>
      <w:color w:val="0000ff"/>
      <w:u w:val="single"/>
    </w:rPr>
  </w:style>
  <w:style w:type="character" w:styleId="1579" w:customStyle="1">
    <w:name w:val="Заголовок 2 Знак1"/>
    <w:rPr>
      <w:rFonts w:hint="default" w:ascii="Cambria" w:hAnsi="Cambria" w:eastAsia="Times New Roman" w:cs="Times New Roman"/>
      <w:b/>
      <w:bCs/>
      <w:color w:val="4f81bd"/>
      <w:sz w:val="26"/>
      <w:szCs w:val="26"/>
    </w:rPr>
  </w:style>
  <w:style w:type="character" w:styleId="1580" w:customStyle="1">
    <w:name w:val="Заголовок 3 Знак1"/>
    <w:rPr>
      <w:rFonts w:hint="default" w:ascii="Cambria" w:hAnsi="Cambria" w:eastAsia="Times New Roman" w:cs="Times New Roman"/>
      <w:b/>
      <w:bCs/>
      <w:color w:val="4f81bd"/>
    </w:rPr>
  </w:style>
  <w:style w:type="character" w:styleId="1581" w:customStyle="1">
    <w:name w:val="Основной текст1"/>
    <w:rPr>
      <w:rFonts w:eastAsia="Times New Roman"/>
      <w:color w:val="000000"/>
      <w:spacing w:val="0"/>
      <w:position w:val="0"/>
      <w:sz w:val="23"/>
      <w:szCs w:val="23"/>
      <w:u w:val="single"/>
      <w:shd w:val="clear" w:color="auto" w:fill="ffffff"/>
      <w:lang w:val="ru-RU"/>
    </w:rPr>
  </w:style>
  <w:style w:type="table" w:styleId="1582">
    <w:name w:val="Table Simple 1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8000" w:sz="12" w:space="0"/>
        <w:bottom w:val="single" w:color="008000" w:sz="12" w:space="0"/>
      </w:tblBorders>
    </w:tbl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583">
    <w:name w:val="Table Simple 2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auto" w:sz="0" w:space="0"/>
        </w:tcBorders>
      </w:tcPr>
    </w:tblStylePr>
    <w:tblStylePr w:type="swCell">
      <w:rPr>
        <w:b/>
        <w:bCs/>
      </w:rPr>
      <w:tcPr>
        <w:tcBorders>
          <w:top w:val="none" w:color="auto" w:sz="0" w:space="0"/>
        </w:tcBorders>
      </w:tcPr>
    </w:tblStylePr>
  </w:style>
  <w:style w:type="table" w:styleId="1584">
    <w:name w:val="Table Simple 3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585">
    <w:name w:val="Table Classic 1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bottom w:val="single" w:color="000000" w:sz="12" w:space="0"/>
      </w:tblBorders>
    </w:tbl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86">
    <w:name w:val="Table Classic 2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bottom w:val="single" w:color="000000" w:sz="12" w:space="0"/>
      </w:tblBorders>
    </w:tbl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587">
    <w:name w:val="Table Columns 2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b/>
      <w:bCs/>
      <w:lang w:eastAsia="ru-RU"/>
    </w:rPr>
    <w:tblPr>
      <w:tblStyleColBandSize w:val="1"/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88">
    <w:name w:val="Table Columns 3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b/>
      <w:bCs/>
      <w:lang w:eastAsia="ru-RU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80" w:fill="ffffff"/>
      </w:tcPr>
    </w:tblStylePr>
    <w:tblStylePr w:type="lastRow"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589">
    <w:name w:val="Table Columns 4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ColBandSize w:val="1"/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590">
    <w:name w:val="Table Columns 5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591">
    <w:name w:val="Table Grid 1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592">
    <w:name w:val="Table Grid 2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insideH w:val="single" w:color="000000" w:sz="6" w:space="0"/>
        <w:insideV w:val="single" w:color="000000" w:sz="6" w:space="0"/>
      </w:tblBorders>
    </w:tbl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593">
    <w:name w:val="Table Grid 5"/>
    <w:basedOn w:val="1083"/>
    <w:unhideWhenUsed/>
    <w:pPr>
      <w:ind w:left="1080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594">
    <w:name w:val="Table Grid 8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595">
    <w:name w:val="Table List 1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596">
    <w:name w:val="Table List 2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597">
    <w:name w:val="Table Contemporary"/>
    <w:basedOn w:val="1083"/>
    <w:unhideWhenUsed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598">
    <w:name w:val="Table Elegant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caps/>
        <w:color w:val="auto"/>
      </w:rPr>
    </w:tblStylePr>
  </w:style>
  <w:style w:type="table" w:styleId="1599">
    <w:name w:val="Table Professional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table" w:styleId="1600">
    <w:name w:val="Table Subtle 1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StyleRowBandSize w:val="1"/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01">
    <w:name w:val="Table Subtle 2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02">
    <w:name w:val="Table Web 1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03">
    <w:name w:val="Table Web 2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04">
    <w:name w:val="Table Web 3"/>
    <w:basedOn w:val="1083"/>
    <w:unhideWhenUsed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05">
    <w:name w:val="Medium Shading 2 Accent 4"/>
    <w:basedOn w:val="1083"/>
    <w:uiPriority w:val="64"/>
    <w:rPr>
      <w:rFonts w:eastAsia="Times New Roman"/>
      <w:lang w:eastAsia="ru-RU"/>
    </w:r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/>
      </w:tcPr>
    </w:tblStylePr>
    <w:tblStylePr w:type="band1Vert">
      <w:tcPr>
        <w:shd w:val="clear" w:color="auto" w:fill="d8d8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/>
      </w:rPr>
      <w:tcPr>
        <w:shd w:val="clear" w:color="auto" w:fill="8064a2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/>
      </w:rPr>
      <w:pPr>
        <w:spacing w:before="0" w:beforeAutospacing="0" w:after="0" w:afterAutospacing="0" w:line="240" w:lineRule="auto"/>
      </w:pPr>
      <w:tcPr>
        <w:shd w:val="clear" w:color="auto" w:fill="8064a2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/>
      </w:rPr>
      <w:tcPr>
        <w:shd w:val="clear" w:color="auto" w:fill="8064a2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beforeAutospacing="0" w:after="0" w:afterAutospacing="0" w:line="240" w:lineRule="auto"/>
      </w:pPr>
      <w:tcPr>
        <w:shd w:val="clear" w:color="auto" w:fill="ffffff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06" w:customStyle="1">
    <w:name w:val="Table Grid1"/>
    <w:basedOn w:val="1083"/>
    <w:rPr>
      <w:rFonts w:eastAsia="Times New Roman"/>
      <w:lang w:eastAsia="ru-RU"/>
    </w:rPr>
    <w:tblPr>
      <w:tblStyleRow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blStylePr w:type="band2Horz">
      <w:tcPr>
        <w:shd w:val="clear" w:color="auto" w:fill="d9d9d9"/>
      </w:tcPr>
    </w:tblStylePr>
    <w:tblStylePr w:type="firstRow">
      <w:tcPr>
        <w:shd w:val="clear" w:color="auto" w:fill="d9d9d9"/>
      </w:tcPr>
    </w:tblStylePr>
  </w:style>
  <w:style w:type="table" w:styleId="1607" w:customStyle="1">
    <w:name w:val="Папушкин"/>
    <w:basedOn w:val="1248"/>
    <w:pPr>
      <w:jc w:val="center"/>
      <w:spacing w:after="200" w:line="276" w:lineRule="auto"/>
    </w:pPr>
    <w:rPr>
      <w:rFonts w:ascii="Arial" w:hAnsi="Arial" w:eastAsia="Times New Roman"/>
      <w:sz w:val="18"/>
      <w:szCs w:val="18"/>
      <w:lang w:eastAsia="ru-RU"/>
    </w:rPr>
    <w:tblPr>
      <w:tblStyleRowBandSize w:val="1"/>
    </w:tblPr>
    <w:tcPr>
      <w:vAlign w:val="center"/>
    </w:tcPr>
    <w:tblStylePr w:type="band1Horz">
      <w:tcPr>
        <w:shd w:val="clear" w:color="auto" w:fill="d9d9d9"/>
        <w:tcBorders>
          <w:top w:val="single" w:color="auto" w:sz="6" w:space="0"/>
          <w:bottom w:val="single" w:color="auto" w:sz="6" w:space="0"/>
        </w:tcBorders>
      </w:tcPr>
    </w:tblStylePr>
    <w:tblStylePr w:type="band2Horz">
      <w:tcPr>
        <w:shd w:val="clear" w:color="auto" w:fill="ffffff"/>
      </w:tcPr>
    </w:tblStylePr>
    <w:tblStylePr w:type="firstRow">
      <w:rPr>
        <w:b/>
      </w:rPr>
      <w:tcPr>
        <w:shd w:val="clear" w:color="auto" w:fill="d9d9d9"/>
        <w:tcBorders>
          <w:top w:val="single" w:color="auto" w:sz="24" w:space="0"/>
          <w:bottom w:val="single" w:color="auto" w:sz="24" w:space="0"/>
          <w:insideV w:val="single" w:color="auto" w:sz="6" w:space="0"/>
        </w:tcBorders>
      </w:tcPr>
    </w:tblStylePr>
    <w:tblStylePr w:type="lastRow">
      <w:tcPr>
        <w:shd w:val="clear" w:color="auto" w:fill="d9d9d9"/>
        <w:tcBorders>
          <w:bottom w:val="single" w:color="auto" w:sz="24" w:space="0"/>
          <w:insideV w:val="none" w:color="000000" w:sz="4" w:space="0"/>
        </w:tcBorders>
      </w:tcPr>
    </w:tblStylePr>
  </w:style>
  <w:style w:type="table" w:styleId="1608" w:customStyle="1">
    <w:name w:val="Сетка таблицы 52"/>
    <w:basedOn w:val="1083"/>
    <w:pPr>
      <w:ind w:left="1080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609" w:customStyle="1">
    <w:name w:val="Средний список 11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10" w:customStyle="1">
    <w:name w:val="Средний список 1 - Акцент 11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</w:tblPr>
    <w:tblStylePr w:type="band1Horz">
      <w:tcPr>
        <w:shd w:val="clear" w:color="auto" w:fill="d3dfee"/>
      </w:tcPr>
    </w:tblStylePr>
    <w:tblStylePr w:type="band1Vert">
      <w:tcPr>
        <w:shd w:val="clear" w:color="auto" w:fill="d3dfee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4F81BD" w:sz="8" w:space="0"/>
        </w:tcBorders>
      </w:tcPr>
    </w:tblStylePr>
    <w:tblStylePr w:type="lastCol">
      <w:rPr>
        <w:b/>
        <w:bCs/>
      </w:rPr>
      <w:tcPr>
        <w:tcBorders>
          <w:top w:val="single" w:color="4F81BD" w:sz="8" w:space="0"/>
          <w:bottom w:val="single" w:color="4F81BD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4F81BD" w:sz="8" w:space="0"/>
          <w:bottom w:val="single" w:color="4F81BD" w:sz="8" w:space="0"/>
        </w:tcBorders>
      </w:tcPr>
    </w:tblStylePr>
  </w:style>
  <w:style w:type="table" w:styleId="1611" w:customStyle="1">
    <w:name w:val="Сетка таблицы1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12" w:customStyle="1">
    <w:name w:val="Сетка таблицы2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13" w:customStyle="1">
    <w:name w:val="Светлая заливка11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14" w:customStyle="1">
    <w:name w:val="Светлая заливка1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15" w:customStyle="1">
    <w:name w:val="Светлая заливка2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16" w:customStyle="1">
    <w:name w:val="Сетка таблицы3"/>
    <w:basedOn w:val="1083"/>
    <w:uiPriority w:val="59"/>
    <w:rPr>
      <w:rFonts w:ascii="Calibri" w:hAnsi="Calibr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17" w:customStyle="1">
    <w:name w:val="Светлая заливка113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18" w:customStyle="1">
    <w:name w:val="Светлая заливка115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19" w:customStyle="1">
    <w:name w:val="Светлая заливка111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0" w:customStyle="1">
    <w:name w:val="Светлая заливка3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1" w:customStyle="1">
    <w:name w:val="Light Shading1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2" w:customStyle="1">
    <w:name w:val="Светлая заливка112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3" w:customStyle="1">
    <w:name w:val="Сетка таблицы4"/>
    <w:basedOn w:val="1083"/>
    <w:uiPriority w:val="59"/>
    <w:rPr>
      <w:rFonts w:ascii="Calibri" w:hAnsi="Calibr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24" w:customStyle="1">
    <w:name w:val="Светлая заливка114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5" w:customStyle="1">
    <w:name w:val="рпдлпжлопж"/>
    <w:basedOn w:val="1083"/>
    <w:uiPriority w:val="99"/>
    <w:pPr>
      <w:jc w:val="right"/>
    </w:pPr>
    <w:rPr>
      <w:rFonts w:ascii="Arial" w:hAnsi="Arial"/>
      <w:sz w:val="18"/>
      <w:szCs w:val="22"/>
      <w:lang w:eastAsia="ru-RU"/>
    </w:rPr>
    <w:tblPr>
      <w:tblStyleRowBandSize w:val="1"/>
      <w:tblStyleColBandSize w:val="1"/>
    </w:tblPr>
    <w:tcPr>
      <w:vAlign w:val="center"/>
    </w:tcPr>
    <w:tblStylePr w:type="band1Horz">
      <w:rPr>
        <w:rFonts w:hint="default" w:ascii="Arial" w:hAnsi="Arial" w:cs="Arial"/>
        <w:sz w:val="18"/>
        <w:szCs w:val="18"/>
      </w:rPr>
      <w:pPr>
        <w:jc w:val="right"/>
      </w:pPr>
    </w:tblStylePr>
    <w:tblStylePr w:type="band1Vert">
      <w:rPr>
        <w:rFonts w:hint="default" w:ascii="Arial" w:hAnsi="Arial" w:cs="Arial"/>
        <w:sz w:val="18"/>
        <w:szCs w:val="18"/>
      </w:rPr>
      <w:pPr>
        <w:jc w:val="right"/>
      </w:pPr>
    </w:tblStylePr>
    <w:tblStylePr w:type="band2Horz">
      <w:rPr>
        <w:rFonts w:hint="default" w:ascii="Arial" w:hAnsi="Arial" w:cs="Arial"/>
        <w:sz w:val="18"/>
        <w:szCs w:val="18"/>
      </w:rPr>
      <w:pPr>
        <w:jc w:val="right"/>
      </w:pPr>
      <w:tcPr>
        <w:shd w:val="clear" w:color="auto" w:fill="bfbfbf"/>
      </w:tcPr>
    </w:tblStylePr>
    <w:tblStylePr w:type="band2Vert">
      <w:rPr>
        <w:rFonts w:hint="default" w:ascii="Arial" w:hAnsi="Arial" w:cs="Arial"/>
        <w:sz w:val="18"/>
        <w:szCs w:val="18"/>
      </w:rPr>
      <w:pPr>
        <w:jc w:val="right"/>
      </w:pPr>
    </w:tblStylePr>
    <w:tblStylePr w:type="firstCol">
      <w:rPr>
        <w:rFonts w:hint="default" w:ascii="Arial" w:hAnsi="Arial" w:cs="Arial"/>
        <w:sz w:val="18"/>
        <w:szCs w:val="18"/>
      </w:rPr>
      <w:tcPr>
        <w:tcBorders>
          <w:right w:val="single" w:color="auto" w:sz="4" w:space="0"/>
        </w:tcBorders>
      </w:tcPr>
    </w:tblStylePr>
    <w:tblStylePr w:type="firstRow">
      <w:rPr>
        <w:rFonts w:hint="default" w:ascii="Arial" w:hAnsi="Arial" w:cs="Arial"/>
        <w:b/>
        <w:sz w:val="18"/>
        <w:szCs w:val="18"/>
      </w:rPr>
      <w:pPr>
        <w:jc w:val="right"/>
      </w:pPr>
      <w:tcPr>
        <w:shd w:val="clear" w:color="auto" w:fill="bfbfbf"/>
        <w:tcBorders>
          <w:bottom w:val="single" w:color="auto" w:sz="4" w:space="0"/>
        </w:tcBorders>
      </w:tcPr>
    </w:tblStylePr>
  </w:style>
  <w:style w:type="table" w:styleId="1626" w:customStyle="1">
    <w:name w:val="Светлая заливка31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27" w:customStyle="1">
    <w:name w:val="Сетка таблицы5"/>
    <w:basedOn w:val="1083"/>
    <w:uiPriority w:val="59"/>
    <w:pPr>
      <w:ind w:left="1080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28" w:customStyle="1">
    <w:name w:val="Сетка таблицы 51"/>
    <w:basedOn w:val="1083"/>
    <w:pPr>
      <w:ind w:left="1080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629" w:customStyle="1">
    <w:name w:val="Table Grid11"/>
    <w:basedOn w:val="1083"/>
    <w:rPr>
      <w:rFonts w:eastAsia="Times New Roman"/>
      <w:lang w:eastAsia="ru-RU"/>
    </w:rPr>
    <w:tblPr>
      <w:tblStyleRow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blStylePr w:type="band2Horz">
      <w:tcPr>
        <w:shd w:val="clear" w:color="auto" w:fill="d9d9d9"/>
      </w:tcPr>
    </w:tblStylePr>
    <w:tblStylePr w:type="firstRow">
      <w:tcPr>
        <w:shd w:val="clear" w:color="auto" w:fill="d9d9d9"/>
      </w:tcPr>
    </w:tblStylePr>
  </w:style>
  <w:style w:type="table" w:styleId="1630" w:customStyle="1">
    <w:name w:val="Папушкин1"/>
    <w:basedOn w:val="1248"/>
    <w:pPr>
      <w:jc w:val="center"/>
      <w:spacing w:after="200" w:line="276" w:lineRule="auto"/>
    </w:pPr>
    <w:rPr>
      <w:rFonts w:ascii="Arial" w:hAnsi="Arial" w:eastAsia="Times New Roman"/>
      <w:sz w:val="18"/>
      <w:szCs w:val="18"/>
      <w:lang w:eastAsia="ru-RU"/>
    </w:rPr>
    <w:tblPr>
      <w:tblStyleRowBandSize w:val="1"/>
    </w:tblPr>
    <w:tcPr>
      <w:vAlign w:val="center"/>
    </w:tcPr>
    <w:tblStylePr w:type="band1Horz">
      <w:tcPr>
        <w:shd w:val="clear" w:color="auto" w:fill="d9d9d9"/>
        <w:tcBorders>
          <w:top w:val="single" w:color="auto" w:sz="6" w:space="0"/>
          <w:bottom w:val="single" w:color="auto" w:sz="6" w:space="0"/>
        </w:tcBorders>
      </w:tcPr>
    </w:tblStylePr>
    <w:tblStylePr w:type="band2Horz">
      <w:tcPr>
        <w:shd w:val="clear" w:color="auto" w:fill="ffffff"/>
      </w:tcPr>
    </w:tblStylePr>
    <w:tblStylePr w:type="firstRow">
      <w:rPr>
        <w:b/>
      </w:rPr>
      <w:tcPr>
        <w:shd w:val="clear" w:color="auto" w:fill="d9d9d9"/>
        <w:tcBorders>
          <w:top w:val="single" w:color="auto" w:sz="24" w:space="0"/>
          <w:bottom w:val="single" w:color="auto" w:sz="24" w:space="0"/>
          <w:insideV w:val="single" w:color="auto" w:sz="6" w:space="0"/>
        </w:tcBorders>
      </w:tcPr>
    </w:tblStylePr>
    <w:tblStylePr w:type="lastRow">
      <w:tcPr>
        <w:shd w:val="clear" w:color="auto" w:fill="d9d9d9"/>
        <w:tcBorders>
          <w:bottom w:val="single" w:color="auto" w:sz="24" w:space="0"/>
          <w:insideV w:val="none" w:color="000000" w:sz="4" w:space="0"/>
        </w:tcBorders>
      </w:tcPr>
    </w:tblStylePr>
  </w:style>
  <w:style w:type="table" w:styleId="1631" w:customStyle="1">
    <w:name w:val="Сетка таблицы 521"/>
    <w:basedOn w:val="1083"/>
    <w:pPr>
      <w:ind w:left="1080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632" w:customStyle="1">
    <w:name w:val="Столбцы таблицы 31"/>
    <w:basedOn w:val="1083"/>
    <w:pPr>
      <w:ind w:firstLine="567"/>
      <w:jc w:val="both"/>
      <w:spacing w:line="360" w:lineRule="atLeast"/>
      <w:widowControl w:val="off"/>
    </w:pPr>
    <w:rPr>
      <w:rFonts w:eastAsia="Times New Roman"/>
      <w:b/>
      <w:bCs/>
      <w:lang w:eastAsia="ru-RU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80" w:fill="ffffff"/>
      </w:tcPr>
    </w:tblStylePr>
    <w:tblStylePr w:type="lastRow"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633" w:customStyle="1">
    <w:name w:val="Столбцы таблицы 4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ColBandSize w:val="1"/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634" w:customStyle="1">
    <w:name w:val="Столбцы таблицы 5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635" w:customStyle="1">
    <w:name w:val="Таблица-список 1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636" w:customStyle="1">
    <w:name w:val="Столбцы таблицы 21"/>
    <w:basedOn w:val="1083"/>
    <w:pPr>
      <w:ind w:firstLine="567"/>
      <w:jc w:val="both"/>
      <w:spacing w:line="360" w:lineRule="atLeast"/>
      <w:widowControl w:val="off"/>
    </w:pPr>
    <w:rPr>
      <w:rFonts w:eastAsia="Times New Roman"/>
      <w:b/>
      <w:bCs/>
      <w:lang w:eastAsia="ru-RU"/>
    </w:rPr>
    <w:tblPr>
      <w:tblStyleColBandSize w:val="1"/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37" w:customStyle="1">
    <w:name w:val="Таблица-список 2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638" w:customStyle="1">
    <w:name w:val="Современная таблица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639" w:customStyle="1">
    <w:name w:val="Средний список 111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40" w:customStyle="1">
    <w:name w:val="Средний список 1 - Акцент 111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</w:tblPr>
    <w:tblStylePr w:type="band1Horz">
      <w:tcPr>
        <w:shd w:val="clear" w:color="auto" w:fill="d3dfee"/>
      </w:tcPr>
    </w:tblStylePr>
    <w:tblStylePr w:type="band1Vert">
      <w:tcPr>
        <w:shd w:val="clear" w:color="auto" w:fill="d3dfee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4F81BD" w:sz="8" w:space="0"/>
        </w:tcBorders>
      </w:tcPr>
    </w:tblStylePr>
    <w:tblStylePr w:type="lastCol">
      <w:rPr>
        <w:b/>
        <w:bCs/>
      </w:rPr>
      <w:tcPr>
        <w:tcBorders>
          <w:top w:val="single" w:color="4F81BD" w:sz="8" w:space="0"/>
          <w:bottom w:val="single" w:color="4F81BD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4F81BD" w:sz="8" w:space="0"/>
          <w:bottom w:val="single" w:color="4F81BD" w:sz="8" w:space="0"/>
        </w:tcBorders>
      </w:tcPr>
    </w:tblStylePr>
  </w:style>
  <w:style w:type="table" w:styleId="1641" w:customStyle="1">
    <w:name w:val="Простая таблица 21"/>
    <w:basedOn w:val="1083"/>
    <w:pPr>
      <w:ind w:firstLine="567"/>
      <w:jc w:val="both"/>
      <w:spacing w:line="360" w:lineRule="atLeast"/>
      <w:widowControl w:val="off"/>
    </w:pPr>
    <w:rPr>
      <w:rFonts w:eastAsia="Times New Roman"/>
      <w:lang w:eastAsia="ru-RU"/>
    </w:rPr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auto" w:sz="0" w:space="0"/>
        </w:tcBorders>
      </w:tcPr>
    </w:tblStylePr>
    <w:tblStylePr w:type="swCell">
      <w:rPr>
        <w:b/>
        <w:bCs/>
      </w:rPr>
      <w:tcPr>
        <w:tcBorders>
          <w:top w:val="none" w:color="auto" w:sz="0" w:space="0"/>
        </w:tcBorders>
      </w:tcPr>
    </w:tblStylePr>
  </w:style>
  <w:style w:type="table" w:styleId="1642" w:customStyle="1">
    <w:name w:val="Стандартная таблица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table" w:styleId="1643" w:customStyle="1">
    <w:name w:val="Классическая таблица 1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bottom w:val="single" w:color="000000" w:sz="12" w:space="0"/>
      </w:tblBorders>
    </w:tbl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44" w:customStyle="1">
    <w:name w:val="Простая таблица 1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8000" w:sz="12" w:space="0"/>
        <w:bottom w:val="single" w:color="008000" w:sz="12" w:space="0"/>
      </w:tblBorders>
    </w:tbl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645" w:customStyle="1">
    <w:name w:val="Изящная таблица 2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46" w:customStyle="1">
    <w:name w:val="Веб-таблица 1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47" w:customStyle="1">
    <w:name w:val="Веб-таблица 2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48" w:customStyle="1">
    <w:name w:val="Веб-таблица 3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CellSpacing w:w="2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blStylePr w:type="firstRow">
      <w:rPr>
        <w:color w:val="auto"/>
      </w:rPr>
    </w:tblStylePr>
  </w:style>
  <w:style w:type="table" w:styleId="1649" w:customStyle="1">
    <w:name w:val="Изысканная таблица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caps/>
        <w:color w:val="auto"/>
      </w:rPr>
    </w:tblStylePr>
  </w:style>
  <w:style w:type="table" w:styleId="1650" w:customStyle="1">
    <w:name w:val="Изящная таблица 1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StyleRowBandSize w:val="1"/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51" w:customStyle="1">
    <w:name w:val="Классическая таблица 2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bottom w:val="single" w:color="000000" w:sz="12" w:space="0"/>
      </w:tblBorders>
    </w:tbl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652" w:customStyle="1">
    <w:name w:val="Сетка таблицы11"/>
    <w:basedOn w:val="1083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53" w:customStyle="1">
    <w:name w:val="Сетка таблицы21"/>
    <w:basedOn w:val="1083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54" w:customStyle="1">
    <w:name w:val="Сетка таблицы 8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655" w:customStyle="1">
    <w:name w:val="Сетка таблицы 2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insideH w:val="single" w:color="000000" w:sz="6" w:space="0"/>
        <w:insideV w:val="single" w:color="000000" w:sz="6" w:space="0"/>
      </w:tblBorders>
    </w:tbl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656" w:customStyle="1">
    <w:name w:val="Сетка таблицы 1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657" w:customStyle="1">
    <w:name w:val="Простая таблица 31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658" w:customStyle="1">
    <w:name w:val="Средняя заливка 2 - Акцент 41"/>
    <w:basedOn w:val="1083"/>
    <w:uiPriority w:val="64"/>
    <w:rPr>
      <w:rFonts w:eastAsia="Times New Roman"/>
      <w:lang w:eastAsia="ru-RU"/>
    </w:r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/>
      </w:tcPr>
    </w:tblStylePr>
    <w:tblStylePr w:type="band1Vert">
      <w:tcPr>
        <w:shd w:val="clear" w:color="auto" w:fill="d8d8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/>
      </w:rPr>
      <w:tcPr>
        <w:shd w:val="clear" w:color="auto" w:fill="8064a2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/>
      </w:rPr>
      <w:pPr>
        <w:spacing w:before="0" w:beforeAutospacing="0" w:after="0" w:afterAutospacing="0" w:line="240" w:lineRule="auto"/>
      </w:pPr>
      <w:tcPr>
        <w:shd w:val="clear" w:color="auto" w:fill="8064a2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/>
      </w:rPr>
      <w:tcPr>
        <w:shd w:val="clear" w:color="auto" w:fill="8064a2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beforeAutospacing="0" w:after="0" w:afterAutospacing="0" w:line="240" w:lineRule="auto"/>
      </w:pPr>
      <w:tcPr>
        <w:shd w:val="clear" w:color="auto" w:fill="ffffff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59" w:customStyle="1">
    <w:name w:val="Средний список 13"/>
    <w:basedOn w:val="1083"/>
    <w:uiPriority w:val="65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0" w:customStyle="1">
    <w:name w:val="Средний список 1111"/>
    <w:basedOn w:val="1083"/>
    <w:uiPriority w:val="65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1" w:customStyle="1">
    <w:name w:val="Светлая заливка4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62" w:customStyle="1">
    <w:name w:val="Средний список 12"/>
    <w:basedOn w:val="1083"/>
    <w:uiPriority w:val="65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3" w:customStyle="1">
    <w:name w:val="Средний список 112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4" w:customStyle="1">
    <w:name w:val="Средний список 113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5" w:customStyle="1">
    <w:name w:val="Светлая заливка12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66" w:customStyle="1">
    <w:name w:val="Средний список 114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7" w:customStyle="1">
    <w:name w:val="Средний список 115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8" w:customStyle="1">
    <w:name w:val="Средний список 116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69" w:customStyle="1">
    <w:name w:val="Светлая заливка21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70" w:customStyle="1">
    <w:name w:val="Средний список 117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1" w:customStyle="1">
    <w:name w:val="Средний список 118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2" w:customStyle="1">
    <w:name w:val="Средний список 119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3" w:customStyle="1">
    <w:name w:val="Средний список 1110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4" w:customStyle="1">
    <w:name w:val="Средний список 11111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5" w:customStyle="1">
    <w:name w:val="Светлая заливка32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76" w:customStyle="1">
    <w:name w:val="Средний список 1112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7" w:customStyle="1">
    <w:name w:val="Средний список 1113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8" w:customStyle="1">
    <w:name w:val="Средний список 1114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79" w:customStyle="1">
    <w:name w:val="Средний список 1115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80" w:customStyle="1">
    <w:name w:val="Средний список 1116"/>
    <w:basedOn w:val="1083"/>
    <w:uiPriority w:val="65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</w:tcPr>
    </w:tblStylePr>
    <w:tblStylePr w:type="band1Vert">
      <w:tcPr>
        <w:shd w:val="clear" w:color="auto" w:fill="c0c0c0"/>
      </w:tcPr>
    </w:tblStylePr>
    <w:tblStylePr w:type="firstCol">
      <w:rPr>
        <w:b/>
        <w:bCs/>
      </w:rPr>
    </w:tblStylePr>
    <w:tblStylePr w:type="firstRow">
      <w:rPr>
        <w:rFonts w:hint="default" w:ascii="Story" w:hAnsi="Story" w:eastAsia="Times New Roman" w:cs="Times New Roman"/>
      </w:rPr>
      <w:tcPr>
        <w:tcBorders>
          <w:top w:val="none" w:color="000000" w:sz="4" w:space="0"/>
          <w:bottom w:val="single" w:color="000000" w:sz="8" w:space="0"/>
        </w:tcBorders>
      </w:tcPr>
    </w:tblStylePr>
    <w:tblStylePr w:type="lastCol">
      <w:rPr>
        <w:b/>
        <w:bCs/>
      </w:rPr>
      <w:tcPr>
        <w:tcBorders>
          <w:top w:val="single" w:color="000000" w:sz="8" w:space="0"/>
          <w:bottom w:val="single" w:color="000000" w:sz="8" w:space="0"/>
        </w:tcBorders>
      </w:tcPr>
    </w:tblStylePr>
    <w:tblStylePr w:type="lastRow">
      <w:rPr>
        <w:b/>
        <w:bCs/>
        <w:color w:val="1f497d"/>
      </w:rPr>
      <w:tcPr>
        <w:tcBorders>
          <w:top w:val="single" w:color="000000" w:sz="8" w:space="0"/>
          <w:bottom w:val="single" w:color="000000" w:sz="8" w:space="0"/>
        </w:tcBorders>
      </w:tcPr>
    </w:tblStylePr>
  </w:style>
  <w:style w:type="table" w:styleId="1681" w:customStyle="1">
    <w:name w:val="Светлая заливка116"/>
    <w:basedOn w:val="1083"/>
    <w:uiPriority w:val="60"/>
    <w:rPr>
      <w:rFonts w:eastAsia="Times New Roman"/>
      <w:color w:val="000000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82" w:customStyle="1">
    <w:name w:val="Светлая заливка33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83" w:customStyle="1">
    <w:name w:val="Светлая заливка13"/>
    <w:basedOn w:val="1083"/>
    <w:uiPriority w:val="60"/>
    <w:rPr>
      <w:rFonts w:ascii="Calibri" w:hAnsi="Calibri"/>
      <w:color w:val="000000"/>
      <w:sz w:val="22"/>
      <w:szCs w:val="22"/>
      <w:lang w:eastAsia="ru-RU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band1Horz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beforeAutospacing="0" w:after="0" w:afterAutospacing="0" w:line="240" w:lineRule="auto"/>
      </w:pPr>
      <w:tcPr>
        <w:tcBorders>
          <w:top w:val="single" w:color="000000" w:sz="8" w:space="0"/>
          <w:left w:val="none" w:color="000000" w:sz="4" w:space="0"/>
          <w:bottom w:val="single" w:color="000000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684" w:customStyle="1">
    <w:name w:val="Сетка таблицы 511"/>
    <w:basedOn w:val="1083"/>
    <w:rPr>
      <w:rFonts w:eastAsia="Times New Roman"/>
      <w:lang w:eastAsia="ru-RU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685" w:customStyle="1">
    <w:name w:val="Классическая таблица 12"/>
    <w:basedOn w:val="1083"/>
    <w:pPr>
      <w:ind w:firstLine="567"/>
      <w:jc w:val="both"/>
      <w:spacing w:before="120" w:after="120"/>
      <w:widowControl w:val="off"/>
    </w:pPr>
    <w:rPr>
      <w:rFonts w:eastAsia="Times New Roman"/>
      <w:lang w:eastAsia="ru-RU"/>
    </w:rPr>
    <w:tblPr>
      <w:tblBorders>
        <w:top w:val="single" w:color="000000" w:sz="12" w:space="0"/>
        <w:bottom w:val="single" w:color="000000" w:sz="12" w:space="0"/>
      </w:tblBorders>
    </w:tbl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686" w:customStyle="1">
    <w:name w:val="Сетка таблицы6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87" w:customStyle="1">
    <w:name w:val="Сетка таблицы7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88" w:customStyle="1">
    <w:name w:val="Сетка таблицы31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89" w:customStyle="1">
    <w:name w:val="Сетка таблицы8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0" w:customStyle="1">
    <w:name w:val="Сетка таблицы32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1" w:customStyle="1">
    <w:name w:val="Сетка таблицы9"/>
    <w:basedOn w:val="1083"/>
    <w:uiPriority w:val="59"/>
    <w:rPr>
      <w:rFonts w:ascii="Calibri" w:hAnsi="Calibr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2" w:customStyle="1">
    <w:name w:val="Сетка таблицы10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3" w:customStyle="1">
    <w:name w:val="Сетка таблицы12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4" w:customStyle="1">
    <w:name w:val="Сетка таблицы111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5" w:customStyle="1">
    <w:name w:val="Сетка таблицы121"/>
    <w:basedOn w:val="1083"/>
    <w:uiPriority w:val="59"/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6" w:customStyle="1">
    <w:name w:val="Сетка таблицы22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7" w:customStyle="1">
    <w:name w:val="Сетка таблицы13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8" w:customStyle="1">
    <w:name w:val="Сетка таблицы14"/>
    <w:basedOn w:val="1083"/>
    <w:pPr>
      <w:widowControl w:val="off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99" w:customStyle="1">
    <w:name w:val="Сетка таблицы15"/>
    <w:basedOn w:val="1083"/>
    <w:uiPriority w:val="59"/>
    <w:rPr>
      <w:rFonts w:ascii="Calibri" w:hAnsi="Calibri" w:eastAsia="Times New Roman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00" w:customStyle="1">
    <w:name w:val="Сетка таблицы16"/>
    <w:basedOn w:val="1083"/>
    <w:pPr>
      <w:widowControl w:val="off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01" w:customStyle="1">
    <w:name w:val="Сетка таблицы17"/>
    <w:basedOn w:val="1083"/>
    <w:pPr>
      <w:widowControl w:val="off"/>
    </w:pPr>
    <w:rPr>
      <w:rFonts w:ascii="Calibri" w:hAnsi="Calibri"/>
      <w:sz w:val="22"/>
      <w:szCs w:val="22"/>
      <w:lang w:val="en-US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1702" w:customStyle="1">
    <w:name w:val="1 / 1.1 / 1.1.4"/>
    <w:pPr>
      <w:numPr>
        <w:numId w:val="2"/>
      </w:numPr>
    </w:pPr>
  </w:style>
  <w:style w:type="numbering" w:styleId="1703">
    <w:name w:val="Outline List 3"/>
    <w:basedOn w:val="1084"/>
    <w:uiPriority w:val="99"/>
    <w:semiHidden/>
    <w:unhideWhenUsed/>
    <w:pPr>
      <w:numPr>
        <w:numId w:val="4"/>
      </w:numPr>
    </w:pPr>
  </w:style>
  <w:style w:type="numbering" w:styleId="1704">
    <w:name w:val="Outline List 1"/>
    <w:basedOn w:val="1084"/>
    <w:uiPriority w:val="99"/>
    <w:semiHidden/>
    <w:unhideWhenUsed/>
    <w:pPr>
      <w:numPr>
        <w:numId w:val="5"/>
      </w:numPr>
    </w:pPr>
  </w:style>
  <w:style w:type="numbering" w:styleId="1705" w:customStyle="1">
    <w:name w:val="1 / 1.1 / 1.1.2"/>
    <w:pPr>
      <w:numPr>
        <w:numId w:val="6"/>
      </w:numPr>
    </w:pPr>
  </w:style>
  <w:style w:type="numbering" w:styleId="1706" w:customStyle="1">
    <w:name w:val="1 / a / i11"/>
    <w:pPr>
      <w:numPr>
        <w:numId w:val="7"/>
      </w:numPr>
    </w:pPr>
  </w:style>
  <w:style w:type="numbering" w:styleId="1707" w:customStyle="1">
    <w:name w:val="Статья / Раздел11"/>
    <w:pPr>
      <w:numPr>
        <w:numId w:val="8"/>
      </w:numPr>
    </w:pPr>
  </w:style>
  <w:style w:type="character" w:styleId="1708" w:customStyle="1">
    <w:name w:val="S_Маркированный Знак1"/>
    <w:basedOn w:val="1082"/>
  </w:style>
  <w:style w:type="character" w:styleId="1709" w:customStyle="1">
    <w:name w:val="S_Обычный Знак Знак"/>
    <w:rPr>
      <w:rFonts w:eastAsia="Times New Roman"/>
    </w:rPr>
  </w:style>
  <w:style w:type="paragraph" w:styleId="1710" w:customStyle="1">
    <w:name w:val="Абзац"/>
    <w:basedOn w:val="1072"/>
    <w:link w:val="1711"/>
    <w:pPr>
      <w:ind w:firstLine="567"/>
      <w:jc w:val="both"/>
      <w:spacing w:before="120" w:after="60"/>
    </w:pPr>
    <w:rPr>
      <w:rFonts w:ascii="Calibri" w:hAnsi="Calibri"/>
    </w:rPr>
  </w:style>
  <w:style w:type="character" w:styleId="1711" w:customStyle="1">
    <w:name w:val="Абзац Знак"/>
    <w:link w:val="1710"/>
    <w:rPr>
      <w:rFonts w:ascii="Calibri" w:hAnsi="Calibri" w:eastAsiaTheme="minorEastAsia" w:cstheme="minorBidi"/>
      <w:lang w:eastAsia="ru-RU"/>
    </w:rPr>
  </w:style>
  <w:style w:type="character" w:styleId="1712" w:customStyle="1">
    <w:name w:val="S_Маркированный Знак Знак"/>
    <w:basedOn w:val="1082"/>
  </w:style>
  <w:style w:type="paragraph" w:styleId="1713" w:customStyle="1">
    <w:name w:val="font0"/>
    <w:basedOn w:val="1072"/>
    <w:pPr>
      <w:spacing w:before="100" w:beforeAutospacing="1" w:after="100" w:afterAutospacing="1"/>
    </w:pPr>
    <w:rPr>
      <w:color w:val="000000"/>
      <w:sz w:val="20"/>
      <w:szCs w:val="20"/>
    </w:rPr>
  </w:style>
  <w:style w:type="paragraph" w:styleId="1714" w:customStyle="1">
    <w:name w:val="xl95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</w:style>
  <w:style w:type="paragraph" w:styleId="1715" w:customStyle="1">
    <w:name w:val="xl9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716" w:customStyle="1">
    <w:name w:val="xl97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</w:pPr>
    <w:rPr>
      <w:b/>
      <w:bCs/>
    </w:rPr>
  </w:style>
  <w:style w:type="paragraph" w:styleId="1717" w:customStyle="1">
    <w:name w:val="xl98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left w:val="single" w:color="auto" w:sz="4" w:space="0"/>
        <w:bottom w:val="single" w:color="auto" w:sz="4" w:space="0"/>
      </w:pBdr>
    </w:pPr>
  </w:style>
  <w:style w:type="paragraph" w:styleId="1718" w:customStyle="1">
    <w:name w:val="xl99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bottom w:val="single" w:color="auto" w:sz="4" w:space="0"/>
      </w:pBdr>
    </w:pPr>
  </w:style>
  <w:style w:type="paragraph" w:styleId="1719" w:customStyle="1">
    <w:name w:val="xl10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bottom w:val="single" w:color="auto" w:sz="4" w:space="0"/>
        <w:right w:val="single" w:color="auto" w:sz="4" w:space="0"/>
      </w:pBdr>
    </w:pPr>
  </w:style>
  <w:style w:type="paragraph" w:styleId="1720" w:customStyle="1">
    <w:name w:val="xl101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left w:val="single" w:color="auto" w:sz="8" w:space="0"/>
        <w:right w:val="single" w:color="auto" w:sz="4" w:space="0"/>
      </w:pBdr>
    </w:pPr>
  </w:style>
  <w:style w:type="paragraph" w:styleId="1721" w:customStyle="1">
    <w:name w:val="xl102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8" w:space="0"/>
        <w:bottom w:val="single" w:color="auto" w:sz="4" w:space="0"/>
        <w:right w:val="single" w:color="auto" w:sz="4" w:space="0"/>
      </w:pBdr>
    </w:pPr>
  </w:style>
  <w:style w:type="paragraph" w:styleId="1722" w:customStyle="1">
    <w:name w:val="xl103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left w:val="single" w:color="auto" w:sz="8" w:space="0"/>
        <w:right w:val="single" w:color="auto" w:sz="8" w:space="0"/>
      </w:pBdr>
    </w:pPr>
  </w:style>
  <w:style w:type="paragraph" w:styleId="1723" w:customStyle="1">
    <w:name w:val="xl104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8" w:space="0"/>
        <w:right w:val="single" w:color="auto" w:sz="8" w:space="0"/>
      </w:pBdr>
    </w:pPr>
  </w:style>
  <w:style w:type="numbering" w:styleId="1724">
    <w:name w:val="Outline List 2"/>
    <w:basedOn w:val="1084"/>
  </w:style>
  <w:style w:type="numbering" w:styleId="1725" w:customStyle="1">
    <w:name w:val="Нет списка1"/>
    <w:next w:val="1084"/>
    <w:uiPriority w:val="99"/>
    <w:semiHidden/>
    <w:unhideWhenUsed/>
  </w:style>
  <w:style w:type="numbering" w:styleId="1726" w:customStyle="1">
    <w:name w:val="1 / 1.1 / 1.1.3"/>
    <w:basedOn w:val="1084"/>
    <w:next w:val="1724"/>
  </w:style>
  <w:style w:type="numbering" w:styleId="1727" w:customStyle="1">
    <w:name w:val="Нет списка2"/>
    <w:next w:val="1084"/>
    <w:semiHidden/>
    <w:unhideWhenUsed/>
  </w:style>
  <w:style w:type="numbering" w:styleId="1728" w:customStyle="1">
    <w:name w:val="Нет списка11"/>
    <w:next w:val="1084"/>
    <w:uiPriority w:val="99"/>
    <w:semiHidden/>
    <w:unhideWhenUsed/>
  </w:style>
  <w:style w:type="numbering" w:styleId="1729" w:customStyle="1">
    <w:name w:val="Нет списка21"/>
    <w:next w:val="1084"/>
    <w:uiPriority w:val="99"/>
    <w:semiHidden/>
    <w:unhideWhenUsed/>
  </w:style>
  <w:style w:type="numbering" w:styleId="1730" w:customStyle="1">
    <w:name w:val="Нет списка111"/>
    <w:next w:val="1084"/>
    <w:uiPriority w:val="99"/>
    <w:semiHidden/>
    <w:unhideWhenUsed/>
  </w:style>
  <w:style w:type="numbering" w:styleId="1731" w:customStyle="1">
    <w:name w:val="Нет списка3"/>
    <w:next w:val="1084"/>
    <w:uiPriority w:val="99"/>
    <w:semiHidden/>
    <w:unhideWhenUsed/>
  </w:style>
  <w:style w:type="numbering" w:styleId="1732" w:customStyle="1">
    <w:name w:val="Нет списка4"/>
    <w:next w:val="1084"/>
    <w:uiPriority w:val="99"/>
    <w:semiHidden/>
    <w:unhideWhenUsed/>
  </w:style>
  <w:style w:type="numbering" w:styleId="1733" w:customStyle="1">
    <w:name w:val="Нет списка5"/>
    <w:next w:val="1084"/>
    <w:uiPriority w:val="99"/>
    <w:semiHidden/>
    <w:unhideWhenUsed/>
  </w:style>
  <w:style w:type="numbering" w:styleId="1734" w:customStyle="1">
    <w:name w:val="Нет списка6"/>
    <w:next w:val="1084"/>
    <w:uiPriority w:val="99"/>
    <w:semiHidden/>
    <w:unhideWhenUsed/>
  </w:style>
  <w:style w:type="numbering" w:styleId="1735" w:customStyle="1">
    <w:name w:val="Нет списка7"/>
    <w:next w:val="1084"/>
    <w:uiPriority w:val="99"/>
    <w:semiHidden/>
    <w:unhideWhenUsed/>
  </w:style>
  <w:style w:type="numbering" w:styleId="1736" w:customStyle="1">
    <w:name w:val="Нет списка8"/>
    <w:next w:val="1084"/>
    <w:uiPriority w:val="99"/>
    <w:semiHidden/>
    <w:unhideWhenUsed/>
  </w:style>
  <w:style w:type="numbering" w:styleId="1737" w:customStyle="1">
    <w:name w:val="Нет списка9"/>
    <w:next w:val="1084"/>
    <w:uiPriority w:val="99"/>
    <w:semiHidden/>
    <w:unhideWhenUsed/>
  </w:style>
  <w:style w:type="numbering" w:styleId="1738" w:customStyle="1">
    <w:name w:val="Нет списка10"/>
    <w:next w:val="1084"/>
    <w:uiPriority w:val="99"/>
    <w:semiHidden/>
    <w:unhideWhenUsed/>
  </w:style>
  <w:style w:type="numbering" w:styleId="1739" w:customStyle="1">
    <w:name w:val="Нет списка12"/>
    <w:next w:val="1084"/>
    <w:uiPriority w:val="99"/>
    <w:semiHidden/>
    <w:unhideWhenUsed/>
  </w:style>
  <w:style w:type="numbering" w:styleId="1740" w:customStyle="1">
    <w:name w:val="Нет списка13"/>
    <w:next w:val="1084"/>
    <w:uiPriority w:val="99"/>
    <w:semiHidden/>
    <w:unhideWhenUsed/>
  </w:style>
  <w:style w:type="numbering" w:styleId="1741" w:customStyle="1">
    <w:name w:val="Нет списка14"/>
    <w:next w:val="1084"/>
    <w:uiPriority w:val="99"/>
    <w:semiHidden/>
    <w:unhideWhenUsed/>
  </w:style>
  <w:style w:type="numbering" w:styleId="1742" w:customStyle="1">
    <w:name w:val="Нет списка15"/>
    <w:next w:val="1084"/>
    <w:uiPriority w:val="99"/>
    <w:semiHidden/>
    <w:unhideWhenUsed/>
  </w:style>
  <w:style w:type="numbering" w:styleId="1743" w:customStyle="1">
    <w:name w:val="Нет списка16"/>
    <w:next w:val="1084"/>
    <w:uiPriority w:val="99"/>
    <w:semiHidden/>
    <w:unhideWhenUsed/>
  </w:style>
  <w:style w:type="numbering" w:styleId="1744" w:customStyle="1">
    <w:name w:val="Нет списка22"/>
    <w:next w:val="1084"/>
    <w:semiHidden/>
  </w:style>
  <w:style w:type="numbering" w:styleId="1745" w:customStyle="1">
    <w:name w:val="Нет списка17"/>
    <w:next w:val="1084"/>
    <w:uiPriority w:val="99"/>
    <w:semiHidden/>
    <w:unhideWhenUsed/>
  </w:style>
  <w:style w:type="numbering" w:styleId="1746" w:customStyle="1">
    <w:name w:val="Нет списка18"/>
    <w:next w:val="1084"/>
    <w:uiPriority w:val="99"/>
    <w:semiHidden/>
    <w:unhideWhenUsed/>
  </w:style>
  <w:style w:type="numbering" w:styleId="1747" w:customStyle="1">
    <w:name w:val="Нет списка23"/>
    <w:next w:val="1084"/>
    <w:semiHidden/>
  </w:style>
  <w:style w:type="numbering" w:styleId="1748" w:customStyle="1">
    <w:name w:val="Статья / Раздел21"/>
    <w:basedOn w:val="1084"/>
    <w:next w:val="1703"/>
  </w:style>
  <w:style w:type="numbering" w:styleId="1749" w:customStyle="1">
    <w:name w:val="1 / a / i31"/>
    <w:basedOn w:val="1084"/>
    <w:next w:val="1704"/>
  </w:style>
  <w:style w:type="numbering" w:styleId="1750" w:customStyle="1">
    <w:name w:val="1 / a / i3"/>
    <w:pPr>
      <w:numPr>
        <w:numId w:val="9"/>
      </w:numPr>
    </w:pPr>
  </w:style>
  <w:style w:type="numbering" w:styleId="1751" w:customStyle="1">
    <w:name w:val="1 / a / i316"/>
    <w:basedOn w:val="1084"/>
    <w:next w:val="1704"/>
  </w:style>
  <w:style w:type="paragraph" w:styleId="1752" w:customStyle="1">
    <w:name w:val="xl105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right w:val="single" w:color="auto" w:sz="4" w:space="0"/>
      </w:pBdr>
    </w:pPr>
    <w:rPr>
      <w:b/>
      <w:bCs/>
    </w:rPr>
  </w:style>
  <w:style w:type="paragraph" w:styleId="1753" w:customStyle="1">
    <w:name w:val="xl106"/>
    <w:basedOn w:val="1072"/>
    <w:pPr>
      <w:jc w:val="center"/>
      <w:spacing w:before="100" w:beforeAutospacing="1" w:after="100" w:afterAutospacing="1"/>
      <w:shd w:val="clear" w:color="000000" w:fill="c4bd97"/>
      <w:pBdr>
        <w:left w:val="single" w:color="auto" w:sz="4" w:space="0"/>
      </w:pBdr>
    </w:pPr>
    <w:rPr>
      <w:b/>
      <w:bCs/>
    </w:rPr>
  </w:style>
  <w:style w:type="paragraph" w:styleId="1754" w:customStyle="1">
    <w:name w:val="xl107"/>
    <w:basedOn w:val="1072"/>
    <w:pPr>
      <w:jc w:val="center"/>
      <w:spacing w:before="100" w:beforeAutospacing="1" w:after="100" w:afterAutospacing="1"/>
      <w:shd w:val="clear" w:color="000000" w:fill="c4bd97"/>
      <w:pBdr>
        <w:right w:val="single" w:color="auto" w:sz="4" w:space="0"/>
      </w:pBdr>
    </w:pPr>
    <w:rPr>
      <w:b/>
      <w:bCs/>
    </w:rPr>
  </w:style>
  <w:style w:type="paragraph" w:styleId="1755" w:customStyle="1">
    <w:name w:val="xl108"/>
    <w:basedOn w:val="1072"/>
    <w:pPr>
      <w:jc w:val="center"/>
      <w:spacing w:before="100" w:beforeAutospacing="1" w:after="100" w:afterAutospacing="1"/>
      <w:shd w:val="clear" w:color="000000" w:fill="c4bd97"/>
      <w:pBdr>
        <w:left w:val="single" w:color="auto" w:sz="4" w:space="0"/>
        <w:bottom w:val="single" w:color="auto" w:sz="4" w:space="0"/>
      </w:pBdr>
    </w:pPr>
    <w:rPr>
      <w:b/>
      <w:bCs/>
    </w:rPr>
  </w:style>
  <w:style w:type="paragraph" w:styleId="1756" w:customStyle="1">
    <w:name w:val="xl109"/>
    <w:basedOn w:val="1072"/>
    <w:pPr>
      <w:jc w:val="center"/>
      <w:spacing w:before="100" w:beforeAutospacing="1" w:after="100" w:afterAutospacing="1"/>
      <w:shd w:val="clear" w:color="000000" w:fill="c4bd97"/>
      <w:pBdr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757" w:customStyle="1">
    <w:name w:val="xl110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0000"/>
    </w:rPr>
  </w:style>
  <w:style w:type="paragraph" w:styleId="1758" w:customStyle="1">
    <w:name w:val="xl111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759" w:customStyle="1">
    <w:name w:val="xl112"/>
    <w:basedOn w:val="1072"/>
    <w:pPr>
      <w:jc w:val="center"/>
      <w:spacing w:before="100" w:beforeAutospacing="1" w:after="100" w:afterAutospacing="1"/>
      <w:shd w:val="clear" w:color="000000" w:fill="c4bd97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760" w:customStyle="1">
    <w:name w:val="xl113"/>
    <w:basedOn w:val="1072"/>
    <w:pPr>
      <w:jc w:val="center"/>
      <w:spacing w:before="100" w:beforeAutospacing="1" w:after="100" w:afterAutospacing="1"/>
      <w:shd w:val="clear" w:color="auto" w:fill="c4bd97"/>
      <w:pBdr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761" w:customStyle="1">
    <w:name w:val="xl114"/>
    <w:basedOn w:val="1072"/>
    <w:pPr>
      <w:jc w:val="center"/>
      <w:spacing w:before="100" w:beforeAutospacing="1" w:after="100" w:afterAutospacing="1"/>
      <w:shd w:val="clear" w:color="auto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numbering" w:styleId="1762" w:customStyle="1">
    <w:name w:val="Нет списка19"/>
    <w:next w:val="1084"/>
    <w:uiPriority w:val="99"/>
    <w:semiHidden/>
    <w:unhideWhenUsed/>
  </w:style>
  <w:style w:type="numbering" w:styleId="1763" w:customStyle="1">
    <w:name w:val="1 / 1.1 / 1.1.5"/>
    <w:basedOn w:val="1084"/>
    <w:next w:val="1724"/>
  </w:style>
  <w:style w:type="numbering" w:styleId="1764" w:customStyle="1">
    <w:name w:val="Нет списка110"/>
    <w:next w:val="1084"/>
    <w:uiPriority w:val="99"/>
    <w:semiHidden/>
    <w:unhideWhenUsed/>
  </w:style>
  <w:style w:type="table" w:styleId="1765" w:customStyle="1">
    <w:name w:val="Светлая заливка117"/>
    <w:basedOn w:val="1083"/>
    <w:uiPriority w:val="60"/>
    <w:pPr>
      <w:spacing w:after="0" w:line="240" w:lineRule="auto"/>
    </w:pPr>
    <w:rPr>
      <w:rFonts w:eastAsia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766" w:customStyle="1">
    <w:name w:val="Средняя заливка 2 - Акцент 42"/>
    <w:basedOn w:val="1083"/>
    <w:next w:val="1605"/>
    <w:uiPriority w:val="64"/>
    <w:pPr>
      <w:spacing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8064a2" w:themeFill="accent4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8064a2" w:themeFill="accent4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8064a2" w:themeFill="accent4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767" w:customStyle="1">
    <w:name w:val="Светлая заливка22"/>
    <w:basedOn w:val="1083"/>
    <w:uiPriority w:val="60"/>
    <w:pPr>
      <w:spacing w:after="0" w:line="240" w:lineRule="auto"/>
    </w:pPr>
    <w:rPr>
      <w:rFonts w:eastAsia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768" w:customStyle="1">
    <w:name w:val="Light Shading11"/>
    <w:basedOn w:val="1083"/>
    <w:uiPriority w:val="60"/>
    <w:pPr>
      <w:spacing w:after="0" w:line="240" w:lineRule="auto"/>
    </w:pPr>
    <w:rPr>
      <w:rFonts w:eastAsia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769" w:customStyle="1">
    <w:name w:val="рпдлпжлопж1"/>
    <w:basedOn w:val="1083"/>
    <w:uiPriority w:val="99"/>
    <w:pPr>
      <w:jc w:val="right"/>
      <w:spacing w:after="0" w:line="240" w:lineRule="auto"/>
    </w:pPr>
    <w:rPr>
      <w:rFonts w:ascii="Arial" w:hAnsi="Arial" w:cstheme="minorBidi"/>
      <w:sz w:val="18"/>
      <w:szCs w:val="22"/>
    </w:rPr>
    <w:tblPr>
      <w:tblStyleRowBandSize w:val="1"/>
      <w:tblStyleColBandSize w:val="1"/>
    </w:tblPr>
    <w:tcPr>
      <w:vAlign w:val="center"/>
    </w:tcPr>
    <w:tblStylePr w:type="band1Horz">
      <w:rPr>
        <w:rFonts w:ascii="Arial" w:hAnsi="Arial"/>
        <w:sz w:val="18"/>
      </w:rPr>
      <w:pPr>
        <w:jc w:val="right"/>
      </w:pPr>
    </w:tblStylePr>
    <w:tblStylePr w:type="band1Vert">
      <w:rPr>
        <w:rFonts w:ascii="Arial" w:hAnsi="Arial"/>
        <w:sz w:val="18"/>
      </w:rPr>
      <w:pPr>
        <w:jc w:val="right"/>
      </w:pPr>
    </w:tblStylePr>
    <w:tblStylePr w:type="band2Horz">
      <w:rPr>
        <w:rFonts w:ascii="Arial" w:hAnsi="Arial"/>
        <w:sz w:val="18"/>
      </w:rPr>
      <w:pPr>
        <w:jc w:val="right"/>
      </w:pPr>
      <w:tcPr>
        <w:shd w:val="clear" w:color="auto" w:fill="bfbfbf" w:themeFill="background1" w:themeFillShade="BF"/>
      </w:tcPr>
    </w:tblStylePr>
    <w:tblStylePr w:type="band2Vert">
      <w:rPr>
        <w:rFonts w:ascii="Arial" w:hAnsi="Arial"/>
        <w:sz w:val="18"/>
      </w:rPr>
      <w:pPr>
        <w:jc w:val="right"/>
      </w:pPr>
    </w:tblStylePr>
    <w:tblStylePr w:type="firstCol">
      <w:rPr>
        <w:rFonts w:ascii="Arial" w:hAnsi="Arial"/>
        <w:sz w:val="18"/>
      </w:rPr>
      <w:tcPr>
        <w:tcBorders>
          <w:right w:val="single" w:color="auto" w:sz="4" w:space="0"/>
        </w:tcBorders>
      </w:tcPr>
    </w:tblStylePr>
    <w:tblStylePr w:type="firstRow">
      <w:rPr>
        <w:rFonts w:ascii="Arial" w:hAnsi="Arial"/>
        <w:b/>
        <w:sz w:val="18"/>
      </w:rPr>
      <w:pPr>
        <w:jc w:val="right"/>
      </w:pPr>
      <w:tcPr>
        <w:shd w:val="clear" w:color="auto" w:fill="bfbfbf" w:themeFill="background1" w:themeFillShade="BF"/>
        <w:tcBorders>
          <w:bottom w:val="single" w:color="auto" w:sz="4" w:space="0"/>
        </w:tcBorders>
      </w:tcPr>
    </w:tblStylePr>
  </w:style>
  <w:style w:type="numbering" w:styleId="1770" w:customStyle="1">
    <w:name w:val="1 / 1.1 / 1.1.31"/>
    <w:basedOn w:val="1084"/>
    <w:next w:val="1724"/>
  </w:style>
  <w:style w:type="numbering" w:styleId="1771" w:customStyle="1">
    <w:name w:val="Нет списка24"/>
    <w:next w:val="1084"/>
    <w:semiHidden/>
    <w:unhideWhenUsed/>
  </w:style>
  <w:style w:type="numbering" w:styleId="1772" w:customStyle="1">
    <w:name w:val="Нет списка112"/>
    <w:next w:val="1084"/>
    <w:uiPriority w:val="99"/>
    <w:semiHidden/>
    <w:unhideWhenUsed/>
  </w:style>
  <w:style w:type="numbering" w:styleId="1773" w:customStyle="1">
    <w:name w:val="Нет списка211"/>
    <w:next w:val="1084"/>
    <w:uiPriority w:val="99"/>
    <w:semiHidden/>
    <w:unhideWhenUsed/>
  </w:style>
  <w:style w:type="numbering" w:styleId="1774" w:customStyle="1">
    <w:name w:val="Нет списка1111"/>
    <w:next w:val="1084"/>
    <w:uiPriority w:val="99"/>
    <w:semiHidden/>
    <w:unhideWhenUsed/>
  </w:style>
  <w:style w:type="numbering" w:styleId="1775" w:customStyle="1">
    <w:name w:val="Нет списка31"/>
    <w:next w:val="1084"/>
    <w:uiPriority w:val="99"/>
    <w:semiHidden/>
    <w:unhideWhenUsed/>
  </w:style>
  <w:style w:type="numbering" w:styleId="1776" w:customStyle="1">
    <w:name w:val="Нет списка41"/>
    <w:next w:val="1084"/>
    <w:uiPriority w:val="99"/>
    <w:semiHidden/>
    <w:unhideWhenUsed/>
  </w:style>
  <w:style w:type="numbering" w:styleId="1777" w:customStyle="1">
    <w:name w:val="Нет списка51"/>
    <w:next w:val="1084"/>
    <w:uiPriority w:val="99"/>
    <w:semiHidden/>
    <w:unhideWhenUsed/>
  </w:style>
  <w:style w:type="numbering" w:styleId="1778" w:customStyle="1">
    <w:name w:val="Нет списка61"/>
    <w:next w:val="1084"/>
    <w:uiPriority w:val="99"/>
    <w:semiHidden/>
    <w:unhideWhenUsed/>
  </w:style>
  <w:style w:type="numbering" w:styleId="1779" w:customStyle="1">
    <w:name w:val="Нет списка71"/>
    <w:next w:val="1084"/>
    <w:uiPriority w:val="99"/>
    <w:semiHidden/>
    <w:unhideWhenUsed/>
  </w:style>
  <w:style w:type="numbering" w:styleId="1780" w:customStyle="1">
    <w:name w:val="Нет списка81"/>
    <w:next w:val="1084"/>
    <w:uiPriority w:val="99"/>
    <w:semiHidden/>
    <w:unhideWhenUsed/>
  </w:style>
  <w:style w:type="numbering" w:styleId="1781" w:customStyle="1">
    <w:name w:val="Нет списка91"/>
    <w:next w:val="1084"/>
    <w:uiPriority w:val="99"/>
    <w:semiHidden/>
    <w:unhideWhenUsed/>
  </w:style>
  <w:style w:type="numbering" w:styleId="1782" w:customStyle="1">
    <w:name w:val="Нет списка101"/>
    <w:next w:val="1084"/>
    <w:uiPriority w:val="99"/>
    <w:semiHidden/>
    <w:unhideWhenUsed/>
  </w:style>
  <w:style w:type="numbering" w:styleId="1783" w:customStyle="1">
    <w:name w:val="Нет списка121"/>
    <w:next w:val="1084"/>
    <w:uiPriority w:val="99"/>
    <w:semiHidden/>
    <w:unhideWhenUsed/>
  </w:style>
  <w:style w:type="table" w:styleId="1784" w:customStyle="1">
    <w:name w:val="Сетка таблицы91"/>
    <w:basedOn w:val="1083"/>
    <w:next w:val="1248"/>
    <w:uiPriority w:val="5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1785" w:customStyle="1">
    <w:name w:val="Нет списка131"/>
    <w:next w:val="1084"/>
    <w:uiPriority w:val="99"/>
    <w:semiHidden/>
    <w:unhideWhenUsed/>
  </w:style>
  <w:style w:type="table" w:styleId="1786" w:customStyle="1">
    <w:name w:val="Сетка таблицы101"/>
    <w:basedOn w:val="1083"/>
    <w:next w:val="1248"/>
    <w:uiPriority w:val="5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87" w:customStyle="1">
    <w:name w:val="Сетка таблицы122"/>
    <w:basedOn w:val="1083"/>
    <w:next w:val="1248"/>
    <w:uiPriority w:val="59"/>
    <w:pPr>
      <w:spacing w:after="0" w:line="240" w:lineRule="auto"/>
    </w:pPr>
    <w:rPr>
      <w:rFonts w:eastAsia="Times New Roman" w:asciiTheme="minorHAnsi" w:hAnsiTheme="minorHAnsi" w:cstheme="minorBid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88" w:customStyle="1">
    <w:name w:val="Сетка таблицы1111"/>
    <w:basedOn w:val="1083"/>
    <w:next w:val="1248"/>
    <w:uiPriority w:val="59"/>
    <w:pPr>
      <w:spacing w:after="0" w:line="240" w:lineRule="auto"/>
    </w:pPr>
    <w:rPr>
      <w:rFonts w:ascii="Calibri" w:hAnsi="Calibri" w:eastAsia="Times New Roman" w:cstheme="minorBid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1789" w:customStyle="1">
    <w:name w:val="Нет списка141"/>
    <w:next w:val="1084"/>
    <w:uiPriority w:val="99"/>
    <w:semiHidden/>
    <w:unhideWhenUsed/>
  </w:style>
  <w:style w:type="numbering" w:styleId="1790" w:customStyle="1">
    <w:name w:val="Нет списка151"/>
    <w:next w:val="1084"/>
    <w:uiPriority w:val="99"/>
    <w:semiHidden/>
    <w:unhideWhenUsed/>
  </w:style>
  <w:style w:type="numbering" w:styleId="1791" w:customStyle="1">
    <w:name w:val="Нет списка161"/>
    <w:next w:val="1084"/>
    <w:uiPriority w:val="99"/>
    <w:semiHidden/>
    <w:unhideWhenUsed/>
  </w:style>
  <w:style w:type="numbering" w:styleId="1792" w:customStyle="1">
    <w:name w:val="Нет списка221"/>
    <w:next w:val="1084"/>
    <w:semiHidden/>
  </w:style>
  <w:style w:type="numbering" w:styleId="1793" w:customStyle="1">
    <w:name w:val="Нет списка171"/>
    <w:next w:val="1084"/>
    <w:uiPriority w:val="99"/>
    <w:semiHidden/>
    <w:unhideWhenUsed/>
  </w:style>
  <w:style w:type="numbering" w:styleId="1794" w:customStyle="1">
    <w:name w:val="Нет списка181"/>
    <w:next w:val="1084"/>
    <w:uiPriority w:val="99"/>
    <w:semiHidden/>
    <w:unhideWhenUsed/>
  </w:style>
  <w:style w:type="numbering" w:styleId="1795" w:customStyle="1">
    <w:name w:val="Нет списка231"/>
    <w:next w:val="1084"/>
    <w:semiHidden/>
  </w:style>
  <w:style w:type="numbering" w:styleId="1796" w:customStyle="1">
    <w:name w:val="Статья / Раздел211"/>
    <w:basedOn w:val="1084"/>
    <w:next w:val="1703"/>
  </w:style>
  <w:style w:type="numbering" w:styleId="1797" w:customStyle="1">
    <w:name w:val="1 / a / i311"/>
    <w:basedOn w:val="1084"/>
    <w:next w:val="1704"/>
  </w:style>
  <w:style w:type="numbering" w:styleId="1798" w:customStyle="1">
    <w:name w:val="1 / a / i3161"/>
    <w:basedOn w:val="1084"/>
    <w:next w:val="1704"/>
    <w:pPr>
      <w:numPr>
        <w:numId w:val="10"/>
      </w:numPr>
    </w:pPr>
  </w:style>
  <w:style w:type="paragraph" w:styleId="1799" w:customStyle="1">
    <w:name w:val="xl846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00" w:customStyle="1">
    <w:name w:val="xl847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01" w:customStyle="1">
    <w:name w:val="xl848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02" w:customStyle="1">
    <w:name w:val="xl849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803" w:customStyle="1">
    <w:name w:val="xl850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04" w:customStyle="1">
    <w:name w:val="xl851"/>
    <w:basedOn w:val="1072"/>
    <w:pPr>
      <w:jc w:val="center"/>
      <w:spacing w:before="100" w:beforeAutospacing="1" w:after="100" w:afterAutospacing="1"/>
      <w:pBdr>
        <w:top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805" w:customStyle="1">
    <w:name w:val="xl852"/>
    <w:basedOn w:val="1072"/>
    <w:pPr>
      <w:spacing w:before="100" w:beforeAutospacing="1" w:after="100" w:afterAutospacing="1"/>
      <w:pBdr>
        <w:top w:val="single" w:color="auto" w:sz="8" w:space="0"/>
        <w:left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806" w:customStyle="1">
    <w:name w:val="xl853"/>
    <w:basedOn w:val="1072"/>
    <w:pPr>
      <w:spacing w:before="100" w:beforeAutospacing="1" w:after="100" w:afterAutospacing="1"/>
      <w:pBdr>
        <w:top w:val="single" w:color="auto" w:sz="8" w:space="0"/>
        <w:left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807" w:customStyle="1">
    <w:name w:val="xl854"/>
    <w:basedOn w:val="1072"/>
    <w:pPr>
      <w:spacing w:before="100" w:beforeAutospacing="1" w:after="100" w:afterAutospacing="1"/>
      <w:pBdr>
        <w:top w:val="single" w:color="auto" w:sz="8" w:space="0"/>
        <w:right w:val="single" w:color="auto" w:sz="8" w:space="0"/>
      </w:pBdr>
    </w:pPr>
    <w:rPr>
      <w:b/>
      <w:bCs/>
      <w:sz w:val="20"/>
      <w:szCs w:val="20"/>
    </w:rPr>
  </w:style>
  <w:style w:type="paragraph" w:styleId="1808" w:customStyle="1">
    <w:name w:val="xl855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09" w:customStyle="1">
    <w:name w:val="xl85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10" w:customStyle="1">
    <w:name w:val="xl857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11" w:customStyle="1">
    <w:name w:val="xl858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12" w:customStyle="1">
    <w:name w:val="xl859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13" w:customStyle="1">
    <w:name w:val="xl860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14" w:customStyle="1">
    <w:name w:val="xl861"/>
    <w:basedOn w:val="1072"/>
    <w:pPr>
      <w:spacing w:before="100" w:beforeAutospacing="1" w:after="100" w:afterAutospacing="1"/>
      <w:pBdr>
        <w:top w:val="single" w:color="auto" w:sz="8" w:space="0"/>
        <w:bottom w:val="single" w:color="auto" w:sz="8" w:space="0"/>
      </w:pBdr>
    </w:pPr>
  </w:style>
  <w:style w:type="paragraph" w:styleId="1815" w:customStyle="1">
    <w:name w:val="xl86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16" w:customStyle="1">
    <w:name w:val="xl86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17" w:customStyle="1">
    <w:name w:val="xl864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18" w:customStyle="1">
    <w:name w:val="xl865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819" w:customStyle="1">
    <w:name w:val="xl866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20" w:customStyle="1">
    <w:name w:val="xl867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21" w:customStyle="1">
    <w:name w:val="xl86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22" w:customStyle="1">
    <w:name w:val="xl869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23" w:customStyle="1">
    <w:name w:val="xl870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24" w:customStyle="1">
    <w:name w:val="xl871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25" w:customStyle="1">
    <w:name w:val="xl87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26" w:customStyle="1">
    <w:name w:val="xl87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27" w:customStyle="1">
    <w:name w:val="xl874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28" w:customStyle="1">
    <w:name w:val="xl875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29" w:customStyle="1">
    <w:name w:val="xl876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830" w:customStyle="1">
    <w:name w:val="xl877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1831" w:customStyle="1">
    <w:name w:val="xl878"/>
    <w:basedOn w:val="1072"/>
    <w:pPr>
      <w:spacing w:before="100" w:beforeAutospacing="1" w:after="100" w:afterAutospacing="1"/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</w:pPr>
    <w:rPr>
      <w:sz w:val="20"/>
      <w:szCs w:val="20"/>
    </w:rPr>
  </w:style>
  <w:style w:type="paragraph" w:styleId="1832" w:customStyle="1">
    <w:name w:val="xl879"/>
    <w:basedOn w:val="1072"/>
    <w:pPr>
      <w:spacing w:before="100" w:beforeAutospacing="1" w:after="100" w:afterAutospacing="1"/>
      <w:pBdr>
        <w:top w:val="single" w:color="auto" w:sz="8" w:space="0"/>
        <w:left w:val="single" w:color="auto" w:sz="8" w:space="0"/>
        <w:bottom w:val="single" w:color="auto" w:sz="8" w:space="0"/>
      </w:pBdr>
    </w:pPr>
    <w:rPr>
      <w:b/>
      <w:bCs/>
    </w:rPr>
  </w:style>
  <w:style w:type="paragraph" w:styleId="1833" w:customStyle="1">
    <w:name w:val="xl840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</w:pPr>
    <w:rPr>
      <w:b/>
      <w:bCs/>
      <w:color w:val="000000"/>
      <w:sz w:val="20"/>
      <w:szCs w:val="20"/>
    </w:rPr>
  </w:style>
  <w:style w:type="paragraph" w:styleId="1834" w:customStyle="1">
    <w:name w:val="xl841"/>
    <w:basedOn w:val="1072"/>
    <w:pPr>
      <w:jc w:val="center"/>
      <w:spacing w:before="100" w:beforeAutospacing="1" w:after="100" w:afterAutospacing="1"/>
    </w:pPr>
  </w:style>
  <w:style w:type="paragraph" w:styleId="1835" w:customStyle="1">
    <w:name w:val="xl842"/>
    <w:basedOn w:val="1072"/>
    <w:pPr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36" w:customStyle="1">
    <w:name w:val="xl843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37" w:customStyle="1">
    <w:name w:val="xl844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38" w:customStyle="1">
    <w:name w:val="xl845"/>
    <w:basedOn w:val="1072"/>
    <w:pPr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39" w:customStyle="1">
    <w:name w:val="xl837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40" w:customStyle="1">
    <w:name w:val="xl838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41" w:customStyle="1">
    <w:name w:val="xl839"/>
    <w:basedOn w:val="1072"/>
    <w:pPr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color w:val="000000"/>
      <w:sz w:val="20"/>
      <w:szCs w:val="20"/>
    </w:rPr>
  </w:style>
  <w:style w:type="paragraph" w:styleId="1842" w:customStyle="1">
    <w:name w:val="xl880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bottom w:val="single" w:color="auto" w:sz="8" w:space="0"/>
      </w:pBdr>
    </w:pPr>
    <w:rPr>
      <w:b/>
      <w:bCs/>
      <w:color w:val="000000"/>
      <w:sz w:val="20"/>
      <w:szCs w:val="20"/>
    </w:rPr>
  </w:style>
  <w:style w:type="paragraph" w:styleId="1843" w:customStyle="1">
    <w:name w:val="xl881"/>
    <w:basedOn w:val="1072"/>
    <w:pPr>
      <w:jc w:val="center"/>
      <w:spacing w:before="100" w:beforeAutospacing="1" w:after="100" w:afterAutospacing="1"/>
      <w:pBdr>
        <w:top w:val="single" w:color="auto" w:sz="8" w:space="0"/>
        <w:bottom w:val="single" w:color="auto" w:sz="8" w:space="0"/>
      </w:pBdr>
    </w:pPr>
    <w:rPr>
      <w:b/>
      <w:bCs/>
      <w:color w:val="000000"/>
      <w:sz w:val="20"/>
      <w:szCs w:val="20"/>
    </w:rPr>
  </w:style>
  <w:style w:type="paragraph" w:styleId="1844" w:customStyle="1">
    <w:name w:val="xl882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right w:val="single" w:color="auto" w:sz="8" w:space="0"/>
      </w:pBdr>
    </w:pPr>
    <w:rPr>
      <w:b/>
      <w:bCs/>
      <w:color w:val="000000"/>
      <w:sz w:val="20"/>
      <w:szCs w:val="20"/>
    </w:rPr>
  </w:style>
  <w:style w:type="paragraph" w:styleId="1845" w:customStyle="1">
    <w:name w:val="xl883"/>
    <w:basedOn w:val="1072"/>
    <w:pPr>
      <w:jc w:val="center"/>
      <w:spacing w:before="100" w:beforeAutospacing="1" w:after="100" w:afterAutospacing="1"/>
      <w:pBdr>
        <w:left w:val="single" w:color="auto" w:sz="8" w:space="0"/>
        <w:right w:val="single" w:color="auto" w:sz="8" w:space="0"/>
      </w:pBdr>
    </w:pPr>
    <w:rPr>
      <w:b/>
      <w:bCs/>
      <w:color w:val="000000"/>
      <w:sz w:val="20"/>
      <w:szCs w:val="20"/>
    </w:rPr>
  </w:style>
  <w:style w:type="paragraph" w:styleId="1846" w:customStyle="1">
    <w:name w:val="xl884"/>
    <w:basedOn w:val="1072"/>
    <w:pPr>
      <w:jc w:val="center"/>
      <w:spacing w:before="100" w:beforeAutospacing="1" w:after="100" w:afterAutospacing="1"/>
      <w:pBdr>
        <w:left w:val="single" w:color="auto" w:sz="8" w:space="0"/>
        <w:bottom w:val="single" w:color="auto" w:sz="8" w:space="0"/>
        <w:right w:val="single" w:color="auto" w:sz="8" w:space="0"/>
      </w:pBdr>
    </w:pPr>
    <w:rPr>
      <w:b/>
      <w:bCs/>
      <w:color w:val="000000"/>
      <w:sz w:val="20"/>
      <w:szCs w:val="20"/>
    </w:rPr>
  </w:style>
  <w:style w:type="paragraph" w:styleId="1847" w:customStyle="1">
    <w:name w:val="xl885"/>
    <w:basedOn w:val="1072"/>
    <w:pPr>
      <w:jc w:val="center"/>
      <w:spacing w:before="100" w:beforeAutospacing="1" w:after="100" w:afterAutospacing="1"/>
      <w:pBdr>
        <w:left w:val="single" w:color="auto" w:sz="8" w:space="0"/>
        <w:bottom w:val="single" w:color="auto" w:sz="8" w:space="0"/>
        <w:right w:val="single" w:color="auto" w:sz="8" w:space="0"/>
      </w:pBdr>
    </w:pPr>
    <w:rPr>
      <w:b/>
      <w:bCs/>
      <w:color w:val="000000"/>
      <w:sz w:val="20"/>
      <w:szCs w:val="20"/>
    </w:rPr>
  </w:style>
  <w:style w:type="paragraph" w:styleId="1848" w:customStyle="1">
    <w:name w:val="xl117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49" w:customStyle="1">
    <w:name w:val="xl118"/>
    <w:basedOn w:val="1072"/>
    <w:pPr>
      <w:spacing w:before="100" w:beforeAutospacing="1" w:after="100" w:afterAutospacing="1"/>
    </w:pPr>
  </w:style>
  <w:style w:type="paragraph" w:styleId="1850" w:customStyle="1">
    <w:name w:val="xl119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51" w:customStyle="1">
    <w:name w:val="xl120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52" w:customStyle="1">
    <w:name w:val="xl886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53" w:customStyle="1">
    <w:name w:val="xl887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</w:pBdr>
    </w:pPr>
  </w:style>
  <w:style w:type="paragraph" w:styleId="1854" w:customStyle="1">
    <w:name w:val="xl888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55" w:customStyle="1">
    <w:name w:val="xl889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56" w:customStyle="1">
    <w:name w:val="xl890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57" w:customStyle="1">
    <w:name w:val="xl891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58" w:customStyle="1">
    <w:name w:val="xl892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8" w:space="0"/>
        <w:left w:val="single" w:color="auto" w:sz="8" w:space="0"/>
      </w:pBdr>
    </w:pPr>
    <w:rPr>
      <w:sz w:val="22"/>
    </w:rPr>
  </w:style>
  <w:style w:type="paragraph" w:styleId="1859" w:customStyle="1">
    <w:name w:val="xl893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2"/>
    </w:rPr>
  </w:style>
  <w:style w:type="paragraph" w:styleId="1860" w:customStyle="1">
    <w:name w:val="xl894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61" w:customStyle="1">
    <w:name w:val="xl895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62" w:customStyle="1">
    <w:name w:val="xl896"/>
    <w:basedOn w:val="1072"/>
    <w:pPr>
      <w:jc w:val="center"/>
      <w:spacing w:before="100" w:beforeAutospacing="1" w:after="100" w:afterAutospacing="1"/>
      <w:shd w:val="clear" w:color="000000" w:fill="00b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63" w:customStyle="1">
    <w:name w:val="xl897"/>
    <w:basedOn w:val="1072"/>
    <w:pPr>
      <w:jc w:val="center"/>
      <w:spacing w:before="100" w:beforeAutospacing="1" w:after="100" w:afterAutospacing="1"/>
      <w:shd w:val="clear" w:color="000000" w:fill="00b050"/>
      <w:pBdr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64" w:customStyle="1">
    <w:name w:val="xl898"/>
    <w:basedOn w:val="1072"/>
    <w:pPr>
      <w:jc w:val="center"/>
      <w:spacing w:before="100" w:beforeAutospacing="1" w:after="100" w:afterAutospacing="1"/>
      <w:shd w:val="clear" w:color="000000" w:fill="00b05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65" w:customStyle="1">
    <w:name w:val="xl899"/>
    <w:basedOn w:val="1072"/>
    <w:pPr>
      <w:jc w:val="center"/>
      <w:spacing w:before="100" w:beforeAutospacing="1" w:after="100" w:afterAutospacing="1"/>
    </w:pPr>
  </w:style>
  <w:style w:type="paragraph" w:styleId="1866" w:customStyle="1">
    <w:name w:val="xl90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12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67" w:customStyle="1">
    <w:name w:val="xl901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2"/>
    </w:rPr>
  </w:style>
  <w:style w:type="paragraph" w:styleId="1868" w:customStyle="1">
    <w:name w:val="xl902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</w:rPr>
  </w:style>
  <w:style w:type="paragraph" w:styleId="1869" w:customStyle="1">
    <w:name w:val="xl903"/>
    <w:basedOn w:val="1072"/>
    <w:pPr>
      <w:jc w:val="center"/>
      <w:spacing w:before="100" w:beforeAutospacing="1" w:after="100" w:afterAutospacing="1"/>
    </w:pPr>
  </w:style>
  <w:style w:type="paragraph" w:styleId="1870" w:customStyle="1">
    <w:name w:val="xl904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12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71" w:customStyle="1">
    <w:name w:val="xl905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2"/>
    </w:rPr>
  </w:style>
  <w:style w:type="paragraph" w:styleId="1872" w:customStyle="1">
    <w:name w:val="xl906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</w:rPr>
  </w:style>
  <w:style w:type="paragraph" w:styleId="1873" w:customStyle="1">
    <w:name w:val="xl907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</w:rPr>
  </w:style>
  <w:style w:type="paragraph" w:styleId="1874" w:customStyle="1">
    <w:name w:val="xl908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75" w:customStyle="1">
    <w:name w:val="xl909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76" w:customStyle="1">
    <w:name w:val="xl91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77" w:customStyle="1">
    <w:name w:val="xl911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12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78" w:customStyle="1">
    <w:name w:val="xl912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79" w:customStyle="1">
    <w:name w:val="xl913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880" w:customStyle="1">
    <w:name w:val="xl1649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</w:style>
  <w:style w:type="paragraph" w:styleId="1881" w:customStyle="1">
    <w:name w:val="xl1650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82" w:customStyle="1">
    <w:name w:val="xl1651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</w:rPr>
  </w:style>
  <w:style w:type="paragraph" w:styleId="1883" w:customStyle="1">
    <w:name w:val="xl1652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84" w:customStyle="1">
    <w:name w:val="xl165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</w:rPr>
  </w:style>
  <w:style w:type="paragraph" w:styleId="1885" w:customStyle="1">
    <w:name w:val="xl1654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86" w:customStyle="1">
    <w:name w:val="xl1655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</w:pBdr>
    </w:pPr>
  </w:style>
  <w:style w:type="paragraph" w:styleId="1887" w:customStyle="1">
    <w:name w:val="xl1656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88" w:customStyle="1">
    <w:name w:val="xl1657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</w:rPr>
  </w:style>
  <w:style w:type="paragraph" w:styleId="1889" w:customStyle="1">
    <w:name w:val="xl1658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</w:pBdr>
    </w:pPr>
    <w:rPr>
      <w:b/>
      <w:bCs/>
    </w:rPr>
  </w:style>
  <w:style w:type="paragraph" w:styleId="1890" w:customStyle="1">
    <w:name w:val="xl1659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891" w:customStyle="1">
    <w:name w:val="xl1660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left w:val="single" w:color="auto" w:sz="4" w:space="0"/>
        <w:bottom w:val="single" w:color="auto" w:sz="4" w:space="0"/>
      </w:pBdr>
    </w:pPr>
  </w:style>
  <w:style w:type="paragraph" w:styleId="1892" w:customStyle="1">
    <w:name w:val="xl1661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</w:pBdr>
    </w:pPr>
  </w:style>
  <w:style w:type="paragraph" w:styleId="1893" w:customStyle="1">
    <w:name w:val="xl1662"/>
    <w:basedOn w:val="1072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94" w:customStyle="1">
    <w:name w:val="xl1663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18"/>
      <w:szCs w:val="18"/>
    </w:rPr>
  </w:style>
  <w:style w:type="paragraph" w:styleId="1895" w:customStyle="1">
    <w:name w:val="xl1664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896" w:customStyle="1">
    <w:name w:val="xl1665"/>
    <w:basedOn w:val="1072"/>
    <w:pPr>
      <w:jc w:val="center"/>
      <w:spacing w:before="100" w:beforeAutospacing="1" w:after="100" w:afterAutospacing="1"/>
      <w:shd w:val="clear" w:color="000000" w:fill="92d050"/>
    </w:pPr>
    <w:rPr>
      <w:b/>
      <w:bCs/>
      <w:sz w:val="18"/>
      <w:szCs w:val="18"/>
    </w:rPr>
  </w:style>
  <w:style w:type="paragraph" w:styleId="1897" w:customStyle="1">
    <w:name w:val="xl1603"/>
    <w:basedOn w:val="1072"/>
    <w:pPr>
      <w:jc w:val="center"/>
      <w:spacing w:before="100" w:beforeAutospacing="1" w:after="100" w:afterAutospacing="1"/>
    </w:pPr>
  </w:style>
  <w:style w:type="paragraph" w:styleId="1898" w:customStyle="1">
    <w:name w:val="xl1604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899" w:customStyle="1">
    <w:name w:val="xl827"/>
    <w:basedOn w:val="1072"/>
    <w:pPr>
      <w:spacing w:before="100" w:beforeAutospacing="1" w:after="100" w:afterAutospacing="1"/>
    </w:pPr>
  </w:style>
  <w:style w:type="paragraph" w:styleId="1900" w:customStyle="1">
    <w:name w:val="xl82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901" w:customStyle="1">
    <w:name w:val="xl829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2" w:customStyle="1">
    <w:name w:val="xl83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3" w:customStyle="1">
    <w:name w:val="xl831"/>
    <w:basedOn w:val="1072"/>
    <w:pPr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4" w:customStyle="1">
    <w:name w:val="xl832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5" w:customStyle="1">
    <w:name w:val="xl83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906" w:customStyle="1">
    <w:name w:val="xl834"/>
    <w:basedOn w:val="1072"/>
    <w:pPr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7" w:customStyle="1">
    <w:name w:val="xl835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908" w:customStyle="1">
    <w:name w:val="xl836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909" w:customStyle="1">
    <w:name w:val="xl115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910" w:customStyle="1">
    <w:name w:val="xl116"/>
    <w:basedOn w:val="1072"/>
    <w:pPr>
      <w:jc w:val="center"/>
      <w:spacing w:before="100" w:beforeAutospacing="1" w:after="100" w:afterAutospacing="1"/>
      <w:shd w:val="clear" w:color="000000" w:fill="ddd9c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11" w:customStyle="1">
    <w:name w:val="xl1666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912" w:customStyle="1">
    <w:name w:val="xl1667"/>
    <w:basedOn w:val="1072"/>
    <w:pPr>
      <w:jc w:val="center"/>
      <w:spacing w:before="100" w:beforeAutospacing="1" w:after="100" w:afterAutospacing="1"/>
      <w:shd w:val="clear" w:color="000000" w:fill="00b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3" w:customStyle="1">
    <w:name w:val="xl1668"/>
    <w:basedOn w:val="1072"/>
    <w:pPr>
      <w:jc w:val="center"/>
      <w:spacing w:before="100" w:beforeAutospacing="1" w:after="100" w:afterAutospacing="1"/>
      <w:shd w:val="clear" w:color="000000" w:fill="00b050"/>
      <w:pBdr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4" w:customStyle="1">
    <w:name w:val="xl1669"/>
    <w:basedOn w:val="1072"/>
    <w:pPr>
      <w:jc w:val="center"/>
      <w:spacing w:before="100" w:beforeAutospacing="1" w:after="100" w:afterAutospacing="1"/>
      <w:shd w:val="clear" w:color="000000" w:fill="00b05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5" w:customStyle="1">
    <w:name w:val="xl167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12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6" w:customStyle="1">
    <w:name w:val="xl1671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7" w:customStyle="1">
    <w:name w:val="xl1672"/>
    <w:basedOn w:val="1072"/>
    <w:pPr>
      <w:jc w:val="center"/>
      <w:spacing w:before="100" w:beforeAutospacing="1" w:after="100" w:afterAutospacing="1"/>
      <w:shd w:val="clear" w:color="000000" w:fill="ff0000"/>
      <w:pBdr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8" w:customStyle="1">
    <w:name w:val="xl1673"/>
    <w:basedOn w:val="1072"/>
    <w:pPr>
      <w:jc w:val="center"/>
      <w:spacing w:before="100" w:beforeAutospacing="1" w:after="100" w:afterAutospacing="1"/>
      <w:shd w:val="clear" w:color="000000" w:fill="ff000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19" w:customStyle="1">
    <w:name w:val="xl1674"/>
    <w:basedOn w:val="1072"/>
    <w:pPr>
      <w:jc w:val="center"/>
      <w:spacing w:before="100" w:beforeAutospacing="1" w:after="100" w:afterAutospacing="1"/>
      <w:shd w:val="clear" w:color="000000" w:fill="00b050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20" w:customStyle="1">
    <w:name w:val="xl1675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2"/>
    </w:rPr>
  </w:style>
  <w:style w:type="paragraph" w:styleId="1921" w:customStyle="1">
    <w:name w:val="xl1676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</w:rPr>
  </w:style>
  <w:style w:type="paragraph" w:styleId="1922" w:customStyle="1">
    <w:name w:val="xl1677"/>
    <w:basedOn w:val="1072"/>
    <w:pPr>
      <w:jc w:val="center"/>
      <w:spacing w:before="100" w:beforeAutospacing="1" w:after="100" w:afterAutospacing="1"/>
      <w:shd w:val="clear" w:color="000000" w:fill="ff000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23" w:customStyle="1">
    <w:name w:val="xl1678"/>
    <w:basedOn w:val="1072"/>
    <w:pPr>
      <w:jc w:val="center"/>
      <w:spacing w:before="100" w:beforeAutospacing="1" w:after="100" w:afterAutospacing="1"/>
      <w:shd w:val="clear" w:color="000000" w:fill="00b050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2"/>
    </w:rPr>
  </w:style>
  <w:style w:type="paragraph" w:styleId="1924" w:customStyle="1">
    <w:name w:val="xl1679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2"/>
    </w:rPr>
  </w:style>
  <w:style w:type="paragraph" w:styleId="1925" w:customStyle="1">
    <w:name w:val="xl1680"/>
    <w:basedOn w:val="1072"/>
    <w:pPr>
      <w:jc w:val="center"/>
      <w:spacing w:before="100" w:beforeAutospacing="1" w:after="100" w:afterAutospacing="1"/>
      <w:shd w:val="clear" w:color="000000" w:fill="d9d9d9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</w:rPr>
  </w:style>
  <w:style w:type="paragraph" w:styleId="1926" w:customStyle="1">
    <w:name w:val="xl1681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27" w:customStyle="1">
    <w:name w:val="xl1682"/>
    <w:basedOn w:val="1072"/>
    <w:pPr>
      <w:jc w:val="center"/>
      <w:spacing w:before="100" w:beforeAutospacing="1" w:after="100" w:afterAutospacing="1"/>
      <w:shd w:val="clear" w:color="000000" w:fill="92d050"/>
      <w:pBdr>
        <w:left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28" w:customStyle="1">
    <w:name w:val="xl1683"/>
    <w:basedOn w:val="1072"/>
    <w:pPr>
      <w:jc w:val="center"/>
      <w:spacing w:before="100" w:beforeAutospacing="1" w:after="100" w:afterAutospacing="1"/>
      <w:shd w:val="clear" w:color="000000" w:fill="92d05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29" w:customStyle="1">
    <w:name w:val="xl1684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30" w:customStyle="1">
    <w:name w:val="xl1685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31" w:customStyle="1">
    <w:name w:val="xl1686"/>
    <w:basedOn w:val="1072"/>
    <w:pPr>
      <w:jc w:val="center"/>
      <w:spacing w:before="100" w:beforeAutospacing="1" w:after="100" w:afterAutospacing="1"/>
      <w:shd w:val="clear" w:color="000000" w:fill="ff0000"/>
      <w:pBdr>
        <w:left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32" w:customStyle="1">
    <w:name w:val="xl1687"/>
    <w:basedOn w:val="1072"/>
    <w:pPr>
      <w:jc w:val="center"/>
      <w:spacing w:before="100" w:beforeAutospacing="1" w:after="100" w:afterAutospacing="1"/>
      <w:shd w:val="clear" w:color="000000" w:fill="ff000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1933" w:customStyle="1">
    <w:name w:val="xl1688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18"/>
      <w:szCs w:val="18"/>
    </w:rPr>
  </w:style>
  <w:style w:type="paragraph" w:styleId="1934" w:customStyle="1">
    <w:name w:val="xl1689"/>
    <w:basedOn w:val="1072"/>
    <w:pPr>
      <w:jc w:val="center"/>
      <w:spacing w:before="100" w:beforeAutospacing="1" w:after="100" w:afterAutospacing="1"/>
      <w:shd w:val="clear" w:color="000000" w:fill="ffc000"/>
    </w:pPr>
    <w:rPr>
      <w:sz w:val="18"/>
      <w:szCs w:val="18"/>
    </w:rPr>
  </w:style>
  <w:style w:type="paragraph" w:styleId="1935" w:customStyle="1">
    <w:name w:val="xl1690"/>
    <w:basedOn w:val="1072"/>
    <w:pPr>
      <w:jc w:val="center"/>
      <w:spacing w:before="100" w:beforeAutospacing="1" w:after="100" w:afterAutospacing="1"/>
      <w:shd w:val="clear" w:color="000000" w:fill="92d050"/>
      <w:pBdr>
        <w:left w:val="single" w:color="auto" w:sz="4" w:space="0"/>
      </w:pBdr>
    </w:pPr>
    <w:rPr>
      <w:sz w:val="18"/>
      <w:szCs w:val="18"/>
    </w:rPr>
  </w:style>
  <w:style w:type="paragraph" w:styleId="1936" w:customStyle="1">
    <w:name w:val="xl2387"/>
    <w:basedOn w:val="1072"/>
    <w:pPr>
      <w:spacing w:before="100" w:beforeAutospacing="1" w:after="100" w:afterAutospacing="1"/>
    </w:pPr>
  </w:style>
  <w:style w:type="paragraph" w:styleId="1937" w:customStyle="1">
    <w:name w:val="xl2388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38" w:customStyle="1">
    <w:name w:val="xl2389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39" w:customStyle="1">
    <w:name w:val="xl2390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940" w:customStyle="1">
    <w:name w:val="xl2391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41" w:customStyle="1">
    <w:name w:val="xl2392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42" w:customStyle="1">
    <w:name w:val="xl2393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43" w:customStyle="1">
    <w:name w:val="xl2394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44" w:customStyle="1">
    <w:name w:val="xl2395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45" w:customStyle="1">
    <w:name w:val="xl2396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46" w:customStyle="1">
    <w:name w:val="xl2397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47" w:customStyle="1">
    <w:name w:val="xl2398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48" w:customStyle="1">
    <w:name w:val="xl2399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49" w:customStyle="1">
    <w:name w:val="xl2400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50" w:customStyle="1">
    <w:name w:val="xl2401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1" w:customStyle="1">
    <w:name w:val="xl2402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2" w:customStyle="1">
    <w:name w:val="xl2403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3" w:customStyle="1">
    <w:name w:val="xl2404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54" w:customStyle="1">
    <w:name w:val="xl2405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55" w:customStyle="1">
    <w:name w:val="xl2406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6" w:customStyle="1">
    <w:name w:val="xl2407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7" w:customStyle="1">
    <w:name w:val="xl2408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58" w:customStyle="1">
    <w:name w:val="xl2409"/>
    <w:basedOn w:val="1072"/>
    <w:pPr>
      <w:spacing w:before="100" w:beforeAutospacing="1" w:after="100" w:afterAutospacing="1"/>
      <w:shd w:val="clear" w:color="000000" w:fill="ff0000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59" w:customStyle="1">
    <w:name w:val="xl2410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0" w:customStyle="1">
    <w:name w:val="xl2411"/>
    <w:basedOn w:val="1072"/>
    <w:pPr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1" w:customStyle="1">
    <w:name w:val="xl2412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2" w:customStyle="1">
    <w:name w:val="xl2413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63" w:customStyle="1">
    <w:name w:val="xl2414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4" w:customStyle="1">
    <w:name w:val="xl2415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5" w:customStyle="1">
    <w:name w:val="xl2416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6" w:customStyle="1">
    <w:name w:val="xl2417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67" w:customStyle="1">
    <w:name w:val="xl2418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68" w:customStyle="1">
    <w:name w:val="xl2419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69" w:customStyle="1">
    <w:name w:val="xl2420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70" w:customStyle="1">
    <w:name w:val="xl2421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971" w:customStyle="1">
    <w:name w:val="xl2422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72" w:customStyle="1">
    <w:name w:val="xl2423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73" w:customStyle="1">
    <w:name w:val="xl2424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74" w:customStyle="1">
    <w:name w:val="xl2425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75" w:customStyle="1">
    <w:name w:val="xl2426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76" w:customStyle="1">
    <w:name w:val="xl2427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77" w:customStyle="1">
    <w:name w:val="xl2428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78" w:customStyle="1">
    <w:name w:val="xl2429"/>
    <w:basedOn w:val="1072"/>
    <w:pPr>
      <w:jc w:val="center"/>
      <w:spacing w:before="100" w:beforeAutospacing="1" w:after="100" w:afterAutospacing="1"/>
      <w:shd w:val="clear" w:color="000000" w:fill="eeece1"/>
      <w:pBdr>
        <w:left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79" w:customStyle="1">
    <w:name w:val="xl2430"/>
    <w:basedOn w:val="1072"/>
    <w:pPr>
      <w:jc w:val="center"/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80" w:customStyle="1">
    <w:name w:val="xl2431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81" w:customStyle="1">
    <w:name w:val="xl2432"/>
    <w:basedOn w:val="1072"/>
    <w:pPr>
      <w:spacing w:before="100" w:beforeAutospacing="1" w:after="100" w:afterAutospacing="1"/>
      <w:shd w:val="clear" w:color="000000" w:fill="eeece1"/>
      <w:pBdr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82" w:customStyle="1">
    <w:name w:val="xl2433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83" w:customStyle="1">
    <w:name w:val="xl2434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84" w:customStyle="1">
    <w:name w:val="xl2435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85" w:customStyle="1">
    <w:name w:val="xl2436"/>
    <w:basedOn w:val="1072"/>
    <w:pPr>
      <w:jc w:val="right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86" w:customStyle="1">
    <w:name w:val="xl2437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87" w:customStyle="1">
    <w:name w:val="xl2438"/>
    <w:basedOn w:val="1072"/>
    <w:pPr>
      <w:spacing w:before="100" w:beforeAutospacing="1" w:after="100" w:afterAutospacing="1"/>
      <w:shd w:val="clear" w:color="000000" w:fill="eeece1"/>
      <w:pBdr>
        <w:bottom w:val="single" w:color="auto" w:sz="4" w:space="0"/>
      </w:pBdr>
    </w:pPr>
    <w:rPr>
      <w:b/>
      <w:bCs/>
      <w:color w:val="000000"/>
    </w:rPr>
  </w:style>
  <w:style w:type="paragraph" w:styleId="1988" w:customStyle="1">
    <w:name w:val="xl2439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89" w:customStyle="1">
    <w:name w:val="xl2440"/>
    <w:basedOn w:val="1072"/>
    <w:pPr>
      <w:spacing w:before="100" w:beforeAutospacing="1" w:after="100" w:afterAutospacing="1"/>
      <w:shd w:val="clear" w:color="000000" w:fill="eeece1"/>
      <w:pBdr>
        <w:bottom w:val="single" w:color="auto" w:sz="4" w:space="0"/>
      </w:pBdr>
    </w:pPr>
    <w:rPr>
      <w:b/>
      <w:bCs/>
      <w:color w:val="000000"/>
    </w:rPr>
  </w:style>
  <w:style w:type="paragraph" w:styleId="1990" w:customStyle="1">
    <w:name w:val="xl2441"/>
    <w:basedOn w:val="1072"/>
    <w:pPr>
      <w:jc w:val="right"/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91" w:customStyle="1">
    <w:name w:val="xl2442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92" w:customStyle="1">
    <w:name w:val="xl2443"/>
    <w:basedOn w:val="1072"/>
    <w:pPr>
      <w:spacing w:before="100" w:beforeAutospacing="1" w:after="100" w:afterAutospacing="1"/>
      <w:shd w:val="clear" w:color="000000" w:fill="eeece1"/>
      <w:pBdr>
        <w:left w:val="single" w:color="auto" w:sz="4" w:space="0"/>
        <w:bottom w:val="single" w:color="auto" w:sz="4" w:space="0"/>
      </w:pBdr>
    </w:pPr>
    <w:rPr>
      <w:color w:val="000000"/>
    </w:rPr>
  </w:style>
  <w:style w:type="paragraph" w:styleId="1993" w:customStyle="1">
    <w:name w:val="xl2444"/>
    <w:basedOn w:val="1072"/>
    <w:pPr>
      <w:spacing w:before="100" w:beforeAutospacing="1" w:after="100" w:afterAutospacing="1"/>
      <w:shd w:val="clear" w:color="000000" w:fill="ddd9c4"/>
      <w:pBdr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1994" w:customStyle="1">
    <w:name w:val="xl2445"/>
    <w:basedOn w:val="1072"/>
    <w:pPr>
      <w:spacing w:before="100" w:beforeAutospacing="1" w:after="100" w:afterAutospacing="1"/>
      <w:shd w:val="clear" w:color="000000" w:fill="ddd9c4"/>
      <w:pBdr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95" w:customStyle="1">
    <w:name w:val="xl2446"/>
    <w:basedOn w:val="1072"/>
    <w:pPr>
      <w:spacing w:before="100" w:beforeAutospacing="1" w:after="100" w:afterAutospacing="1"/>
      <w:shd w:val="clear" w:color="000000" w:fill="eeece1"/>
      <w:pBdr>
        <w:bottom w:val="single" w:color="auto" w:sz="4" w:space="0"/>
      </w:pBdr>
    </w:pPr>
    <w:rPr>
      <w:b/>
      <w:bCs/>
      <w:color w:val="000000"/>
    </w:rPr>
  </w:style>
  <w:style w:type="paragraph" w:styleId="1996" w:customStyle="1">
    <w:name w:val="xl2447"/>
    <w:basedOn w:val="1072"/>
    <w:pPr>
      <w:spacing w:before="100" w:beforeAutospacing="1" w:after="100" w:afterAutospacing="1"/>
      <w:shd w:val="clear" w:color="000000" w:fill="eeece1"/>
      <w:pBdr>
        <w:bottom w:val="single" w:color="auto" w:sz="4" w:space="0"/>
      </w:pBdr>
    </w:pPr>
    <w:rPr>
      <w:color w:val="000000"/>
    </w:rPr>
  </w:style>
  <w:style w:type="paragraph" w:styleId="1997" w:customStyle="1">
    <w:name w:val="xl2448"/>
    <w:basedOn w:val="1072"/>
    <w:pPr>
      <w:spacing w:before="100" w:beforeAutospacing="1" w:after="100" w:afterAutospacing="1"/>
      <w:shd w:val="clear" w:color="000000" w:fill="ddd9c4"/>
      <w:pBdr>
        <w:bottom w:val="single" w:color="auto" w:sz="4" w:space="0"/>
      </w:pBdr>
    </w:pPr>
    <w:rPr>
      <w:b/>
      <w:bCs/>
      <w:color w:val="000000"/>
    </w:rPr>
  </w:style>
  <w:style w:type="paragraph" w:styleId="1998" w:customStyle="1">
    <w:name w:val="xl2449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999" w:customStyle="1">
    <w:name w:val="xl2450"/>
    <w:basedOn w:val="1072"/>
    <w:pPr>
      <w:jc w:val="center"/>
      <w:spacing w:before="100" w:beforeAutospacing="1" w:after="100" w:afterAutospacing="1"/>
      <w:shd w:val="clear" w:color="000000" w:fill="92d05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2000" w:customStyle="1">
    <w:name w:val="xl2451"/>
    <w:basedOn w:val="1072"/>
    <w:pPr>
      <w:jc w:val="center"/>
      <w:spacing w:before="100" w:beforeAutospacing="1" w:after="100" w:afterAutospacing="1"/>
      <w:shd w:val="clear" w:color="000000" w:fill="92d050"/>
    </w:pPr>
    <w:rPr>
      <w:b/>
      <w:bCs/>
      <w:sz w:val="18"/>
      <w:szCs w:val="18"/>
    </w:rPr>
  </w:style>
  <w:style w:type="paragraph" w:styleId="2001" w:customStyle="1">
    <w:name w:val="xl2452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18"/>
      <w:szCs w:val="18"/>
    </w:rPr>
  </w:style>
  <w:style w:type="paragraph" w:styleId="2002" w:customStyle="1">
    <w:name w:val="xl2453"/>
    <w:basedOn w:val="1072"/>
    <w:pPr>
      <w:jc w:val="center"/>
      <w:spacing w:before="100" w:beforeAutospacing="1" w:after="100" w:afterAutospacing="1"/>
      <w:shd w:val="clear" w:color="000000" w:fill="ffc000"/>
    </w:pPr>
    <w:rPr>
      <w:sz w:val="18"/>
      <w:szCs w:val="18"/>
    </w:rPr>
  </w:style>
  <w:style w:type="paragraph" w:styleId="2003" w:customStyle="1">
    <w:name w:val="xl2454"/>
    <w:basedOn w:val="1072"/>
    <w:pPr>
      <w:jc w:val="center"/>
      <w:spacing w:before="100" w:beforeAutospacing="1" w:after="100" w:afterAutospacing="1"/>
      <w:shd w:val="clear" w:color="000000" w:fill="92d050"/>
      <w:pBdr>
        <w:left w:val="single" w:color="auto" w:sz="4" w:space="0"/>
      </w:pBdr>
    </w:pPr>
    <w:rPr>
      <w:sz w:val="18"/>
      <w:szCs w:val="18"/>
    </w:rPr>
  </w:style>
  <w:style w:type="paragraph" w:styleId="2004" w:customStyle="1">
    <w:name w:val="xl2455"/>
    <w:basedOn w:val="1072"/>
    <w:pPr>
      <w:jc w:val="center"/>
      <w:spacing w:before="100" w:beforeAutospacing="1" w:after="100" w:afterAutospacing="1"/>
      <w:shd w:val="clear" w:color="000000" w:fill="ccc0da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8"/>
      <w:szCs w:val="18"/>
    </w:rPr>
  </w:style>
  <w:style w:type="paragraph" w:styleId="2005" w:customStyle="1">
    <w:name w:val="xl2456"/>
    <w:basedOn w:val="1072"/>
    <w:pPr>
      <w:jc w:val="center"/>
      <w:spacing w:before="100" w:beforeAutospacing="1" w:after="100" w:afterAutospacing="1"/>
      <w:shd w:val="clear" w:color="000000" w:fill="ccc0da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8"/>
      <w:szCs w:val="18"/>
    </w:rPr>
  </w:style>
  <w:style w:type="paragraph" w:styleId="2006" w:customStyle="1">
    <w:name w:val="xl2457"/>
    <w:basedOn w:val="1072"/>
    <w:pPr>
      <w:jc w:val="center"/>
      <w:spacing w:before="100" w:beforeAutospacing="1" w:after="100" w:afterAutospacing="1"/>
      <w:pBdr>
        <w:left w:val="single" w:color="auto" w:sz="4" w:space="0"/>
      </w:pBdr>
    </w:pPr>
  </w:style>
  <w:style w:type="paragraph" w:styleId="2007" w:customStyle="1">
    <w:name w:val="xl2458"/>
    <w:basedOn w:val="1072"/>
    <w:pPr>
      <w:jc w:val="center"/>
      <w:spacing w:before="100" w:beforeAutospacing="1" w:after="100" w:afterAutospacing="1"/>
    </w:pPr>
  </w:style>
  <w:style w:type="paragraph" w:styleId="2008" w:customStyle="1">
    <w:name w:val="xl2459"/>
    <w:basedOn w:val="1072"/>
    <w:pPr>
      <w:jc w:val="center"/>
      <w:spacing w:before="100" w:beforeAutospacing="1" w:after="100" w:afterAutospacing="1"/>
      <w:pBdr>
        <w:right w:val="single" w:color="auto" w:sz="4" w:space="0"/>
      </w:pBdr>
    </w:pPr>
  </w:style>
  <w:style w:type="paragraph" w:styleId="2009" w:customStyle="1">
    <w:name w:val="xl2460"/>
    <w:basedOn w:val="1072"/>
    <w:pPr>
      <w:jc w:val="center"/>
      <w:spacing w:before="100" w:beforeAutospacing="1" w:after="100" w:afterAutospacing="1"/>
      <w:shd w:val="clear" w:color="000000" w:fill="d9d9d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8"/>
      <w:szCs w:val="18"/>
    </w:rPr>
  </w:style>
  <w:style w:type="paragraph" w:styleId="2010" w:customStyle="1">
    <w:name w:val="xl2461"/>
    <w:basedOn w:val="1072"/>
    <w:pPr>
      <w:jc w:val="center"/>
      <w:spacing w:before="100" w:beforeAutospacing="1" w:after="100" w:afterAutospacing="1"/>
      <w:pBdr>
        <w:left w:val="single" w:color="auto" w:sz="4" w:space="0"/>
      </w:pBdr>
    </w:pPr>
  </w:style>
  <w:style w:type="paragraph" w:styleId="2011" w:customStyle="1">
    <w:name w:val="xl2462"/>
    <w:basedOn w:val="1072"/>
    <w:pPr>
      <w:jc w:val="center"/>
      <w:spacing w:before="100" w:beforeAutospacing="1" w:after="100" w:afterAutospacing="1"/>
    </w:pPr>
  </w:style>
  <w:style w:type="paragraph" w:styleId="2012" w:customStyle="1">
    <w:name w:val="xl2463"/>
    <w:basedOn w:val="1072"/>
    <w:pPr>
      <w:jc w:val="center"/>
      <w:spacing w:before="100" w:beforeAutospacing="1" w:after="100" w:afterAutospacing="1"/>
      <w:pBdr>
        <w:right w:val="single" w:color="auto" w:sz="4" w:space="0"/>
      </w:pBdr>
    </w:pPr>
  </w:style>
  <w:style w:type="paragraph" w:styleId="2013" w:customStyle="1">
    <w:name w:val="xl2464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</w:pBdr>
    </w:pPr>
    <w:rPr>
      <w:b/>
      <w:bCs/>
      <w:color w:val="000000"/>
    </w:rPr>
  </w:style>
  <w:style w:type="paragraph" w:styleId="2014" w:customStyle="1">
    <w:name w:val="xl2465"/>
    <w:basedOn w:val="1072"/>
    <w:pPr>
      <w:jc w:val="center"/>
      <w:spacing w:before="100" w:beforeAutospacing="1" w:after="100" w:afterAutospacing="1"/>
      <w:shd w:val="clear" w:color="000000" w:fill="eeece1"/>
      <w:pBdr>
        <w:top w:val="single" w:color="auto" w:sz="4" w:space="0"/>
      </w:pBdr>
    </w:pPr>
    <w:rPr>
      <w:b/>
      <w:bCs/>
      <w:color w:val="000000"/>
    </w:rPr>
  </w:style>
  <w:style w:type="paragraph" w:styleId="2015" w:customStyle="1">
    <w:name w:val="xl2466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</w:pBdr>
    </w:pPr>
    <w:rPr>
      <w:b/>
      <w:bCs/>
      <w:color w:val="000000"/>
    </w:rPr>
  </w:style>
  <w:style w:type="paragraph" w:styleId="2016" w:customStyle="1">
    <w:name w:val="xl2467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2017" w:customStyle="1">
    <w:name w:val="xl2468"/>
    <w:basedOn w:val="1072"/>
    <w:pPr>
      <w:spacing w:before="100" w:beforeAutospacing="1" w:after="100" w:afterAutospacing="1"/>
      <w:shd w:val="clear" w:color="000000" w:fill="eeece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character" w:styleId="2018" w:customStyle="1">
    <w:name w:val="_Обычный Знак"/>
    <w:basedOn w:val="1082"/>
    <w:link w:val="2019"/>
    <w:rPr>
      <w:iCs/>
      <w:sz w:val="26"/>
      <w:szCs w:val="26"/>
    </w:rPr>
  </w:style>
  <w:style w:type="paragraph" w:styleId="2019" w:customStyle="1">
    <w:name w:val="_Обычный"/>
    <w:basedOn w:val="1072"/>
    <w:link w:val="2018"/>
    <w:pPr>
      <w:contextualSpacing/>
      <w:ind w:firstLine="709"/>
      <w:jc w:val="both"/>
      <w:spacing w:before="120" w:after="120" w:line="360" w:lineRule="auto"/>
    </w:pPr>
    <w:rPr>
      <w:rFonts w:eastAsiaTheme="minorHAnsi"/>
      <w:iCs/>
      <w:sz w:val="26"/>
      <w:szCs w:val="26"/>
    </w:rPr>
  </w:style>
  <w:style w:type="character" w:styleId="2020" w:customStyle="1">
    <w:name w:val="_Список маркерованный Знак"/>
    <w:basedOn w:val="2018"/>
    <w:link w:val="2021"/>
    <w:rPr>
      <w:iCs/>
      <w:sz w:val="26"/>
      <w:szCs w:val="26"/>
      <w:lang w:eastAsia="ru-RU"/>
    </w:rPr>
  </w:style>
  <w:style w:type="paragraph" w:styleId="2021" w:customStyle="1">
    <w:name w:val="_Список маркерованный"/>
    <w:basedOn w:val="2019"/>
    <w:link w:val="2020"/>
    <w:pPr>
      <w:numPr>
        <w:numId w:val="11"/>
      </w:numPr>
      <w:spacing w:line="276" w:lineRule="auto"/>
      <w:tabs>
        <w:tab w:val="left" w:pos="284" w:leader="none"/>
      </w:tabs>
    </w:pPr>
  </w:style>
  <w:style w:type="paragraph" w:styleId="2022" w:customStyle="1">
    <w:name w:val="_Таблица_по центру"/>
    <w:basedOn w:val="2019"/>
    <w:next w:val="2019"/>
    <w:link w:val="2023"/>
    <w:pPr>
      <w:ind w:firstLine="0"/>
      <w:jc w:val="center"/>
      <w:spacing w:before="0" w:after="0" w:line="240" w:lineRule="auto"/>
    </w:pPr>
    <w:rPr>
      <w:sz w:val="20"/>
      <w:szCs w:val="20"/>
    </w:rPr>
  </w:style>
  <w:style w:type="character" w:styleId="2023" w:customStyle="1">
    <w:name w:val="_Таблица_по центру Знак"/>
    <w:basedOn w:val="2018"/>
    <w:link w:val="2022"/>
    <w:rPr>
      <w:iCs/>
      <w:sz w:val="20"/>
      <w:szCs w:val="20"/>
      <w:lang w:eastAsia="ru-RU"/>
    </w:rPr>
  </w:style>
  <w:style w:type="paragraph" w:styleId="2024" w:customStyle="1">
    <w:name w:val="3.4 Т. Центр"/>
    <w:link w:val="2025"/>
    <w:pPr>
      <w:jc w:val="center"/>
      <w:spacing w:after="0" w:line="240" w:lineRule="auto"/>
    </w:pPr>
    <w:rPr>
      <w:rFonts w:eastAsia="Times New Roman"/>
      <w:sz w:val="20"/>
      <w:szCs w:val="20"/>
    </w:rPr>
  </w:style>
  <w:style w:type="character" w:styleId="2025" w:customStyle="1">
    <w:name w:val="3.4 Т. Центр Знак"/>
    <w:basedOn w:val="1082"/>
    <w:link w:val="2024"/>
    <w:rPr>
      <w:rFonts w:eastAsia="Times New Roman"/>
      <w:sz w:val="20"/>
      <w:szCs w:val="20"/>
    </w:rPr>
  </w:style>
  <w:style w:type="paragraph" w:styleId="2026" w:customStyle="1">
    <w:name w:val="2.6 Заказчик"/>
    <w:basedOn w:val="1072"/>
    <w:link w:val="2027"/>
    <w:pPr>
      <w:ind w:left="-57"/>
      <w:spacing w:before="40" w:after="40" w:line="300" w:lineRule="auto"/>
    </w:pPr>
    <w:rPr>
      <w:sz w:val="26"/>
      <w:szCs w:val="26"/>
    </w:rPr>
  </w:style>
  <w:style w:type="character" w:styleId="2027" w:customStyle="1">
    <w:name w:val="2.6 Заказчик Знак"/>
    <w:basedOn w:val="1082"/>
    <w:link w:val="2026"/>
    <w:rPr>
      <w:rFonts w:eastAsia="Times New Roman"/>
      <w:sz w:val="26"/>
      <w:szCs w:val="26"/>
    </w:rPr>
  </w:style>
  <w:style w:type="character" w:styleId="2028" w:customStyle="1">
    <w:name w:val="fontstyle01"/>
    <w:basedOn w:val="1082"/>
    <w:rPr>
      <w:rFonts w:hint="default" w:ascii="ArialMT" w:hAnsi="ArialMT"/>
      <w:color w:val="000000"/>
      <w:sz w:val="24"/>
      <w:szCs w:val="24"/>
    </w:rPr>
  </w:style>
  <w:style w:type="paragraph" w:styleId="2029" w:customStyle="1">
    <w:name w:val="Перечень 1"/>
    <w:basedOn w:val="1234"/>
    <w:link w:val="2030"/>
    <w:pPr>
      <w:numPr>
        <w:numId w:val="12"/>
      </w:numPr>
      <w:ind w:left="1134" w:hanging="283"/>
      <w:jc w:val="both"/>
      <w:spacing w:after="60"/>
    </w:pPr>
    <w:rPr>
      <w:sz w:val="22"/>
    </w:rPr>
  </w:style>
  <w:style w:type="character" w:styleId="2030" w:customStyle="1">
    <w:name w:val="Перечень 1 Знак"/>
    <w:basedOn w:val="1358"/>
    <w:link w:val="2029"/>
    <w:rPr>
      <w:rFonts w:eastAsia="Times New Roman" w:cstheme="minorBidi"/>
      <w:sz w:val="22"/>
      <w:szCs w:val="22"/>
      <w:lang w:eastAsia="ru-RU"/>
    </w:rPr>
  </w:style>
  <w:style w:type="paragraph" w:styleId="2031" w:customStyle="1">
    <w:name w:val="ОСНОВНОЙ"/>
    <w:basedOn w:val="1072"/>
    <w:link w:val="2032"/>
    <w:pPr>
      <w:ind w:firstLine="567"/>
      <w:jc w:val="both"/>
      <w:spacing w:after="60"/>
    </w:pPr>
    <w:rPr>
      <w:color w:val="000000" w:themeColor="text1"/>
      <w:sz w:val="22"/>
    </w:rPr>
  </w:style>
  <w:style w:type="character" w:styleId="2032" w:customStyle="1">
    <w:name w:val="ОСНОВНОЙ Знак"/>
    <w:basedOn w:val="1082"/>
    <w:link w:val="2031"/>
    <w:rPr>
      <w:rFonts w:eastAsia="Times New Roman"/>
      <w:color w:val="000000" w:themeColor="text1"/>
      <w:sz w:val="22"/>
      <w:szCs w:val="22"/>
      <w:lang w:eastAsia="ru-RU"/>
    </w:rPr>
  </w:style>
  <w:style w:type="paragraph" w:styleId="2033" w:customStyle="1">
    <w:name w:val="Gel_Список -"/>
    <w:basedOn w:val="1072"/>
    <w:pPr>
      <w:numPr>
        <w:numId w:val="13"/>
      </w:numPr>
      <w:ind w:left="1260" w:hanging="360"/>
      <w:jc w:val="both"/>
      <w:spacing w:after="60"/>
      <w:tabs>
        <w:tab w:val="num" w:pos="360" w:leader="none"/>
      </w:tabs>
    </w:pPr>
  </w:style>
  <w:style w:type="numbering" w:styleId="2034" w:customStyle="1">
    <w:name w:val="Gel_Нумерация списка -"/>
    <w:pPr>
      <w:numPr>
        <w:numId w:val="13"/>
      </w:numPr>
    </w:pPr>
  </w:style>
  <w:style w:type="table" w:styleId="2035" w:customStyle="1">
    <w:name w:val="Средняя сетка 3 - Акцент 11"/>
    <w:basedOn w:val="1083"/>
    <w:next w:val="2036"/>
    <w:uiPriority w:val="69"/>
    <w:pPr>
      <w:spacing w:after="0" w:line="240" w:lineRule="auto"/>
    </w:pPr>
    <w:rPr>
      <w:rFonts w:eastAsia="Times New Roman" w:asciiTheme="minorHAnsi" w:hAnsiTheme="minorHAnsi" w:cstheme="minorBidi"/>
      <w:sz w:val="22"/>
      <w:szCs w:val="22"/>
      <w:lang w:eastAsia="ru-RU"/>
    </w:r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band1Horz">
      <w:tcPr>
        <w:shd w:val="clear" w:color="auto" w:fill="a7bfde"/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</w:tcPr>
    </w:tblStylePr>
    <w:tblStylePr w:type="band1Vert">
      <w:tcPr>
        <w:shd w:val="clear" w:color="auto" w:fill="a7bfde"/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/>
      </w:rPr>
      <w:tcPr>
        <w:shd w:val="clear" w:color="auto" w:fill="4f81bd"/>
        <w:tcBorders>
          <w:left w:val="single" w:color="FFFFFF" w:sz="8" w:space="0"/>
          <w:right w:val="single" w:color="FFFFFF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/>
      </w:rPr>
      <w:tcPr>
        <w:shd w:val="clear" w:color="auto" w:fill="4f81bd"/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one" w:color="000000" w:sz="4" w:space="0"/>
          <w:insideV w:val="single" w:color="FFFFFF" w:sz="8" w:space="0"/>
        </w:tcBorders>
      </w:tcPr>
    </w:tblStylePr>
    <w:tblStylePr w:type="lastCol">
      <w:rPr>
        <w:b/>
        <w:bCs/>
        <w:color w:val="ffffff"/>
      </w:rPr>
      <w:tcPr>
        <w:shd w:val="clear" w:color="auto" w:fill="4f81bd"/>
        <w:tcBorders>
          <w:top w:val="none" w:color="000000" w:sz="4" w:space="0"/>
          <w:left w:val="single" w:color="FFFFFF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/>
      </w:rPr>
      <w:tcPr>
        <w:shd w:val="clear" w:color="auto" w:fill="4f81bd"/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000000" w:sz="4" w:space="0"/>
          <w:insideV w:val="single" w:color="FFFFFF" w:sz="8" w:space="0"/>
        </w:tcBorders>
      </w:tcPr>
    </w:tblStylePr>
  </w:style>
  <w:style w:type="table" w:styleId="2036">
    <w:name w:val="Medium Grid 3 Accent 1"/>
    <w:basedOn w:val="108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band1Horz"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4f81bd" w:themeFill="accent1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4f81bd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4f81bd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4f81bd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paragraph" w:styleId="2037" w:customStyle="1">
    <w:name w:val="Абзац_пост"/>
    <w:basedOn w:val="1072"/>
    <w:pPr>
      <w:ind w:firstLine="720"/>
      <w:jc w:val="both"/>
      <w:spacing w:before="120"/>
    </w:pPr>
    <w:rPr>
      <w:sz w:val="26"/>
      <w:szCs w:val="26"/>
    </w:rPr>
  </w:style>
  <w:style w:type="character" w:styleId="2038" w:customStyle="1">
    <w:name w:val="Основной шрифт абзаца1"/>
  </w:style>
  <w:style w:type="paragraph" w:styleId="2039" w:customStyle="1">
    <w:name w:val="Пункт_пост"/>
    <w:basedOn w:val="1072"/>
    <w:pPr>
      <w:numPr>
        <w:numId w:val="14"/>
      </w:numPr>
      <w:jc w:val="both"/>
      <w:spacing w:before="120"/>
    </w:pPr>
    <w:rPr>
      <w:sz w:val="26"/>
    </w:rPr>
  </w:style>
  <w:style w:type="character" w:styleId="2040" w:customStyle="1">
    <w:name w:val="Неразрешенное упоминание1"/>
    <w:basedOn w:val="1082"/>
    <w:uiPriority w:val="99"/>
    <w:semiHidden/>
    <w:unhideWhenUsed/>
    <w:rPr>
      <w:color w:val="605e5c"/>
      <w:shd w:val="clear" w:color="auto" w:fill="e1dfdd"/>
    </w:rPr>
  </w:style>
  <w:style w:type="paragraph" w:styleId="2041" w:customStyle="1">
    <w:name w:val="zag3"/>
    <w:basedOn w:val="1072"/>
    <w:pPr>
      <w:ind w:left="709" w:hanging="709"/>
      <w:jc w:val="center"/>
      <w:spacing w:before="240" w:after="240"/>
    </w:pPr>
  </w:style>
  <w:style w:type="paragraph" w:styleId="2042" w:customStyle="1">
    <w:name w:val="msonormal"/>
    <w:basedOn w:val="1072"/>
    <w:pPr>
      <w:spacing w:before="100" w:beforeAutospacing="1" w:after="100" w:afterAutospacing="1"/>
    </w:pPr>
  </w:style>
  <w:style w:type="character" w:styleId="2043" w:customStyle="1">
    <w:name w:val="WW8Num12z3"/>
  </w:style>
  <w:style w:type="character" w:styleId="2044" w:customStyle="1">
    <w:name w:val="_Об_Таблица Знак"/>
    <w:basedOn w:val="1082"/>
    <w:link w:val="2045"/>
    <w:rPr>
      <w:iCs/>
      <w:szCs w:val="26"/>
      <w:lang w:eastAsia="ru-RU"/>
    </w:rPr>
  </w:style>
  <w:style w:type="paragraph" w:styleId="2045" w:customStyle="1">
    <w:name w:val="_Об_Таблица"/>
    <w:basedOn w:val="1072"/>
    <w:link w:val="2044"/>
    <w:pPr>
      <w:jc w:val="both"/>
      <w:keepLines/>
      <w:keepNext/>
      <w:spacing w:before="120"/>
    </w:pPr>
    <w:rPr>
      <w:rFonts w:eastAsiaTheme="minorHAnsi"/>
      <w:iCs/>
      <w:szCs w:val="26"/>
    </w:rPr>
  </w:style>
  <w:style w:type="paragraph" w:styleId="2046" w:customStyle="1">
    <w:name w:val="Перечень"/>
    <w:basedOn w:val="1245"/>
    <w:link w:val="2047"/>
    <w:pPr>
      <w:numPr>
        <w:numId w:val="17"/>
      </w:numPr>
      <w:spacing w:before="120" w:after="120"/>
    </w:pPr>
  </w:style>
  <w:style w:type="character" w:styleId="2047" w:customStyle="1">
    <w:name w:val="Перечень Знак"/>
    <w:basedOn w:val="1246"/>
    <w:link w:val="2046"/>
    <w:rPr>
      <w:rFonts w:ascii="Liberation Serif" w:hAnsi="Liberation Serif"/>
      <w:sz w:val="28"/>
    </w:rPr>
  </w:style>
  <w:style w:type="paragraph" w:styleId="2048" w:customStyle="1">
    <w:name w:val="xl1554"/>
    <w:basedOn w:val="1072"/>
    <w:pPr>
      <w:jc w:val="center"/>
      <w:spacing w:before="100" w:beforeAutospacing="1" w:after="100" w:afterAutospacing="1"/>
    </w:pPr>
    <w:rPr>
      <w:sz w:val="20"/>
      <w:szCs w:val="20"/>
    </w:rPr>
  </w:style>
  <w:style w:type="paragraph" w:styleId="2049" w:customStyle="1">
    <w:name w:val="xl1555"/>
    <w:basedOn w:val="1072"/>
    <w:pPr>
      <w:spacing w:before="100" w:beforeAutospacing="1" w:after="100" w:afterAutospacing="1"/>
    </w:pPr>
    <w:rPr>
      <w:sz w:val="20"/>
      <w:szCs w:val="20"/>
    </w:rPr>
  </w:style>
  <w:style w:type="paragraph" w:styleId="2050" w:customStyle="1">
    <w:name w:val="xl155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1" w:customStyle="1">
    <w:name w:val="xl1557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2" w:customStyle="1">
    <w:name w:val="xl155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053" w:customStyle="1">
    <w:name w:val="xl1559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4" w:customStyle="1">
    <w:name w:val="xl156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5" w:customStyle="1">
    <w:name w:val="xl1561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6" w:customStyle="1">
    <w:name w:val="xl156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057" w:customStyle="1">
    <w:name w:val="xl156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058" w:customStyle="1">
    <w:name w:val="Основной текст ТАХОМА1"/>
    <w:basedOn w:val="1072"/>
    <w:pPr>
      <w:ind w:firstLine="709"/>
      <w:jc w:val="both"/>
    </w:pPr>
    <w:rPr>
      <w:rFonts w:ascii="Tahoma" w:hAnsi="Tahoma" w:cs="Tahoma"/>
      <w:bCs/>
      <w:szCs w:val="28"/>
    </w:rPr>
  </w:style>
  <w:style w:type="paragraph" w:styleId="2059">
    <w:name w:val="Intense Quote"/>
    <w:basedOn w:val="1072"/>
    <w:next w:val="1072"/>
    <w:link w:val="2060"/>
    <w:uiPriority w:val="30"/>
    <w:pPr>
      <w:ind w:left="2506" w:right="432"/>
      <w:jc w:val="center"/>
      <w:spacing w:after="160" w:line="300" w:lineRule="auto"/>
      <w:pBdr>
        <w:top w:val="single" w:color="7BA0CD" w:sz="4" w:space="12"/>
        <w:left w:val="single" w:color="7BA0CD" w:sz="4" w:space="15"/>
        <w:bottom w:val="single" w:color="365F91" w:sz="12" w:space="10"/>
        <w:right w:val="single" w:color="365F91" w:sz="12" w:space="15"/>
        <w:between w:val="single" w:color="7BA0CD" w:sz="4" w:space="12"/>
      </w:pBdr>
    </w:pPr>
    <w:rPr>
      <w:rFonts w:ascii="Cambria" w:hAnsi="Cambria"/>
      <w:smallCaps/>
      <w:color w:val="365f91"/>
      <w:sz w:val="28"/>
      <w:szCs w:val="28"/>
    </w:rPr>
  </w:style>
  <w:style w:type="character" w:styleId="2060" w:customStyle="1">
    <w:name w:val="Выделенная цитата Знак"/>
    <w:basedOn w:val="1082"/>
    <w:link w:val="2059"/>
    <w:uiPriority w:val="30"/>
    <w:rPr>
      <w:rFonts w:ascii="Cambria" w:hAnsi="Cambria" w:eastAsia="Times New Roman"/>
      <w:smallCaps/>
      <w:color w:val="365f91"/>
      <w:sz w:val="28"/>
      <w:szCs w:val="28"/>
    </w:rPr>
  </w:style>
  <w:style w:type="character" w:styleId="2061">
    <w:name w:val="Subtle Emphasis"/>
    <w:basedOn w:val="1082"/>
    <w:uiPriority w:val="19"/>
    <w:rPr>
      <w:smallCaps/>
      <w:color w:val="5a5a5a"/>
      <w:vertAlign w:val="baseline"/>
    </w:rPr>
  </w:style>
  <w:style w:type="character" w:styleId="2062">
    <w:name w:val="Subtle Reference"/>
    <w:basedOn w:val="1082"/>
    <w:uiPriority w:val="31"/>
    <w:rPr>
      <w:rFonts w:ascii="Cambria" w:hAnsi="Cambria"/>
      <w:i/>
      <w:smallCaps/>
      <w:color w:val="5a5a5a"/>
      <w:spacing w:val="20"/>
    </w:rPr>
  </w:style>
  <w:style w:type="character" w:styleId="2063">
    <w:name w:val="Intense Reference"/>
    <w:basedOn w:val="1082"/>
    <w:uiPriority w:val="32"/>
    <w:rPr>
      <w:rFonts w:ascii="Cambria" w:hAnsi="Cambria"/>
      <w:b/>
      <w:i/>
      <w:smallCaps/>
      <w:color w:val="17365d"/>
      <w:spacing w:val="20"/>
    </w:rPr>
  </w:style>
  <w:style w:type="paragraph" w:styleId="2064" w:customStyle="1">
    <w:name w:val="Нименование раздела"/>
    <w:basedOn w:val="1073"/>
    <w:next w:val="2065"/>
    <w:link w:val="2067"/>
    <w:pPr>
      <w:jc w:val="both"/>
      <w:spacing w:after="200"/>
      <w:pBdr>
        <w:bottom w:val="single" w:color="auto" w:sz="4" w:space="1"/>
      </w:pBdr>
      <w:outlineLvl w:val="1"/>
    </w:pPr>
    <w:rPr>
      <w:rFonts w:ascii="Tahoma" w:hAnsi="Tahoma" w:eastAsia="Times New Roman"/>
      <w:caps/>
      <w:color w:val="365f91"/>
      <w:spacing w:val="20"/>
      <w:szCs w:val="28"/>
    </w:rPr>
  </w:style>
  <w:style w:type="paragraph" w:styleId="2065" w:customStyle="1">
    <w:name w:val="Основной текст ТАХОМА"/>
    <w:basedOn w:val="1072"/>
    <w:link w:val="2066"/>
    <w:pPr>
      <w:ind w:firstLine="709"/>
      <w:jc w:val="both"/>
    </w:pPr>
    <w:rPr>
      <w:rFonts w:ascii="Tahoma" w:hAnsi="Tahoma" w:cs="Tahoma"/>
      <w:bCs/>
      <w:szCs w:val="28"/>
    </w:rPr>
  </w:style>
  <w:style w:type="character" w:styleId="2066" w:customStyle="1">
    <w:name w:val="Основной текст ТАХОМА Знак"/>
    <w:link w:val="2065"/>
    <w:rPr>
      <w:rFonts w:ascii="Tahoma" w:hAnsi="Tahoma" w:eastAsia="Times New Roman" w:cs="Tahoma"/>
      <w:bCs/>
      <w:szCs w:val="28"/>
      <w:lang w:eastAsia="ru-RU"/>
    </w:rPr>
  </w:style>
  <w:style w:type="character" w:styleId="2067" w:customStyle="1">
    <w:name w:val="Нименование раздела Знак"/>
    <w:link w:val="2064"/>
    <w:rPr>
      <w:rFonts w:ascii="Tahoma" w:hAnsi="Tahoma" w:eastAsia="Times New Roman"/>
      <w:b/>
      <w:caps/>
      <w:color w:val="365f91"/>
      <w:spacing w:val="20"/>
      <w:sz w:val="28"/>
      <w:szCs w:val="28"/>
      <w:lang w:eastAsia="ru-RU"/>
    </w:rPr>
  </w:style>
  <w:style w:type="paragraph" w:styleId="2068" w:customStyle="1">
    <w:name w:val="Основной текст 21"/>
    <w:basedOn w:val="1072"/>
    <w:uiPriority w:val="99"/>
    <w:pPr>
      <w:ind w:left="397" w:firstLine="680"/>
      <w:jc w:val="center"/>
      <w:suppressLineNumbers/>
    </w:pPr>
    <w:rPr>
      <w:b/>
      <w:sz w:val="28"/>
      <w:szCs w:val="28"/>
      <w:lang w:val="en-US"/>
    </w:rPr>
  </w:style>
  <w:style w:type="paragraph" w:styleId="2069" w:customStyle="1">
    <w:name w:val="Схема документа1"/>
    <w:basedOn w:val="1072"/>
    <w:uiPriority w:val="99"/>
    <w:pPr>
      <w:jc w:val="center"/>
      <w:shd w:val="clear" w:color="auto" w:fill="000080"/>
    </w:pPr>
    <w:rPr>
      <w:rFonts w:ascii="Tahoma" w:hAnsi="Tahoma"/>
      <w:sz w:val="28"/>
      <w:szCs w:val="28"/>
    </w:rPr>
  </w:style>
  <w:style w:type="paragraph" w:styleId="2070" w:customStyle="1">
    <w:name w:val="Основной текст с отступом 21"/>
    <w:basedOn w:val="1072"/>
    <w:uiPriority w:val="99"/>
    <w:pPr>
      <w:ind w:firstLine="851"/>
      <w:jc w:val="both"/>
    </w:pPr>
    <w:rPr>
      <w:sz w:val="28"/>
      <w:szCs w:val="28"/>
    </w:rPr>
  </w:style>
  <w:style w:type="character" w:styleId="2071" w:customStyle="1">
    <w:name w:val="Основной текст с отступом Знак1"/>
    <w:basedOn w:val="1082"/>
    <w:uiPriority w:val="99"/>
    <w:semiHidden/>
    <w:rPr>
      <w:sz w:val="28"/>
    </w:rPr>
  </w:style>
  <w:style w:type="character" w:styleId="2072" w:customStyle="1">
    <w:name w:val="Основной текст с отступом Знак11"/>
    <w:basedOn w:val="1082"/>
    <w:uiPriority w:val="99"/>
    <w:rPr>
      <w:rFonts w:cs="Times New Roman"/>
      <w:sz w:val="28"/>
    </w:rPr>
  </w:style>
  <w:style w:type="character" w:styleId="2073" w:customStyle="1">
    <w:name w:val="Основной текст с отступом 2 Знак1"/>
    <w:basedOn w:val="1082"/>
    <w:uiPriority w:val="99"/>
    <w:semiHidden/>
    <w:rPr>
      <w:sz w:val="28"/>
    </w:rPr>
  </w:style>
  <w:style w:type="character" w:styleId="2074" w:customStyle="1">
    <w:name w:val="Основной текст с отступом 2 Знак11"/>
    <w:basedOn w:val="1082"/>
    <w:uiPriority w:val="99"/>
    <w:rPr>
      <w:rFonts w:cs="Times New Roman"/>
      <w:sz w:val="28"/>
    </w:rPr>
  </w:style>
  <w:style w:type="character" w:styleId="2075" w:customStyle="1">
    <w:name w:val="Основной текст с отступом 3 Знак1"/>
    <w:basedOn w:val="1082"/>
    <w:uiPriority w:val="99"/>
    <w:semiHidden/>
    <w:rPr>
      <w:sz w:val="16"/>
      <w:szCs w:val="16"/>
    </w:rPr>
  </w:style>
  <w:style w:type="character" w:styleId="2076" w:customStyle="1">
    <w:name w:val="Основной текст с отступом 3 Знак11"/>
    <w:basedOn w:val="1082"/>
    <w:uiPriority w:val="99"/>
    <w:rPr>
      <w:rFonts w:cs="Times New Roman"/>
      <w:sz w:val="16"/>
      <w:szCs w:val="16"/>
    </w:rPr>
  </w:style>
  <w:style w:type="character" w:styleId="2077" w:customStyle="1">
    <w:name w:val="Схема документа Знак1"/>
    <w:basedOn w:val="1082"/>
    <w:uiPriority w:val="99"/>
    <w:semiHidden/>
    <w:rPr>
      <w:rFonts w:ascii="Tahoma" w:hAnsi="Tahoma" w:cs="Tahoma"/>
      <w:sz w:val="16"/>
      <w:szCs w:val="16"/>
    </w:rPr>
  </w:style>
  <w:style w:type="character" w:styleId="2078" w:customStyle="1">
    <w:name w:val="Схема документа Знак11"/>
    <w:basedOn w:val="1082"/>
    <w:uiPriority w:val="99"/>
    <w:rPr>
      <w:rFonts w:ascii="Segoe UI" w:hAnsi="Segoe UI" w:cs="Segoe UI"/>
      <w:sz w:val="16"/>
      <w:szCs w:val="16"/>
    </w:rPr>
  </w:style>
  <w:style w:type="character" w:styleId="2079" w:customStyle="1">
    <w:name w:val="Основной текст 3 Знак1"/>
    <w:basedOn w:val="1082"/>
    <w:uiPriority w:val="99"/>
    <w:semiHidden/>
    <w:rPr>
      <w:sz w:val="16"/>
      <w:szCs w:val="16"/>
    </w:rPr>
  </w:style>
  <w:style w:type="character" w:styleId="2080" w:customStyle="1">
    <w:name w:val="Основной текст 3 Знак11"/>
    <w:basedOn w:val="1082"/>
    <w:uiPriority w:val="99"/>
    <w:rPr>
      <w:rFonts w:cs="Times New Roman"/>
      <w:sz w:val="16"/>
      <w:szCs w:val="16"/>
    </w:rPr>
  </w:style>
  <w:style w:type="paragraph" w:styleId="2081" w:customStyle="1">
    <w:name w:val="Список TAHOMA"/>
    <w:basedOn w:val="2065"/>
    <w:link w:val="2082"/>
    <w:pPr>
      <w:ind w:left="102" w:hanging="420"/>
    </w:pPr>
  </w:style>
  <w:style w:type="character" w:styleId="2082" w:customStyle="1">
    <w:name w:val="Список TAHOMA Знак"/>
    <w:link w:val="2081"/>
    <w:rPr>
      <w:rFonts w:ascii="Tahoma" w:hAnsi="Tahoma" w:eastAsia="Times New Roman" w:cs="Tahoma"/>
      <w:bCs/>
      <w:szCs w:val="28"/>
      <w:lang w:eastAsia="ru-RU"/>
    </w:rPr>
  </w:style>
  <w:style w:type="paragraph" w:styleId="2083" w:customStyle="1">
    <w:name w:val="Название - Таблица"/>
    <w:basedOn w:val="1230"/>
    <w:link w:val="2084"/>
    <w:pPr>
      <w:ind w:firstLine="709"/>
      <w:jc w:val="center"/>
      <w:keepLines w:val="0"/>
      <w:keepNext w:val="0"/>
      <w:spacing w:before="100" w:after="100"/>
    </w:pPr>
    <w:rPr>
      <w:rFonts w:ascii="Tahoma" w:hAnsi="Tahoma" w:eastAsia="Times New Roman" w:cs="Times New Roman"/>
      <w:color w:val="1f497d"/>
      <w:spacing w:val="10"/>
      <w:szCs w:val="18"/>
      <w:lang w:eastAsia="ru-RU"/>
    </w:rPr>
  </w:style>
  <w:style w:type="character" w:styleId="2084" w:customStyle="1">
    <w:name w:val="Название - Таблица Знак"/>
    <w:link w:val="2083"/>
    <w:rPr>
      <w:rFonts w:ascii="Tahoma" w:hAnsi="Tahoma" w:eastAsia="Times New Roman"/>
      <w:bCs/>
      <w:color w:val="1f497d"/>
      <w:spacing w:val="10"/>
      <w:szCs w:val="18"/>
      <w:lang w:eastAsia="ru-RU"/>
    </w:rPr>
  </w:style>
  <w:style w:type="paragraph" w:styleId="2085" w:customStyle="1">
    <w:name w:val="Главные разделы"/>
    <w:basedOn w:val="2064"/>
    <w:next w:val="2064"/>
    <w:link w:val="2086"/>
    <w:pPr>
      <w:pBdr>
        <w:bottom w:val="none" w:color="auto" w:sz="0" w:space="0"/>
      </w:pBdr>
      <w:outlineLvl w:val="0"/>
    </w:pPr>
  </w:style>
  <w:style w:type="character" w:styleId="2086" w:customStyle="1">
    <w:name w:val="Главные разделы Знак"/>
    <w:link w:val="2085"/>
    <w:rPr>
      <w:rFonts w:ascii="Tahoma" w:hAnsi="Tahoma" w:eastAsia="Times New Roman"/>
      <w:b/>
      <w:caps/>
      <w:color w:val="365f91"/>
      <w:spacing w:val="20"/>
      <w:sz w:val="28"/>
      <w:szCs w:val="28"/>
      <w:lang w:eastAsia="ru-RU"/>
    </w:rPr>
  </w:style>
  <w:style w:type="paragraph" w:styleId="2087" w:customStyle="1">
    <w:name w:val="Основной текст с отступом 31"/>
    <w:basedOn w:val="1072"/>
    <w:uiPriority w:val="99"/>
    <w:pPr>
      <w:ind w:firstLine="858"/>
      <w:jc w:val="both"/>
      <w:widowControl w:val="off"/>
    </w:pPr>
  </w:style>
  <w:style w:type="paragraph" w:styleId="2088" w:customStyle="1">
    <w:name w:val="Обычный (Web)"/>
    <w:basedOn w:val="1072"/>
    <w:uiPriority w:val="99"/>
    <w:pPr>
      <w:jc w:val="center"/>
      <w:spacing w:before="280" w:after="280"/>
      <w:widowControl w:val="off"/>
    </w:pPr>
  </w:style>
  <w:style w:type="character" w:styleId="2089" w:customStyle="1">
    <w:name w:val="Текст концевой сноски Знак1"/>
    <w:basedOn w:val="1082"/>
    <w:uiPriority w:val="99"/>
    <w:semiHidden/>
  </w:style>
  <w:style w:type="character" w:styleId="2090" w:customStyle="1">
    <w:name w:val="Текст концевой сноски Знак11"/>
    <w:basedOn w:val="1082"/>
    <w:uiPriority w:val="99"/>
    <w:rPr>
      <w:rFonts w:cs="Times New Roman"/>
    </w:rPr>
  </w:style>
  <w:style w:type="character" w:styleId="2091" w:customStyle="1">
    <w:name w:val="Текст сноски Знак1"/>
    <w:basedOn w:val="1082"/>
    <w:uiPriority w:val="99"/>
    <w:semiHidden/>
  </w:style>
  <w:style w:type="character" w:styleId="2092" w:customStyle="1">
    <w:name w:val="Текст сноски Знак11"/>
    <w:basedOn w:val="1082"/>
    <w:uiPriority w:val="99"/>
    <w:rPr>
      <w:rFonts w:cs="Times New Roman"/>
    </w:rPr>
  </w:style>
  <w:style w:type="character" w:styleId="2093" w:customStyle="1">
    <w:name w:val="Текст примечания Знак1"/>
    <w:basedOn w:val="1082"/>
    <w:uiPriority w:val="99"/>
    <w:semiHidden/>
  </w:style>
  <w:style w:type="character" w:styleId="2094" w:customStyle="1">
    <w:name w:val="Текст примечания Знак11"/>
    <w:basedOn w:val="1082"/>
    <w:uiPriority w:val="99"/>
    <w:rPr>
      <w:rFonts w:cs="Times New Roman"/>
    </w:rPr>
  </w:style>
  <w:style w:type="character" w:styleId="2095" w:customStyle="1">
    <w:name w:val="Тема примечания Знак1"/>
    <w:basedOn w:val="1290"/>
    <w:uiPriority w:val="99"/>
    <w:semiHidden/>
    <w:rPr>
      <w:rFonts w:eastAsiaTheme="minorEastAsia" w:cstheme="minorBidi"/>
      <w:b/>
      <w:bCs/>
      <w:sz w:val="20"/>
      <w:szCs w:val="20"/>
    </w:rPr>
  </w:style>
  <w:style w:type="character" w:styleId="2096" w:customStyle="1">
    <w:name w:val="Тема примечания Знак11"/>
    <w:basedOn w:val="2094"/>
    <w:uiPriority w:val="99"/>
    <w:rPr>
      <w:rFonts w:cs="Times New Roman"/>
      <w:b/>
      <w:bCs/>
    </w:rPr>
  </w:style>
  <w:style w:type="paragraph" w:styleId="2097" w:customStyle="1">
    <w:name w:val="Название объекта1"/>
    <w:basedOn w:val="1072"/>
    <w:next w:val="1072"/>
    <w:uiPriority w:val="99"/>
    <w:pPr>
      <w:jc w:val="right"/>
      <w:widowControl w:val="off"/>
    </w:pPr>
    <w:rPr>
      <w:rFonts w:ascii="Futuris" w:hAnsi="Futuris"/>
      <w:b/>
      <w:spacing w:val="30"/>
      <w:lang w:eastAsia="ar-SA"/>
    </w:rPr>
  </w:style>
  <w:style w:type="paragraph" w:styleId="2098">
    <w:name w:val="Block Text"/>
    <w:basedOn w:val="1072"/>
    <w:uiPriority w:val="99"/>
    <w:pPr>
      <w:ind w:left="-567" w:right="-766" w:firstLine="720"/>
      <w:jc w:val="center"/>
      <w:suppressLineNumbers/>
    </w:pPr>
    <w:rPr>
      <w:sz w:val="32"/>
      <w:szCs w:val="28"/>
    </w:rPr>
  </w:style>
  <w:style w:type="character" w:styleId="2099" w:customStyle="1">
    <w:name w:val="Font Style59"/>
    <w:rPr>
      <w:rFonts w:ascii="Times New Roman" w:hAnsi="Times New Roman"/>
      <w:sz w:val="26"/>
    </w:rPr>
  </w:style>
  <w:style w:type="character" w:styleId="2100" w:customStyle="1">
    <w:name w:val="Основной текст Знак2"/>
    <w:uiPriority w:val="99"/>
    <w:semiHidden/>
    <w:rPr>
      <w:color w:val="5a5a5a"/>
    </w:rPr>
  </w:style>
  <w:style w:type="character" w:styleId="2101" w:customStyle="1">
    <w:name w:val="Верхний колонтитул Знак1"/>
    <w:uiPriority w:val="99"/>
    <w:rPr>
      <w:color w:val="5a5a5a"/>
    </w:rPr>
  </w:style>
  <w:style w:type="character" w:styleId="2102" w:customStyle="1">
    <w:name w:val="Текст выноски Знак1"/>
    <w:uiPriority w:val="99"/>
    <w:semiHidden/>
    <w:rPr>
      <w:rFonts w:ascii="Tahoma" w:hAnsi="Tahoma"/>
      <w:color w:val="5a5a5a"/>
      <w:sz w:val="16"/>
    </w:rPr>
  </w:style>
  <w:style w:type="character" w:styleId="2103" w:customStyle="1">
    <w:name w:val="Font Style591"/>
    <w:rPr>
      <w:rFonts w:ascii="Times New Roman" w:hAnsi="Times New Roman"/>
      <w:sz w:val="26"/>
    </w:rPr>
  </w:style>
  <w:style w:type="paragraph" w:styleId="2104" w:customStyle="1">
    <w:name w:val="Style26"/>
    <w:basedOn w:val="1072"/>
    <w:pPr>
      <w:jc w:val="both"/>
      <w:spacing w:line="326" w:lineRule="exact"/>
      <w:widowControl w:val="off"/>
    </w:pPr>
    <w:rPr>
      <w:lang w:eastAsia="ar-SA"/>
    </w:rPr>
  </w:style>
  <w:style w:type="character" w:styleId="2105" w:customStyle="1">
    <w:name w:val="Нижний колонтитул Знак2"/>
    <w:uiPriority w:val="99"/>
    <w:rPr>
      <w:rFonts w:eastAsia="Times New Roman"/>
      <w:sz w:val="24"/>
    </w:rPr>
  </w:style>
  <w:style w:type="character" w:styleId="2106" w:customStyle="1">
    <w:name w:val="Заголовок 4 Знак1"/>
    <w:rPr>
      <w:rFonts w:ascii="Times New Roman" w:hAnsi="Times New Roman"/>
      <w:sz w:val="20"/>
      <w:lang w:eastAsia="ru-RU"/>
    </w:rPr>
  </w:style>
  <w:style w:type="character" w:styleId="2107" w:customStyle="1">
    <w:name w:val="Заголовок 5 Знак1"/>
    <w:rPr>
      <w:rFonts w:ascii="Times New Roman" w:hAnsi="Times New Roman"/>
      <w:b/>
      <w:sz w:val="20"/>
      <w:lang w:eastAsia="ru-RU"/>
    </w:rPr>
  </w:style>
  <w:style w:type="character" w:styleId="2108" w:customStyle="1">
    <w:name w:val="Заголовок 6 Знак1"/>
    <w:rPr>
      <w:rFonts w:ascii="Times New Roman" w:hAnsi="Times New Roman"/>
      <w:b/>
      <w:sz w:val="20"/>
      <w:lang w:eastAsia="ru-RU"/>
    </w:rPr>
  </w:style>
  <w:style w:type="character" w:styleId="2109" w:customStyle="1">
    <w:name w:val="Заголовок 7 Знак1"/>
    <w:rPr>
      <w:rFonts w:ascii="Times New Roman" w:hAnsi="Times New Roman"/>
      <w:b/>
      <w:sz w:val="20"/>
      <w:lang w:eastAsia="ru-RU"/>
    </w:rPr>
  </w:style>
  <w:style w:type="character" w:styleId="2110" w:customStyle="1">
    <w:name w:val="Заголовок 8 Знак1"/>
    <w:rPr>
      <w:rFonts w:ascii="Times New Roman" w:hAnsi="Times New Roman"/>
      <w:b/>
      <w:sz w:val="20"/>
      <w:lang w:eastAsia="ru-RU"/>
    </w:rPr>
  </w:style>
  <w:style w:type="character" w:styleId="2111" w:customStyle="1">
    <w:name w:val="Заголовок 9 Знак1"/>
    <w:uiPriority w:val="9"/>
    <w:semiHidden/>
    <w:rPr>
      <w:rFonts w:ascii="Cambria" w:hAnsi="Cambria"/>
      <w:i/>
      <w:color w:val="404040"/>
      <w:sz w:val="20"/>
      <w:lang w:eastAsia="ru-RU"/>
    </w:rPr>
  </w:style>
  <w:style w:type="character" w:styleId="2112" w:customStyle="1">
    <w:name w:val="Основной текст ТАХОМА Знак1"/>
    <w:rPr>
      <w:rFonts w:ascii="Tahoma" w:hAnsi="Tahoma"/>
      <w:sz w:val="28"/>
      <w:lang w:eastAsia="ru-RU"/>
    </w:rPr>
  </w:style>
  <w:style w:type="character" w:styleId="2113" w:customStyle="1">
    <w:name w:val="Текст выноски Знак2"/>
    <w:uiPriority w:val="99"/>
    <w:semiHidden/>
    <w:rPr>
      <w:rFonts w:ascii="Tahoma" w:hAnsi="Tahoma"/>
      <w:sz w:val="16"/>
      <w:lang w:eastAsia="ru-RU"/>
    </w:rPr>
  </w:style>
  <w:style w:type="character" w:styleId="2114" w:customStyle="1">
    <w:name w:val="Без интервала Знак1"/>
    <w:uiPriority w:val="1"/>
    <w:rPr>
      <w:rFonts w:eastAsia="Times New Roman"/>
      <w:lang w:eastAsia="ru-RU"/>
    </w:rPr>
  </w:style>
  <w:style w:type="character" w:styleId="2115" w:customStyle="1">
    <w:name w:val="Верхний колонтитул Знак3"/>
    <w:uiPriority w:val="99"/>
    <w:rPr>
      <w:rFonts w:ascii="Times New Roman" w:hAnsi="Times New Roman"/>
      <w:sz w:val="24"/>
      <w:lang w:eastAsia="ru-RU"/>
    </w:rPr>
  </w:style>
  <w:style w:type="character" w:styleId="2116" w:customStyle="1">
    <w:name w:val="Нижний колонтитул Знак3"/>
    <w:uiPriority w:val="99"/>
    <w:rPr>
      <w:rFonts w:ascii="Times New Roman" w:hAnsi="Times New Roman"/>
      <w:sz w:val="24"/>
      <w:lang w:eastAsia="ru-RU"/>
    </w:rPr>
  </w:style>
  <w:style w:type="character" w:styleId="2117" w:customStyle="1">
    <w:name w:val="Основной текст Знак3"/>
    <w:semiHidden/>
    <w:rPr>
      <w:rFonts w:ascii="Times New Roman" w:hAnsi="Times New Roman"/>
      <w:sz w:val="20"/>
      <w:lang w:eastAsia="ru-RU"/>
    </w:rPr>
  </w:style>
  <w:style w:type="character" w:styleId="2118" w:customStyle="1">
    <w:name w:val="Основной текст 2 Знак1"/>
    <w:uiPriority w:val="99"/>
    <w:semiHidden/>
    <w:rPr>
      <w:rFonts w:ascii="Times New Roman" w:hAnsi="Times New Roman"/>
      <w:sz w:val="24"/>
      <w:lang w:eastAsia="ru-RU"/>
    </w:rPr>
  </w:style>
  <w:style w:type="character" w:styleId="2119" w:customStyle="1">
    <w:name w:val="Название объекта Знак1"/>
    <w:uiPriority w:val="35"/>
    <w:rPr>
      <w:rFonts w:ascii="Tahoma" w:hAnsi="Tahoma"/>
      <w:sz w:val="18"/>
      <w:lang w:eastAsia="ru-RU"/>
    </w:rPr>
  </w:style>
  <w:style w:type="paragraph" w:styleId="2120" w:customStyle="1">
    <w:name w:val="Список TAHOMA1"/>
    <w:basedOn w:val="2065"/>
    <w:pPr>
      <w:ind w:left="102" w:hanging="420"/>
    </w:pPr>
  </w:style>
  <w:style w:type="character" w:styleId="2121" w:customStyle="1">
    <w:name w:val="Список TAHOMA Знак1"/>
  </w:style>
  <w:style w:type="character" w:styleId="2122" w:customStyle="1">
    <w:name w:val="Подзаголовок Знак1"/>
    <w:rPr>
      <w:rFonts w:ascii="Arial" w:hAnsi="Arial" w:eastAsia="Times New Roman"/>
      <w:i/>
      <w:sz w:val="28"/>
      <w:lang w:eastAsia="ru-RU"/>
    </w:rPr>
  </w:style>
  <w:style w:type="paragraph" w:styleId="2123" w:customStyle="1">
    <w:name w:val="Char Char"/>
    <w:basedOn w:val="1072"/>
    <w:pPr>
      <w:jc w:val="center"/>
      <w:spacing w:after="160" w:line="240" w:lineRule="exact"/>
    </w:pPr>
    <w:rPr>
      <w:rFonts w:ascii="Verdana" w:hAnsi="Verdana"/>
      <w:sz w:val="28"/>
      <w:szCs w:val="20"/>
      <w:lang w:val="en-US"/>
    </w:rPr>
  </w:style>
  <w:style w:type="paragraph" w:styleId="2124" w:customStyle="1">
    <w:name w:val="Основной текст с отступом 22"/>
    <w:basedOn w:val="1072"/>
    <w:pPr>
      <w:ind w:firstLine="851"/>
      <w:jc w:val="both"/>
    </w:pPr>
    <w:rPr>
      <w:sz w:val="28"/>
      <w:szCs w:val="20"/>
    </w:rPr>
  </w:style>
  <w:style w:type="paragraph" w:styleId="2125" w:customStyle="1">
    <w:name w:val="Основной текст с отступом 23"/>
    <w:basedOn w:val="1072"/>
    <w:pPr>
      <w:ind w:firstLine="851"/>
      <w:jc w:val="both"/>
    </w:pPr>
    <w:rPr>
      <w:sz w:val="28"/>
      <w:szCs w:val="20"/>
    </w:rPr>
  </w:style>
  <w:style w:type="table" w:styleId="2126" w:customStyle="1">
    <w:name w:val="Сетка таблицы41"/>
    <w:basedOn w:val="1083"/>
    <w:next w:val="1248"/>
    <w:uiPriority w:val="59"/>
    <w:pPr>
      <w:spacing w:after="0" w:line="240" w:lineRule="auto"/>
    </w:pPr>
    <w:rPr>
      <w:rFonts w:ascii="Calibri" w:hAnsi="Calibri" w:eastAsia="Times New Roman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7" w:customStyle="1">
    <w:name w:val="Сетка таблицы51"/>
    <w:basedOn w:val="1083"/>
    <w:next w:val="1248"/>
    <w:uiPriority w:val="59"/>
    <w:pPr>
      <w:spacing w:after="0" w:line="240" w:lineRule="auto"/>
    </w:pPr>
    <w:rPr>
      <w:rFonts w:ascii="Calibri" w:hAnsi="Calibri" w:eastAsia="Times New Roman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8" w:customStyle="1">
    <w:name w:val="Сетка таблицы61"/>
    <w:basedOn w:val="1083"/>
    <w:next w:val="1248"/>
    <w:uiPriority w:val="59"/>
    <w:pPr>
      <w:spacing w:after="0" w:line="240" w:lineRule="auto"/>
    </w:pPr>
    <w:rPr>
      <w:rFonts w:ascii="Calibri" w:hAnsi="Calibri" w:eastAsia="Times New Roman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129" w:customStyle="1">
    <w:name w:val="Сетка таблицы71"/>
    <w:basedOn w:val="1083"/>
    <w:next w:val="1248"/>
    <w:uiPriority w:val="59"/>
    <w:pPr>
      <w:spacing w:after="0" w:line="240" w:lineRule="auto"/>
    </w:pPr>
    <w:rPr>
      <w:rFonts w:ascii="Calibri" w:hAnsi="Calibri" w:eastAsia="Times New Roman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130" w:customStyle="1">
    <w:name w:val="xl183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31" w:customStyle="1">
    <w:name w:val="xl184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2132" w:customStyle="1">
    <w:name w:val="xl185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4" w:space="0"/>
      </w:pBdr>
    </w:pPr>
    <w:rPr>
      <w:sz w:val="20"/>
      <w:szCs w:val="20"/>
    </w:rPr>
  </w:style>
  <w:style w:type="paragraph" w:styleId="2133" w:customStyle="1">
    <w:name w:val="xl186"/>
    <w:basedOn w:val="1072"/>
    <w:pPr>
      <w:jc w:val="center"/>
      <w:spacing w:before="100" w:beforeAutospacing="1" w:after="100" w:afterAutospacing="1"/>
      <w:pBdr>
        <w:top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2134" w:customStyle="1">
    <w:name w:val="xl187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8" w:space="0"/>
      </w:pBdr>
    </w:pPr>
    <w:rPr>
      <w:sz w:val="20"/>
      <w:szCs w:val="20"/>
    </w:rPr>
  </w:style>
  <w:style w:type="paragraph" w:styleId="2135" w:customStyle="1">
    <w:name w:val="xl188"/>
    <w:basedOn w:val="1072"/>
    <w:pPr>
      <w:jc w:val="center"/>
      <w:spacing w:before="100" w:beforeAutospacing="1" w:after="100" w:afterAutospacing="1"/>
      <w:pBdr>
        <w:bottom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2136" w:customStyle="1">
    <w:name w:val="xl189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37" w:customStyle="1">
    <w:name w:val="xl190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2138" w:customStyle="1">
    <w:name w:val="xl191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39" w:customStyle="1">
    <w:name w:val="xl192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8" w:space="0"/>
        <w:right w:val="single" w:color="auto" w:sz="4" w:space="0"/>
      </w:pBdr>
    </w:pPr>
    <w:rPr>
      <w:sz w:val="20"/>
      <w:szCs w:val="20"/>
    </w:rPr>
  </w:style>
  <w:style w:type="paragraph" w:styleId="2140" w:customStyle="1">
    <w:name w:val="xl193"/>
    <w:basedOn w:val="1072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bottom w:val="single" w:color="auto" w:sz="8" w:space="0"/>
      </w:pBdr>
    </w:pPr>
    <w:rPr>
      <w:b/>
      <w:bCs/>
      <w:sz w:val="28"/>
      <w:szCs w:val="28"/>
    </w:rPr>
  </w:style>
  <w:style w:type="paragraph" w:styleId="2141" w:customStyle="1">
    <w:name w:val="xl194"/>
    <w:basedOn w:val="1072"/>
    <w:pPr>
      <w:jc w:val="center"/>
      <w:spacing w:before="100" w:beforeAutospacing="1" w:after="100" w:afterAutospacing="1"/>
      <w:pBdr>
        <w:top w:val="single" w:color="auto" w:sz="8" w:space="0"/>
        <w:bottom w:val="single" w:color="auto" w:sz="8" w:space="0"/>
      </w:pBdr>
    </w:pPr>
    <w:rPr>
      <w:b/>
      <w:bCs/>
      <w:sz w:val="28"/>
      <w:szCs w:val="28"/>
    </w:rPr>
  </w:style>
  <w:style w:type="paragraph" w:styleId="2142" w:customStyle="1">
    <w:name w:val="xl195"/>
    <w:basedOn w:val="1072"/>
    <w:pPr>
      <w:jc w:val="center"/>
      <w:spacing w:before="100" w:beforeAutospacing="1" w:after="100" w:afterAutospacing="1"/>
      <w:pBdr>
        <w:top w:val="single" w:color="auto" w:sz="8" w:space="0"/>
        <w:bottom w:val="single" w:color="auto" w:sz="8" w:space="0"/>
        <w:right w:val="single" w:color="auto" w:sz="8" w:space="0"/>
      </w:pBdr>
    </w:pPr>
    <w:rPr>
      <w:b/>
      <w:bCs/>
      <w:sz w:val="28"/>
      <w:szCs w:val="28"/>
    </w:rPr>
  </w:style>
  <w:style w:type="paragraph" w:styleId="2143" w:customStyle="1">
    <w:name w:val="xl19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44" w:customStyle="1">
    <w:name w:val="xl1497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45" w:customStyle="1">
    <w:name w:val="xl1498"/>
    <w:basedOn w:val="107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46" w:customStyle="1">
    <w:name w:val="xl1499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47" w:customStyle="1">
    <w:name w:val="xl150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48" w:customStyle="1">
    <w:name w:val="xl1501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49" w:customStyle="1">
    <w:name w:val="xl150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50" w:customStyle="1">
    <w:name w:val="xl1503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51" w:customStyle="1">
    <w:name w:val="xl1504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52" w:customStyle="1">
    <w:name w:val="xl1505"/>
    <w:basedOn w:val="1072"/>
    <w:pPr>
      <w:jc w:val="center"/>
      <w:spacing w:before="100" w:beforeAutospacing="1" w:after="100" w:afterAutospacing="1"/>
      <w:shd w:val="clear" w:color="000000" w:fill="ffc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53" w:customStyle="1">
    <w:name w:val="xl1506"/>
    <w:basedOn w:val="1072"/>
    <w:pPr>
      <w:spacing w:before="100" w:beforeAutospacing="1" w:after="100" w:afterAutospacing="1"/>
    </w:pPr>
    <w:rPr>
      <w:sz w:val="20"/>
      <w:szCs w:val="20"/>
    </w:rPr>
  </w:style>
  <w:style w:type="paragraph" w:styleId="2154" w:customStyle="1">
    <w:name w:val="xl1507"/>
    <w:basedOn w:val="1072"/>
    <w:pPr>
      <w:spacing w:before="100" w:beforeAutospacing="1" w:after="100" w:afterAutospacing="1"/>
    </w:pPr>
    <w:rPr>
      <w:b/>
      <w:bCs/>
      <w:sz w:val="20"/>
      <w:szCs w:val="20"/>
    </w:rPr>
  </w:style>
  <w:style w:type="paragraph" w:styleId="2155" w:customStyle="1">
    <w:name w:val="xl1508"/>
    <w:basedOn w:val="1072"/>
    <w:pPr>
      <w:spacing w:before="100" w:beforeAutospacing="1" w:after="100" w:afterAutospacing="1"/>
    </w:pPr>
    <w:rPr>
      <w:sz w:val="20"/>
      <w:szCs w:val="20"/>
    </w:rPr>
  </w:style>
  <w:style w:type="paragraph" w:styleId="2156" w:customStyle="1">
    <w:name w:val="xl1509"/>
    <w:basedOn w:val="1072"/>
    <w:pPr>
      <w:spacing w:before="100" w:beforeAutospacing="1" w:after="100" w:afterAutospacing="1"/>
    </w:pPr>
    <w:rPr>
      <w:sz w:val="20"/>
      <w:szCs w:val="20"/>
    </w:rPr>
  </w:style>
  <w:style w:type="paragraph" w:styleId="2157" w:customStyle="1">
    <w:name w:val="xl1510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58" w:customStyle="1">
    <w:name w:val="xl1511"/>
    <w:basedOn w:val="1072"/>
    <w:pPr>
      <w:jc w:val="center"/>
      <w:spacing w:before="100" w:beforeAutospacing="1" w:after="100" w:afterAutospacing="1"/>
      <w:shd w:val="clear" w:color="000000" w:fill="ffc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59" w:customStyle="1">
    <w:name w:val="xl151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60" w:customStyle="1">
    <w:name w:val="xl1513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61" w:customStyle="1">
    <w:name w:val="xl1514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2162" w:customStyle="1">
    <w:name w:val="xl1515"/>
    <w:basedOn w:val="107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2163" w:customStyle="1">
    <w:name w:val="xl1494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64" w:customStyle="1">
    <w:name w:val="xl1495"/>
    <w:basedOn w:val="107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65" w:customStyle="1">
    <w:name w:val="xl1496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2166" w:customStyle="1">
    <w:name w:val="ДОК Титульник Должности"/>
    <w:basedOn w:val="1072"/>
    <w:pPr>
      <w:contextualSpacing/>
      <w:ind w:firstLine="709"/>
      <w:jc w:val="center"/>
      <w:keepLines/>
      <w:spacing w:line="360" w:lineRule="auto"/>
    </w:pPr>
    <w:rPr>
      <w:lang w:val="en-US"/>
    </w:rPr>
  </w:style>
  <w:style w:type="paragraph" w:styleId="2167" w:customStyle="1">
    <w:name w:val="0 уровень"/>
    <w:basedOn w:val="1073"/>
    <w:link w:val="2169"/>
    <w:qFormat/>
    <w:pPr>
      <w:numPr>
        <w:numId w:val="0"/>
      </w:numPr>
      <w:pageBreakBefore/>
    </w:pPr>
  </w:style>
  <w:style w:type="paragraph" w:styleId="2168" w:customStyle="1">
    <w:name w:val="4 уровень  (Заголовок 4)"/>
    <w:basedOn w:val="1072"/>
  </w:style>
  <w:style w:type="character" w:styleId="2169" w:customStyle="1">
    <w:name w:val="0 уровень Знак"/>
    <w:basedOn w:val="1233"/>
    <w:link w:val="2167"/>
    <w:rPr>
      <w:rFonts w:ascii="Liberation Serif" w:hAnsi="Liberation Serif"/>
      <w:b/>
      <w:sz w:val="28"/>
      <w:lang w:eastAsia="ru-RU"/>
    </w:rPr>
  </w:style>
  <w:style w:type="paragraph" w:styleId="2170" w:customStyle="1">
    <w:name w:val="xl1564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71" w:customStyle="1">
    <w:name w:val="xl1565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72" w:customStyle="1">
    <w:name w:val="xl1566"/>
    <w:basedOn w:val="1072"/>
    <w:pPr>
      <w:spacing w:before="100" w:beforeAutospacing="1" w:after="100" w:afterAutospacing="1"/>
    </w:pPr>
    <w:rPr>
      <w:sz w:val="16"/>
      <w:szCs w:val="16"/>
    </w:rPr>
  </w:style>
  <w:style w:type="paragraph" w:styleId="2173" w:customStyle="1">
    <w:name w:val="xl1567"/>
    <w:basedOn w:val="1072"/>
    <w:pPr>
      <w:spacing w:before="100" w:beforeAutospacing="1" w:after="100" w:afterAutospacing="1"/>
      <w:shd w:val="clear" w:color="000000" w:fill="808080"/>
    </w:pPr>
    <w:rPr>
      <w:sz w:val="16"/>
      <w:szCs w:val="16"/>
    </w:rPr>
  </w:style>
  <w:style w:type="paragraph" w:styleId="2174" w:customStyle="1">
    <w:name w:val="xl1568"/>
    <w:basedOn w:val="1072"/>
    <w:pPr>
      <w:spacing w:before="100" w:beforeAutospacing="1" w:after="100" w:afterAutospacing="1"/>
    </w:pPr>
    <w:rPr>
      <w:sz w:val="16"/>
      <w:szCs w:val="16"/>
    </w:rPr>
  </w:style>
  <w:style w:type="paragraph" w:styleId="2175" w:customStyle="1">
    <w:name w:val="xl1569"/>
    <w:basedOn w:val="107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76" w:customStyle="1">
    <w:name w:val="xl1570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77" w:customStyle="1">
    <w:name w:val="xl1571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178" w:customStyle="1">
    <w:name w:val="xl1572"/>
    <w:basedOn w:val="1072"/>
    <w:pPr>
      <w:spacing w:before="100" w:beforeAutospacing="1" w:after="100" w:afterAutospacing="1"/>
    </w:pPr>
    <w:rPr>
      <w:b/>
      <w:bCs/>
      <w:sz w:val="16"/>
      <w:szCs w:val="16"/>
    </w:rPr>
  </w:style>
  <w:style w:type="paragraph" w:styleId="2179" w:customStyle="1">
    <w:name w:val="xl1573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80" w:customStyle="1">
    <w:name w:val="xl1574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181" w:customStyle="1">
    <w:name w:val="xl1575"/>
    <w:basedOn w:val="1072"/>
    <w:pPr>
      <w:spacing w:before="100" w:beforeAutospacing="1" w:after="100" w:afterAutospacing="1"/>
    </w:pPr>
    <w:rPr>
      <w:b/>
      <w:bCs/>
      <w:sz w:val="16"/>
      <w:szCs w:val="16"/>
    </w:rPr>
  </w:style>
  <w:style w:type="character" w:styleId="2182" w:customStyle="1">
    <w:name w:val="ConsPlusNormal Знак"/>
    <w:link w:val="1414"/>
    <w:rPr>
      <w:rFonts w:eastAsia="Times New Roman"/>
      <w:szCs w:val="20"/>
      <w:lang w:eastAsia="ru-RU"/>
    </w:rPr>
  </w:style>
  <w:style w:type="paragraph" w:styleId="2183" w:customStyle="1">
    <w:name w:val="xl1576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84" w:customStyle="1">
    <w:name w:val="xl1577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85" w:customStyle="1">
    <w:name w:val="xl157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86" w:customStyle="1">
    <w:name w:val="xl1579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87" w:customStyle="1">
    <w:name w:val="xl1580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88" w:customStyle="1">
    <w:name w:val="xl1581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89" w:customStyle="1">
    <w:name w:val="xl1582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90" w:customStyle="1">
    <w:name w:val="xl41301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91" w:customStyle="1">
    <w:name w:val="xl41302"/>
    <w:basedOn w:val="1072"/>
    <w:pPr>
      <w:jc w:val="center"/>
      <w:spacing w:before="100" w:beforeAutospacing="1" w:after="100" w:afterAutospacing="1"/>
      <w:shd w:val="clear" w:color="000000" w:fill="ff00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92" w:customStyle="1">
    <w:name w:val="xl41303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193" w:customStyle="1">
    <w:name w:val="xl41304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94" w:customStyle="1">
    <w:name w:val="xl41305"/>
    <w:basedOn w:val="1072"/>
    <w:pPr>
      <w:jc w:val="center"/>
      <w:spacing w:before="100" w:beforeAutospacing="1" w:after="100" w:afterAutospacing="1"/>
    </w:pPr>
    <w:rPr>
      <w:b/>
      <w:bCs/>
      <w:sz w:val="16"/>
      <w:szCs w:val="16"/>
    </w:rPr>
  </w:style>
  <w:style w:type="paragraph" w:styleId="2195" w:customStyle="1">
    <w:name w:val="xl41306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196" w:customStyle="1">
    <w:name w:val="xl41307"/>
    <w:basedOn w:val="1072"/>
    <w:pPr>
      <w:jc w:val="center"/>
      <w:spacing w:before="100" w:beforeAutospacing="1" w:after="100" w:afterAutospacing="1"/>
    </w:pPr>
    <w:rPr>
      <w:b/>
      <w:bCs/>
      <w:sz w:val="16"/>
      <w:szCs w:val="16"/>
    </w:rPr>
  </w:style>
  <w:style w:type="paragraph" w:styleId="2197" w:customStyle="1">
    <w:name w:val="xl41308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198" w:customStyle="1">
    <w:name w:val="xl41309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199" w:customStyle="1">
    <w:name w:val="xl4131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00" w:customStyle="1">
    <w:name w:val="xl41311"/>
    <w:basedOn w:val="107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01" w:customStyle="1">
    <w:name w:val="xl41312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02" w:customStyle="1">
    <w:name w:val="xl41313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character" w:styleId="2203">
    <w:name w:val="Unresolved Mention"/>
    <w:basedOn w:val="1082"/>
    <w:uiPriority w:val="99"/>
    <w:semiHidden/>
    <w:unhideWhenUsed/>
    <w:rPr>
      <w:color w:val="605e5c"/>
      <w:shd w:val="clear" w:color="auto" w:fill="e1dfdd"/>
    </w:rPr>
  </w:style>
  <w:style w:type="paragraph" w:styleId="2204" w:customStyle="1">
    <w:name w:val="docdata"/>
    <w:basedOn w:val="1072"/>
    <w:pPr>
      <w:spacing w:before="100" w:beforeAutospacing="1" w:after="100" w:afterAutospacing="1"/>
    </w:pPr>
  </w:style>
  <w:style w:type="character" w:styleId="2205" w:customStyle="1">
    <w:name w:val="Раздел_character"/>
    <w:rPr>
      <w:rFonts w:ascii="Liberation Serif" w:hAnsi="Liberation Serif" w:eastAsia="Liberation Serif" w:cs="Liberation Serif"/>
      <w:sz w:val="28"/>
      <w:lang w:eastAsia="ru-RU"/>
    </w:rPr>
  </w:style>
  <w:style w:type="character" w:styleId="2206" w:customStyle="1">
    <w:name w:val="1.1_character"/>
    <w:rPr>
      <w:rFonts w:ascii="Liberation Serif" w:hAnsi="Liberation Serif" w:eastAsia="Liberation Serif" w:cs="Liberation Serif"/>
      <w:sz w:val="28"/>
    </w:rPr>
  </w:style>
  <w:style w:type="paragraph" w:styleId="2207" w:customStyle="1">
    <w:name w:val="1.1.1."/>
    <w:basedOn w:val="1245"/>
    <w:pPr>
      <w:numPr>
        <w:numId w:val="106"/>
      </w:numPr>
      <w:tabs>
        <w:tab w:val="left" w:pos="993" w:leader="none"/>
        <w:tab w:val="left" w:pos="1134" w:leader="none"/>
        <w:tab w:val="left" w:pos="1560" w:leader="none"/>
      </w:tabs>
    </w:pPr>
    <w:rPr>
      <w:rFonts w:eastAsia="Liberation Serif" w:cs="Liberation Serif"/>
      <w:color w:val="000000"/>
    </w:rPr>
  </w:style>
  <w:style w:type="paragraph" w:styleId="2208" w:customStyle="1">
    <w:name w:val="xl4127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209" w:customStyle="1">
    <w:name w:val="xl41279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210" w:customStyle="1">
    <w:name w:val="xl41280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11" w:customStyle="1">
    <w:name w:val="xl41281"/>
    <w:basedOn w:val="1072"/>
    <w:pPr>
      <w:jc w:val="center"/>
      <w:spacing w:before="100" w:beforeAutospacing="1" w:after="100" w:afterAutospacing="1"/>
    </w:pPr>
    <w:rPr>
      <w:b/>
      <w:bCs/>
      <w:sz w:val="16"/>
      <w:szCs w:val="16"/>
    </w:rPr>
  </w:style>
  <w:style w:type="paragraph" w:styleId="2212" w:customStyle="1">
    <w:name w:val="xl41282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213" w:customStyle="1">
    <w:name w:val="xl41283"/>
    <w:basedOn w:val="1072"/>
    <w:pPr>
      <w:jc w:val="center"/>
      <w:spacing w:before="100" w:beforeAutospacing="1" w:after="100" w:afterAutospacing="1"/>
    </w:pPr>
    <w:rPr>
      <w:b/>
      <w:bCs/>
      <w:sz w:val="16"/>
      <w:szCs w:val="16"/>
    </w:rPr>
  </w:style>
  <w:style w:type="paragraph" w:styleId="2214" w:customStyle="1">
    <w:name w:val="xl41284"/>
    <w:basedOn w:val="1072"/>
    <w:pPr>
      <w:jc w:val="center"/>
      <w:spacing w:before="100" w:beforeAutospacing="1" w:after="100" w:afterAutospacing="1"/>
    </w:pPr>
    <w:rPr>
      <w:sz w:val="16"/>
      <w:szCs w:val="16"/>
    </w:rPr>
  </w:style>
  <w:style w:type="paragraph" w:styleId="2215" w:customStyle="1">
    <w:name w:val="xl41285"/>
    <w:basedOn w:val="1072"/>
    <w:pPr>
      <w:jc w:val="center"/>
      <w:spacing w:before="100" w:beforeAutospacing="1" w:after="100" w:afterAutospacing="1"/>
    </w:pPr>
    <w:rPr>
      <w:b/>
      <w:bCs/>
      <w:sz w:val="16"/>
      <w:szCs w:val="16"/>
    </w:rPr>
  </w:style>
  <w:style w:type="paragraph" w:styleId="2216" w:customStyle="1">
    <w:name w:val="xl41286"/>
    <w:basedOn w:val="1072"/>
    <w:pPr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Liberation Serif" w:hAnsi="Liberation Serif"/>
      <w:color w:val="000000"/>
      <w:sz w:val="20"/>
      <w:szCs w:val="20"/>
    </w:rPr>
  </w:style>
  <w:style w:type="paragraph" w:styleId="2217" w:customStyle="1">
    <w:name w:val="xl41287"/>
    <w:basedOn w:val="107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Liberation Serif" w:hAnsi="Liberation Serif"/>
      <w:color w:val="000000"/>
      <w:sz w:val="20"/>
      <w:szCs w:val="20"/>
    </w:rPr>
  </w:style>
  <w:style w:type="paragraph" w:styleId="2218" w:customStyle="1">
    <w:name w:val="xl41288"/>
    <w:basedOn w:val="1072"/>
    <w:pPr>
      <w:jc w:val="center"/>
      <w:spacing w:before="100" w:beforeAutospacing="1" w:after="100" w:afterAutospacing="1"/>
      <w:shd w:val="clear" w:color="000000" w:fill="ffff00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219" w:customStyle="1">
    <w:name w:val="xl41289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220" w:customStyle="1">
    <w:name w:val="xl41290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21" w:customStyle="1">
    <w:name w:val="xl41291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22" w:customStyle="1">
    <w:name w:val="xl41292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23" w:customStyle="1">
    <w:name w:val="xl41293"/>
    <w:basedOn w:val="1072"/>
    <w:pPr>
      <w:jc w:val="center"/>
      <w:spacing w:before="100" w:beforeAutospacing="1" w:after="100" w:afterAutospacing="1"/>
      <w:shd w:val="clear" w:color="000000" w:fill="bfbfbf"/>
      <w:pBdr>
        <w:right w:val="single" w:color="auto" w:sz="4" w:space="0"/>
      </w:pBdr>
    </w:pPr>
    <w:rPr>
      <w:sz w:val="16"/>
      <w:szCs w:val="16"/>
    </w:rPr>
  </w:style>
  <w:style w:type="paragraph" w:styleId="2224" w:customStyle="1">
    <w:name w:val="xl41294"/>
    <w:basedOn w:val="1072"/>
    <w:pPr>
      <w:jc w:val="center"/>
      <w:spacing w:before="100" w:beforeAutospacing="1" w:after="100" w:afterAutospacing="1"/>
      <w:shd w:val="clear" w:color="000000" w:fill="bfbfb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25" w:customStyle="1">
    <w:name w:val="xl41295"/>
    <w:basedOn w:val="1072"/>
    <w:pPr>
      <w:jc w:val="center"/>
      <w:spacing w:before="100" w:beforeAutospacing="1" w:after="100" w:afterAutospacing="1"/>
      <w:shd w:val="clear" w:color="000000" w:fill="bfbfbf"/>
      <w:pBdr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2226" w:customStyle="1">
    <w:name w:val="xl41296"/>
    <w:basedOn w:val="107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16"/>
      <w:szCs w:val="16"/>
    </w:rPr>
  </w:style>
  <w:style w:type="paragraph" w:styleId="2227" w:customStyle="1">
    <w:name w:val="xl41297"/>
    <w:basedOn w:val="1072"/>
    <w:pPr>
      <w:jc w:val="center"/>
      <w:spacing w:before="100" w:beforeAutospacing="1" w:after="100" w:afterAutospacing="1"/>
      <w:shd w:val="clear" w:color="000000" w:fill="bfbfbf"/>
    </w:pPr>
    <w:rPr>
      <w:sz w:val="16"/>
      <w:szCs w:val="16"/>
    </w:rPr>
  </w:style>
  <w:style w:type="paragraph" w:styleId="2228" w:customStyle="1">
    <w:name w:val="xl41298"/>
    <w:basedOn w:val="107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Liberation Serif" w:hAnsi="Liberation Serif"/>
      <w:color w:val="000000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footer" Target="footer4.xml" /><Relationship Id="rId19" Type="http://schemas.openxmlformats.org/officeDocument/2006/relationships/footer" Target="footer5.xml" /><Relationship Id="rId20" Type="http://schemas.openxmlformats.org/officeDocument/2006/relationships/footer" Target="footer6.xml" /><Relationship Id="rId21" Type="http://schemas.openxmlformats.org/officeDocument/2006/relationships/footer" Target="footer7.xml" /><Relationship Id="rId22" Type="http://schemas.openxmlformats.org/officeDocument/2006/relationships/image" Target="media/image1.png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hyperlink" Target="https://base.garant.ru/70103066/67ed58225b4b05deea11771e0271c2f2/" TargetMode="External"/><Relationship Id="rId33" Type="http://schemas.openxmlformats.org/officeDocument/2006/relationships/image" Target="media/image11.jp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emf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Arial"/>
        <a:cs typeface="Arial"/>
      </a:majorFont>
      <a:minorFont>
        <a:latin typeface="Times New Roman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SAVage</dc:creator>
  <cp:revision>20</cp:revision>
  <dcterms:created xsi:type="dcterms:W3CDTF">2023-08-07T11:49:00Z</dcterms:created>
  <dcterms:modified xsi:type="dcterms:W3CDTF">2023-09-21T12:23:31Z</dcterms:modified>
</cp:coreProperties>
</file>