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line="240" w:lineRule="auto"/>
        <w:tabs>
          <w:tab w:val="left" w:pos="4253" w:leader="none"/>
          <w:tab w:val="left" w:pos="4820" w:leader="none"/>
          <w:tab w:val="left" w:pos="5387" w:leader="none"/>
        </w:tabs>
      </w:pPr>
      <w:r>
        <w:rPr>
          <w:rFonts w:ascii="Times New Roman" w:hAnsi="Times New Roma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8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/>
    </w:p>
    <w:p>
      <w:pPr>
        <w:pStyle w:val="848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41"/>
        <w:spacing w:line="240" w:lineRule="auto"/>
        <w:tabs>
          <w:tab w:val="left" w:pos="180" w:leader="none"/>
        </w:tabs>
        <w:rPr>
          <w:rFonts w:ascii="Liberation Serif" w:hAnsi="Liberation Serif" w:cs="Times New Roman"/>
          <w:b/>
          <w:bCs/>
        </w:rPr>
      </w:pPr>
      <w:r>
        <w:rPr>
          <w:rFonts w:ascii="Liberation Serif" w:hAnsi="Liberation Serif" w:cs="Times New Roman"/>
          <w:b/>
          <w:bCs/>
        </w:rPr>
        <w:t xml:space="preserve">ПОСТАНОВЛЕНИЕ</w:t>
      </w:r>
      <w:r/>
    </w:p>
    <w:p>
      <w:pPr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/>
          <w:color w:val="000000"/>
          <w:sz w:val="28"/>
          <w:szCs w:val="28"/>
        </w:rPr>
        <w:t xml:space="preserve">14» </w:t>
      </w:r>
      <w:r>
        <w:rPr>
          <w:rFonts w:ascii="Liberation Serif" w:hAnsi="Liberation Serif"/>
          <w:color w:val="000000"/>
          <w:sz w:val="28"/>
          <w:szCs w:val="28"/>
        </w:rPr>
        <w:t xml:space="preserve">сентября </w:t>
      </w:r>
      <w:r>
        <w:rPr>
          <w:rFonts w:ascii="Liberation Serif" w:hAnsi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/>
          <w:color w:val="000000"/>
          <w:sz w:val="28"/>
          <w:szCs w:val="28"/>
        </w:rPr>
        <w:t xml:space="preserve">23 </w:t>
      </w:r>
      <w:r>
        <w:rPr>
          <w:rFonts w:ascii="Liberation Serif" w:hAnsi="Liberation Serif"/>
          <w:color w:val="000000"/>
          <w:sz w:val="28"/>
          <w:szCs w:val="28"/>
        </w:rPr>
        <w:t xml:space="preserve">г.     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    </w:t>
      </w:r>
      <w:r>
        <w:rPr>
          <w:rFonts w:ascii="Liberation Serif" w:hAnsi="Liberation Serif"/>
          <w:color w:val="000000"/>
          <w:sz w:val="28"/>
          <w:szCs w:val="28"/>
        </w:rPr>
        <w:t xml:space="preserve"> №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316-П</w:t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</w:t>
      </w: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</w:t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внесении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изменений в муниципальную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программ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у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</w:t>
      </w:r>
      <w:r>
        <w:rPr>
          <w:rFonts w:ascii="Liberation Serif" w:hAnsi="Liberation Serif"/>
          <w:b/>
          <w:bCs/>
          <w:sz w:val="28"/>
          <w:szCs w:val="28"/>
        </w:rPr>
        <w:t xml:space="preserve">Основные направления развития культуры</w:t>
      </w:r>
      <w:r>
        <w:rPr>
          <w:rFonts w:ascii="Liberation Serif" w:hAnsi="Liberation Serif"/>
          <w:b/>
          <w:bCs/>
          <w:sz w:val="28"/>
          <w:szCs w:val="28"/>
        </w:rPr>
        <w:t xml:space="preserve">»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850"/>
        <w:contextualSpacing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решением Думы </w:t>
      </w: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 от </w:t>
      </w:r>
      <w:r>
        <w:rPr>
          <w:rFonts w:ascii="Liberation Serif" w:hAnsi="Liberation Serif"/>
          <w:sz w:val="28"/>
          <w:szCs w:val="28"/>
        </w:rPr>
        <w:t xml:space="preserve">04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июля</w:t>
      </w:r>
      <w:r>
        <w:rPr>
          <w:rFonts w:ascii="Liberation Serif" w:hAnsi="Liberation Serif"/>
          <w:sz w:val="28"/>
          <w:szCs w:val="28"/>
        </w:rPr>
        <w:t xml:space="preserve"> 2023 года № </w:t>
      </w:r>
      <w:r>
        <w:rPr>
          <w:rFonts w:ascii="Liberation Serif" w:hAnsi="Liberation Serif"/>
          <w:sz w:val="28"/>
          <w:szCs w:val="28"/>
        </w:rPr>
        <w:t xml:space="preserve">199</w:t>
      </w:r>
      <w:r>
        <w:rPr>
          <w:rFonts w:ascii="Liberation Serif" w:hAnsi="Liberation Serif"/>
          <w:sz w:val="28"/>
          <w:szCs w:val="28"/>
        </w:rPr>
        <w:t xml:space="preserve"> «О внесении изменений в решение Думы </w:t>
      </w: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 «О бюджете </w:t>
      </w: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 на 2023 год и на плановый период 2024 и 2025 годов»</w:t>
      </w:r>
      <w:r>
        <w:rPr>
          <w:rFonts w:ascii="Liberation Serif" w:hAnsi="Liberation Serif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постановлением Администрации </w:t>
      </w:r>
      <w:r>
        <w:rPr>
          <w:rFonts w:ascii="Liberation Serif" w:hAnsi="Liberation Serif"/>
          <w:sz w:val="28"/>
          <w:szCs w:val="28"/>
        </w:rPr>
        <w:t xml:space="preserve">Кр</w:t>
      </w:r>
      <w:r>
        <w:rPr>
          <w:rFonts w:ascii="Liberation Serif" w:hAnsi="Liberation Serif"/>
          <w:sz w:val="28"/>
          <w:szCs w:val="28"/>
        </w:rPr>
        <w:t xml:space="preserve">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 от 07 декабря </w:t>
      </w:r>
      <w:r>
        <w:rPr>
          <w:rFonts w:ascii="Liberation Serif" w:hAnsi="Liberation Serif"/>
          <w:sz w:val="28"/>
          <w:szCs w:val="28"/>
        </w:rPr>
        <w:t xml:space="preserve">2021</w:t>
      </w:r>
      <w:r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 xml:space="preserve"> № 51-П «О муниципальных программах муниципального округа Красноселькупский район Ямало-Ненецкого автономного округа», руководствуясь Уставом муниципального округа</w:t>
      </w:r>
      <w:r>
        <w:rPr>
          <w:rFonts w:ascii="Liberation Serif" w:hAnsi="Liberation Serif"/>
          <w:sz w:val="28"/>
          <w:szCs w:val="28"/>
        </w:rPr>
        <w:t xml:space="preserve"> Красноселькупский район Ямало-Ненецкого автономного округа, Администрация </w:t>
      </w: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постановляет:</w:t>
      </w:r>
      <w:r/>
    </w:p>
    <w:p>
      <w:pPr>
        <w:pStyle w:val="850"/>
        <w:numPr>
          <w:ilvl w:val="0"/>
          <w:numId w:val="1"/>
        </w:numPr>
        <w:ind w:left="0" w:firstLine="709"/>
        <w:jc w:val="both"/>
        <w:tabs>
          <w:tab w:val="num" w:pos="993" w:leader="none"/>
          <w:tab w:val="clear" w:pos="1639" w:leader="none"/>
        </w:tabs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Liberation Serif" w:hAnsi="Liberation Serif"/>
          <w:sz w:val="28"/>
          <w:szCs w:val="28"/>
        </w:rPr>
        <w:t xml:space="preserve">в муниципальную</w:t>
      </w:r>
      <w:r>
        <w:rPr>
          <w:rFonts w:ascii="Liberation Serif" w:hAnsi="Liberation Serif"/>
          <w:sz w:val="28"/>
          <w:szCs w:val="28"/>
        </w:rPr>
        <w:t xml:space="preserve"> программу</w:t>
      </w:r>
      <w:r>
        <w:rPr>
          <w:rFonts w:ascii="Liberation Serif" w:hAnsi="Liberation Serif"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«</w:t>
      </w:r>
      <w:r>
        <w:rPr>
          <w:rFonts w:ascii="Liberation Serif" w:hAnsi="Liberation Serif"/>
          <w:bCs/>
          <w:sz w:val="28"/>
          <w:szCs w:val="28"/>
        </w:rPr>
        <w:t xml:space="preserve">Основные направления развития культуры</w:t>
      </w:r>
      <w:r>
        <w:rPr>
          <w:rFonts w:ascii="Liberation Serif" w:hAnsi="Liberation Serif"/>
          <w:bCs/>
          <w:sz w:val="28"/>
          <w:szCs w:val="28"/>
        </w:rPr>
        <w:t xml:space="preserve">»</w:t>
      </w:r>
      <w:r>
        <w:rPr>
          <w:rFonts w:ascii="Liberation Serif" w:hAnsi="Liberation Serif"/>
          <w:bCs/>
          <w:sz w:val="28"/>
          <w:szCs w:val="28"/>
        </w:rPr>
        <w:t xml:space="preserve">, </w:t>
      </w:r>
      <w:r>
        <w:rPr>
          <w:rFonts w:ascii="Liberation Serif" w:hAnsi="Liberation Serif"/>
          <w:bCs/>
          <w:sz w:val="28"/>
          <w:szCs w:val="28"/>
        </w:rPr>
        <w:t xml:space="preserve">утвержденную постановлением</w:t>
      </w:r>
      <w:r>
        <w:rPr>
          <w:rFonts w:ascii="Liberation Serif" w:hAnsi="Liberation Serif"/>
          <w:bCs/>
          <w:sz w:val="28"/>
          <w:szCs w:val="28"/>
        </w:rPr>
        <w:t xml:space="preserve"> Администрации </w:t>
      </w:r>
      <w:r>
        <w:rPr>
          <w:rFonts w:ascii="Liberation Serif" w:hAnsi="Liberation Serif"/>
          <w:bCs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bCs/>
          <w:sz w:val="28"/>
          <w:szCs w:val="28"/>
        </w:rPr>
        <w:t xml:space="preserve"> района от 21 декабря 2021 года № 97-П.</w:t>
      </w:r>
      <w:r/>
    </w:p>
    <w:p>
      <w:pPr>
        <w:pStyle w:val="846"/>
        <w:numPr>
          <w:ilvl w:val="0"/>
          <w:numId w:val="1"/>
        </w:numPr>
        <w:ind w:left="0" w:firstLine="709"/>
        <w:jc w:val="both"/>
        <w:tabs>
          <w:tab w:val="num" w:pos="993" w:leader="none"/>
          <w:tab w:val="clear" w:pos="1639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bCs/>
          <w:color w:val="000000"/>
          <w:sz w:val="28"/>
          <w:szCs w:val="28"/>
        </w:rPr>
        <w:tab/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 и распространяет свое действие н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а правоотношения, возникшие с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07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июля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2023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года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.</w:t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Ю.В. Фишер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 w:clear="all"/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ind w:left="5103"/>
        <w:spacing w:after="0" w:line="240" w:lineRule="auto"/>
        <w:tabs>
          <w:tab w:val="left" w:pos="553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Приложение</w:t>
      </w:r>
      <w:r/>
    </w:p>
    <w:p>
      <w:pPr>
        <w:contextualSpacing/>
        <w:ind w:left="5103"/>
        <w:spacing w:after="0" w:line="240" w:lineRule="auto"/>
        <w:tabs>
          <w:tab w:val="left" w:pos="553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left="5103"/>
        <w:spacing w:after="0" w:line="240" w:lineRule="auto"/>
        <w:tabs>
          <w:tab w:val="left" w:pos="553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УТВЕРЖДЕНЫ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/>
    </w:p>
    <w:p>
      <w:pPr>
        <w:contextualSpacing/>
        <w:ind w:left="5103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/>
          <w:sz w:val="28"/>
          <w:szCs w:val="28"/>
        </w:rPr>
        <w:t xml:space="preserve"> района </w:t>
      </w:r>
      <w:r/>
    </w:p>
    <w:p>
      <w:pPr>
        <w:contextualSpacing/>
        <w:ind w:left="5103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</w:t>
      </w:r>
      <w:r>
        <w:rPr>
          <w:rFonts w:ascii="Liberation Serif" w:hAnsi="Liberation Serif" w:cs="Times New Roman"/>
          <w:sz w:val="28"/>
          <w:szCs w:val="28"/>
        </w:rPr>
        <w:t xml:space="preserve"> «14</w:t>
      </w:r>
      <w:r>
        <w:rPr>
          <w:rFonts w:ascii="Liberation Serif" w:hAnsi="Liberation Serif" w:cs="Times New Roman"/>
          <w:sz w:val="28"/>
          <w:szCs w:val="28"/>
        </w:rPr>
        <w:t xml:space="preserve">» </w:t>
      </w:r>
      <w:r>
        <w:rPr>
          <w:rFonts w:ascii="Liberation Serif" w:hAnsi="Liberation Serif" w:cs="Times New Roman"/>
          <w:sz w:val="28"/>
          <w:szCs w:val="28"/>
        </w:rPr>
        <w:t xml:space="preserve">сентября </w:t>
      </w:r>
      <w:r>
        <w:rPr>
          <w:rFonts w:ascii="Liberation Serif" w:hAnsi="Liberation Serif" w:cs="Times New Roman"/>
          <w:sz w:val="28"/>
          <w:szCs w:val="28"/>
        </w:rPr>
        <w:t xml:space="preserve">202</w:t>
      </w:r>
      <w:r>
        <w:rPr>
          <w:rFonts w:ascii="Liberation Serif" w:hAnsi="Liberation Serif" w:cs="Times New Roman"/>
          <w:sz w:val="28"/>
          <w:szCs w:val="28"/>
        </w:rPr>
        <w:t xml:space="preserve">3</w:t>
      </w:r>
      <w:r>
        <w:rPr>
          <w:rFonts w:ascii="Liberation Serif" w:hAnsi="Liberation Serif" w:cs="Times New Roman"/>
          <w:sz w:val="28"/>
          <w:szCs w:val="28"/>
        </w:rPr>
        <w:t xml:space="preserve"> года № </w:t>
      </w:r>
      <w:r>
        <w:rPr>
          <w:rFonts w:ascii="Liberation Serif" w:hAnsi="Liberation Serif" w:cs="Times New Roman"/>
          <w:sz w:val="28"/>
          <w:szCs w:val="28"/>
        </w:rPr>
        <w:t xml:space="preserve">316-П</w:t>
      </w:r>
      <w:r/>
    </w:p>
    <w:p>
      <w:pPr>
        <w:contextualSpacing/>
        <w:ind w:left="5103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contextualSpacing/>
        <w:ind w:left="5103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ИЗМЕНЕНИЯ</w:t>
      </w:r>
      <w:r>
        <w:rPr>
          <w:rFonts w:ascii="Liberation Serif" w:hAnsi="Liberation Serif" w:cs="Times New Roman"/>
          <w:b/>
          <w:sz w:val="28"/>
          <w:szCs w:val="28"/>
        </w:rPr>
        <w:t xml:space="preserve">, 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которые вносятся </w:t>
      </w:r>
      <w:r>
        <w:rPr>
          <w:rFonts w:ascii="Liberation Serif" w:hAnsi="Liberation Serif" w:cs="Times New Roman"/>
          <w:sz w:val="28"/>
          <w:szCs w:val="28"/>
        </w:rPr>
        <w:t xml:space="preserve">в муниципальную</w:t>
      </w:r>
      <w:r>
        <w:rPr>
          <w:rFonts w:ascii="Liberation Serif" w:hAnsi="Liberation Serif" w:cs="Times New Roman"/>
          <w:sz w:val="28"/>
          <w:szCs w:val="28"/>
        </w:rPr>
        <w:t xml:space="preserve"> программу муниципального округа Красноселькупский район Ямало-Ненецкого автономного округа «Основные направления развития культуры»</w:t>
      </w:r>
      <w:r>
        <w:rPr>
          <w:rFonts w:ascii="Liberation Serif" w:hAnsi="Liberation Serif" w:cs="Times New Roman"/>
          <w:sz w:val="28"/>
          <w:szCs w:val="28"/>
        </w:rPr>
        <w:t xml:space="preserve">, утвержденную постановлением Администрации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/>
          <w:sz w:val="28"/>
          <w:szCs w:val="28"/>
        </w:rPr>
        <w:t xml:space="preserve"> района от 21 декабря 2021 года № 97-П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284" w:leader="none"/>
          <w:tab w:val="left" w:pos="709" w:leader="none"/>
          <w:tab w:val="left" w:pos="993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Раздел «Финансовое обеспечение муниципальной программы»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паспорта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муниципального округа Красноселькупский район Ямало-Ненецкого автономного округа «Основные направления развития культуры»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изложить</w:t>
      </w:r>
      <w:r>
        <w:rPr>
          <w:rFonts w:ascii="Liberation Serif" w:hAnsi="Liberation Serif" w:cs="Times New Roman"/>
          <w:sz w:val="28"/>
          <w:szCs w:val="28"/>
        </w:rPr>
        <w:t xml:space="preserve"> в следующей редакции: </w:t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</w:t>
      </w:r>
      <w:r/>
    </w:p>
    <w:tbl>
      <w:tblPr>
        <w:tblW w:w="96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10"/>
        <w:gridCol w:w="2976"/>
        <w:gridCol w:w="2268"/>
      </w:tblGrid>
      <w:tr>
        <w:trPr>
          <w:trHeight w:val="274"/>
        </w:trPr>
        <w:tc>
          <w:tcPr>
            <w:gridSpan w:val="3"/>
            <w:shd w:val="clear" w:color="000000" w:fill="ffffff"/>
            <w:tcW w:w="96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1 688 553,205</w:t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1 498,593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31 614,407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41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1 655 440,205</w:t>
            </w:r>
            <w:r/>
          </w:p>
        </w:tc>
      </w:tr>
      <w:tr>
        <w:trPr>
          <w:trHeight w:val="364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411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I этап реализации 2022-2025 годы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1 688 553,205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1 498,593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31 614,407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41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1 655 440,205</w:t>
            </w:r>
            <w:r/>
          </w:p>
        </w:tc>
      </w:tr>
      <w:tr>
        <w:trPr>
          <w:trHeight w:val="305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- в том числе по годам: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4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2022 год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383 810,498</w:t>
            </w:r>
            <w:r/>
          </w:p>
        </w:tc>
      </w:tr>
      <w:tr>
        <w:trPr>
          <w:trHeight w:val="300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6,626</w:t>
            </w:r>
            <w:r/>
          </w:p>
        </w:tc>
      </w:tr>
      <w:tr>
        <w:trPr>
          <w:trHeight w:val="300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18 489,374</w:t>
            </w:r>
            <w:r/>
          </w:p>
        </w:tc>
      </w:tr>
      <w:tr>
        <w:trPr>
          <w:trHeight w:val="300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365 314,498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4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2023 год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460 695,707</w:t>
            </w:r>
            <w:r/>
          </w:p>
        </w:tc>
      </w:tr>
      <w:tr>
        <w:trPr>
          <w:trHeight w:val="300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1 479,967</w:t>
            </w:r>
            <w:r/>
          </w:p>
        </w:tc>
      </w:tr>
      <w:tr>
        <w:trPr>
          <w:trHeight w:val="300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11 701,033</w:t>
            </w:r>
            <w:r/>
          </w:p>
        </w:tc>
      </w:tr>
      <w:tr>
        <w:trPr>
          <w:trHeight w:val="300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W w:w="2268" w:type="dxa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447 514,707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4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2024 год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422 073</w:t>
            </w: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00</w:t>
            </w:r>
            <w:r/>
          </w:p>
        </w:tc>
      </w:tr>
      <w:tr>
        <w:trPr>
          <w:trHeight w:val="315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12,000</w:t>
            </w:r>
            <w:r/>
          </w:p>
        </w:tc>
      </w:tr>
      <w:tr>
        <w:trPr>
          <w:trHeight w:val="315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756,000</w:t>
            </w:r>
            <w:r/>
          </w:p>
        </w:tc>
      </w:tr>
      <w:tr>
        <w:trPr>
          <w:trHeight w:val="300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421 305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4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2025 год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421 973</w:t>
            </w: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00</w:t>
            </w:r>
            <w:r/>
          </w:p>
        </w:tc>
      </w:tr>
      <w:tr>
        <w:trPr>
          <w:trHeight w:val="315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668,000</w:t>
            </w:r>
            <w:r/>
          </w:p>
        </w:tc>
      </w:tr>
      <w:tr>
        <w:trPr>
          <w:trHeight w:val="315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421 305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Объём налоговых расходов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  <w:t xml:space="preserve">».</w:t>
      </w:r>
      <w:r>
        <w:rPr>
          <w:rFonts w:ascii="Liberation Serif" w:hAnsi="Liberation Serif"/>
          <w:sz w:val="28"/>
          <w:szCs w:val="28"/>
        </w:rPr>
      </w:r>
      <w:r/>
    </w:p>
    <w:p>
      <w:pPr>
        <w:ind w:left="-115" w:firstLine="709"/>
        <w:jc w:val="both"/>
        <w:spacing w:after="0" w:line="240" w:lineRule="auto"/>
        <w:tabs>
          <w:tab w:val="left" w:pos="1019" w:leader="none"/>
        </w:tabs>
      </w:pP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Структуру муниципальной программы муниципального округа Красноселькупский район Ямало-Ненецкого автономного округа «Основные направления развития культуры»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</w:r>
      <w:r/>
    </w:p>
    <w:p>
      <w:pPr>
        <w:ind w:left="-108" w:firstLine="866"/>
        <w:jc w:val="both"/>
        <w:spacing w:after="0" w:line="240" w:lineRule="auto"/>
        <w:tabs>
          <w:tab w:val="left" w:pos="616" w:leader="none"/>
          <w:tab w:val="left" w:pos="885" w:leader="none"/>
        </w:tabs>
        <w:rPr>
          <w:rFonts w:ascii="Liberation Serif" w:hAnsi="Liberation Serif" w:eastAsia="Times New Roman" w:cs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</w:r>
      <w:r/>
    </w:p>
    <w:p>
      <w:pPr>
        <w:ind w:left="-108" w:firstLine="866"/>
        <w:jc w:val="both"/>
        <w:spacing w:after="0" w:line="240" w:lineRule="auto"/>
        <w:tabs>
          <w:tab w:val="left" w:pos="616" w:leader="none"/>
          <w:tab w:val="left" w:pos="885" w:leader="none"/>
        </w:tabs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highlight w:val="none"/>
          <w:lang w:eastAsia="ru-RU"/>
        </w:rPr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highlight w:val="none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</w:t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color w:val="000000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  <w:t xml:space="preserve">муниципальной программы  муниципального округа Красноселькупский район </w:t>
      </w:r>
      <w:r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color w:val="000000"/>
          <w:sz w:val="24"/>
          <w:szCs w:val="24"/>
          <w:highlight w:val="none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  <w:t xml:space="preserve">Ямало-Ненецкого автономного округа</w:t>
      </w:r>
      <w:r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4"/>
          <w:szCs w:val="24"/>
          <w:highlight w:val="none"/>
          <w:lang w:eastAsia="ru-RU"/>
        </w:rPr>
      </w:r>
      <w:r>
        <w:rPr>
          <w:rFonts w:ascii="Liberation Serif" w:hAnsi="Liberation Serif" w:eastAsia="Times New Roman" w:cs="Times New Roman"/>
          <w:color w:val="000000"/>
          <w:sz w:val="24"/>
          <w:szCs w:val="24"/>
          <w:highlight w:val="none"/>
          <w:lang w:eastAsia="ru-RU"/>
        </w:rPr>
      </w:r>
      <w:r/>
    </w:p>
    <w:p>
      <w:pPr>
        <w:jc w:val="right"/>
        <w:spacing w:after="0" w:line="240" w:lineRule="auto"/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  <w:t xml:space="preserve">тыс. рублей</w:t>
      </w: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tbl>
      <w:tblPr>
        <w:tblW w:w="1488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280"/>
        <w:gridCol w:w="1540"/>
        <w:gridCol w:w="1960"/>
        <w:gridCol w:w="1985"/>
        <w:gridCol w:w="1843"/>
        <w:gridCol w:w="2554"/>
      </w:tblGrid>
      <w:tr>
        <w:trPr>
          <w:trHeight w:val="1575"/>
          <w:tblHeader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/п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 за I этап/ единицы измерения показателя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2022 год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2023 год 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2024 год 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2025 год 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315"/>
          <w:tblHeader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7</w:t>
            </w:r>
            <w:r>
              <w:rPr>
                <w:b/>
                <w:bCs/>
                <w:sz w:val="22"/>
                <w:szCs w:val="22"/>
              </w:rPr>
            </w:r>
            <w:r/>
          </w:p>
        </w:tc>
      </w:tr>
      <w:tr>
        <w:trPr>
          <w:trHeight w:val="78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Муниципальная программа  муниципального округа Красноселькупский район Ямало-Ненецкого автономного округа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"Основные направления развития культуры "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Цель муниципальной программы  муниципального округа Красноселькупский район Ямало-Ненецкого автономного округа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"Наиболее полное удовлетворение растущих и изменяющихся культурных запросов, и нужд населения муниципального округа Красноселькупский район"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17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1.1. Соотношение средней заработной платы работников учреждений культуры и средней заработной платы в автономном округе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1.1.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0,68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0,52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0,52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0,52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2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1.2. Соотношение средней заработной платы педагогических работников дополнительного образования детей и средней заработной платы в автономном округе;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1.2.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0,32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0,25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0,25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0,25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1.3 Число посещений мероприятий организаций культуры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Тыс.ед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262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262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262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1.3.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0,23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9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1 688 553,205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383 810,498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460 695,707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422 073,500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421 973,500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счёт федерального бюджета (при наличии)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1 498,593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6,626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1 479,967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12,000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счет окружного бюджета (при наличии)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31 614,407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18 489,374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11 701,033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756,000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668,000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счет местного бюджета 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1 655 440,205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365 314,498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447 514,707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421 305,500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421 305,500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внебюджетные источники (при наличии, справочно)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Направление 1 ««Сохранение культурного наследия, развитие библиотечного и музейного дела, информационно-аналитическое обеспечение отрасли в муниципальном округе Красноселькупский район»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направления 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0,13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Комплекс процессных мероприятий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1.Количество посещений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26000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28000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28000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28000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2. Охват населения услугами библиотек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3. Число зарегистрированных пользователей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Человек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3220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3220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3220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3220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0,03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4. Число посетителей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Человек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3780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3827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3827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3827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5. Участие в выездных мероприятиях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6.Количество экземпляров поступлений в библиотечные фонды библиотек на 1 тыс. человек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Тыс. ед.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7. Доля библиотечного фонда, занесенного в электронный каталог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№26. Количество посещений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организаций культуры по отношению к уровню 2017 года (в части посещений библиотек)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107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26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27. Количество созданных виртуальных туров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27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28. Доля финансовых средств, реализованных по целевому назначению в отчетном году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28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70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32. Проведены мероприятия по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комплектованию книжных фондов библиотек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муниципальных образований и государственных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общедоступных библиотек субъектов Российской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Федерации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32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1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33. Показатель № 33. Оказана государственная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поддержка лучшим работникам сельских учреждений культуры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Человек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5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33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Комплекс процессных мероприятий № 1. "Развитие библиотечного и музейного дела", в том числе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228 851,800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51 101,000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59 903,800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58 973,500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58 873,500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счёт федерального бюджета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79,731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6,626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61,105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12,000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счет окружного бюджета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225,269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48,374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88,895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88,000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счет местного бюджета 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228 546,800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51 046,000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59 753,800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58 873,500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58 873,500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Проектная часть "Региональный проект "Культурная среда" "А"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№8.Количество муниципальных библиотек, переоснащенных по модельному стандарту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"Региональный проект "Культурная среда" "А", в том числе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3 031,000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3 031,000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счет окружного бюджета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3 000,000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3 000,000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счет местного бюджета 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31,000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31,000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45"/>
        </w:trPr>
        <w:tc>
          <w:tcPr>
            <w:gridSpan w:val="7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Направление 2 «Поддержка творческих инициатив, развитие профессионального искусства и народного творчества в муниципальном округе Красноселькупский район»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направления 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0,65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0,68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0,67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0,67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Комплекс процессных мероприятий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9. Количество человеко-часов по дополнительным предпрофессиональным программам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Чел-час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95 938,0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92 354,5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92 354,5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92 354,5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10. Количество человеко-часов по дополнительным общеразвивающим программам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Чел-час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22 915,0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19 590,0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19 590,0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19 590,0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10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0,16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№11. Доля лауреатов и дипломантов от числа обучающихся в образовательных учреждениях культуры и искусства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11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12. Количество учреждений, которым положена субсидия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12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29. Количество выездных конкурсов и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в которых было принято участие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29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0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30. Доля финансовых средств, реализованных по целевому назначению в отчетном году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30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53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Комплекс процессных мероприятий №2. Комплекс процессных мероприятий "Развитие дополнительного образования, профессионального искусства и адресная поддержка деятелей культуры и искусства", в том числе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444 729,561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103 427,829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116 247,732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112 527,000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112 527,000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99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счет местного бюджета 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444 729,561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103 427,829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116 247,732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112 527,000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112 527,000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8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13. Количество проведенных культурно-массовых мероприятий, фестивалей, праздников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34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13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4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14.Количество участников клубных формирований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Человек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381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381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381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381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71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14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15. Количество клубных формирований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37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15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57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16..Количество проведенных мероприятий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144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144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144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144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16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17 Доля финансовых средств, реализованных по целевому назначению в отчетном году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17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18. Количество учреждений, которым положена субсидия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18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Показатель № 19. Доля лауреатов от общего количества участников районных мероприятий-10%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10,0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10,0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10,0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10,0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Весовое значение показателя 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Показатель № 20.  Прирост посещений культурно-массовых мероприятий клубов и домов культуры составляет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110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102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102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102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Весовое значение показателя 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Показатель № 31. Количество выездных конкурсов и </w:t>
            </w: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мероприятий</w:t>
            </w: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 в которых было принято участие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Единиц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Весовое значение показателя 31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83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Комплекс процессных мероприятий № 3. Комплекс процессных мероприятий "Развитие народного творчества, народных художественных промыслов и ремёсел, в том числе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665 199,160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143 707,985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185 087,175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168 202,000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168 202,000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счет окружного бюджета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15 215,000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15 215,000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счет местного бюджета 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649 984,160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128 492,985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185 087,175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168 202,000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168 202,000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Проектная часть "Региональный проект "Культурная среда" "А"   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30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 21.Оснащены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21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89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Региональный проект "Культурная среда" "А", в том числе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11 339,000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11 339,000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счёт федерального бюджета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1 418,862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1 418,862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счет окружного бюджета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9 693,138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9 693,138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счет местного бюджета 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227,000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227,000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80"/>
        </w:trPr>
        <w:tc>
          <w:tcPr>
            <w:gridSpan w:val="7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Направление 3 «Обеспечение реализации муниципальной программы»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направления 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0,19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94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Комплекс процессных мероприятий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№22. Укомплектованность кадрами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534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№23. Доля своевременно выполненных мероприятий, направленных на обеспечение эффективного функционирования структурных подразделений УК и МП от общего количества плановых необходимых мероприятий.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0,09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№24. Доля обращений граждан, рассмотренных в установленные законодательством сроки, от общего количества обращений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24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0,09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Комплекс процессных мероприятий №4. "Руководство и управление в сфере установленных функций органов местного самоуправления", в том числе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333 172,684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82 316,684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87 450,000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81 703,000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81 703,000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счет окружного бюджета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1 251,000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1 251,000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счет местного бюджета 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331 921,684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82 316,684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86 199,000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81 703,000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81 703,000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gridSpan w:val="7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Направление 4 «Обеспечение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 социальной поддержки работников сферы культуры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в муниципальном округе Красноселькупский район»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направления 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105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6"/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16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Комплекс процессных мероприятий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05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Показатель №25.Доля работников муниципальных учреждений культуры и искусства и дополнительного образования в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Красноселькупском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муниципальном округе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в отношении которых были осуществлены меры социальной поддержки от общего числа работников, имеющих право на получение соответствующих выплат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Весовое значение показателя 25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0,01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108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Комплекс процессных мероприятий № 5. "Меры социальной поддержки работникам муниципальных организаций", в том числе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2 230,000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226,000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668,000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668,000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668,000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28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счет окружного бюджета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2 230,000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226,000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668,000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668,000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668,000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15"/>
        </w:trPr>
        <w:tc>
          <w:tcPr>
            <w:gridSpan w:val="7"/>
            <w:shd w:val="clear" w:color="000000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88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Направление 5 «Строительство объектов культуры в муниципальном округе Красноселькупский район»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ind w:right="-31"/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/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  <w:sectPr>
          <w:footnotePr/>
          <w:endnotePr/>
          <w:type w:val="nextPage"/>
          <w:pgSz w:w="16838" w:h="11906" w:orient="landscape"/>
          <w:pgMar w:top="1134" w:right="82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ind w:firstLine="594"/>
        <w:jc w:val="both"/>
        <w:spacing w:after="0" w:line="240" w:lineRule="auto"/>
        <w:tabs>
          <w:tab w:val="left" w:pos="594" w:leader="none"/>
        </w:tabs>
      </w:pP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3.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Приложение № 1 к муниципальной программе муниципального округа Красноселькупский район Ямало-Ненецкого автономного округа «Основные направления развития культуры» изложить в следующей редакции: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color w:val="000000"/>
          <w:lang w:eastAsia="ru-RU"/>
        </w:rPr>
      </w:pPr>
      <w:r>
        <w:rPr>
          <w:rFonts w:ascii="Liberation Serif" w:hAnsi="Liberation Serif" w:eastAsia="Times New Roman" w:cs="Times New Roman"/>
          <w:b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erif" w:hAnsi="Liberation Serif"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contextualSpacing/>
        <w:ind w:left="5953" w:right="0" w:firstLine="0"/>
        <w:spacing w:after="0" w:afterAutospacing="0" w:line="17" w:lineRule="atLeast"/>
        <w:rPr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Приложение № 1</w:t>
      </w:r>
      <w:r>
        <w:rPr>
          <w:sz w:val="28"/>
          <w:szCs w:val="28"/>
        </w:rPr>
      </w:r>
      <w:r/>
    </w:p>
    <w:p>
      <w:pPr>
        <w:contextualSpacing/>
        <w:ind w:left="5953" w:right="0" w:firstLine="0"/>
        <w:spacing w:after="0" w:afterAutospacing="0" w:line="17" w:lineRule="atLeas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муниципальной программе 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left="5953" w:right="0" w:firstLine="0"/>
        <w:spacing w:after="0" w:afterAutospacing="0" w:line="17" w:lineRule="atLeas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</w:t>
      </w:r>
      <w:r>
        <w:rPr>
          <w:rFonts w:ascii="Liberation Serif" w:hAnsi="Liberation Serif" w:cs="Times New Roman"/>
          <w:sz w:val="28"/>
          <w:szCs w:val="28"/>
        </w:rPr>
        <w:t xml:space="preserve">Основные направления 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left="5953" w:right="0" w:firstLine="0"/>
        <w:spacing w:after="0" w:afterAutospacing="0" w:line="17" w:lineRule="atLeas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развития культ</w:t>
      </w:r>
      <w:r>
        <w:rPr>
          <w:rFonts w:ascii="Liberation Serif" w:hAnsi="Liberation Serif" w:cs="Times New Roman"/>
          <w:sz w:val="28"/>
          <w:szCs w:val="28"/>
        </w:rPr>
        <w:t xml:space="preserve">уры»</w:t>
      </w:r>
      <w:r>
        <w:rPr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color w:val="000000"/>
          <w:sz w:val="28"/>
          <w:szCs w:val="28"/>
        </w:rPr>
      </w:pPr>
      <w:r>
        <w:rPr>
          <w:rFonts w:ascii="Liberation Serif" w:hAnsi="Liberation Serif" w:eastAsia="Times New Roman" w:cs="Times New Roman"/>
          <w:b/>
          <w:bCs/>
          <w:color w:val="000000"/>
          <w:sz w:val="28"/>
          <w:szCs w:val="28"/>
          <w:lang w:eastAsia="ru-RU"/>
        </w:rPr>
        <w:t xml:space="preserve">ХАРАКТЕРИСТИКА МЕРОПРИЯТИЙ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color w:val="000000"/>
          <w:sz w:val="28"/>
          <w:szCs w:val="28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муниципальной программы муниципального округа Красноселькупский район Ямало-Ненецкого автономного округа</w:t>
      </w:r>
      <w:r>
        <w:rPr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lang w:eastAsia="ru-RU"/>
        </w:rPr>
        <w:t xml:space="preserve">Основные направления развития культуры </w:t>
      </w:r>
      <w:r>
        <w:rPr>
          <w:b w:val="0"/>
          <w:bCs w:val="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b w:val="0"/>
          <w:bCs w:val="0"/>
          <w:sz w:val="28"/>
          <w:szCs w:val="28"/>
        </w:rPr>
      </w:pP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</w:rPr>
      </w:r>
      <w:r>
        <w:rPr>
          <w:rFonts w:ascii="Liberation Serif" w:hAnsi="Liberation Serif" w:eastAsia="Times New Roman" w:cs="Times New Roman"/>
          <w:b w:val="0"/>
          <w:bCs w:val="0"/>
          <w:sz w:val="28"/>
          <w:szCs w:val="28"/>
          <w:highlight w:val="none"/>
          <w:lang w:eastAsia="ru-RU"/>
        </w:rPr>
      </w:r>
      <w:r/>
    </w:p>
    <w:tbl>
      <w:tblPr>
        <w:tblStyle w:val="883"/>
        <w:tblW w:w="0" w:type="auto"/>
        <w:tblLayout w:type="fixed"/>
        <w:tblLook w:val="04A0" w:firstRow="1" w:lastRow="0" w:firstColumn="1" w:lastColumn="0" w:noHBand="0" w:noVBand="1"/>
      </w:tblPr>
      <w:tblGrid>
        <w:gridCol w:w="1988"/>
        <w:gridCol w:w="2365"/>
        <w:gridCol w:w="2490"/>
        <w:gridCol w:w="2762"/>
      </w:tblGrid>
      <w:tr>
        <w:trPr>
          <w:tblHeader/>
        </w:trPr>
        <w:tc>
          <w:tcPr>
            <w:tcW w:w="1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№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п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/п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3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Наименование комплекса процессных мероприятий, регионального проекта (проекта Ямала, проекта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района), ответственного исполнителя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Характеристика (состав) мероприятия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Результат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>
          <w:tblHeader/>
        </w:trPr>
        <w:tc>
          <w:tcPr>
            <w:tcW w:w="1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36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4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1 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gridSpan w:val="3"/>
            <w:tcW w:w="76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Направление 1 «Сохранение культурного наследия, развитие библиотечного и музейного дела, информационно-аналитическое обеспечение отрасли в муниципальном округе Красноселькупский район»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4"/>
            <w:tcW w:w="960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Комплекс процессных мероприятий "Развитие библиотечного и музейного дела"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36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2"/>
                <w:szCs w:val="22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района; 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Участники: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МУК «Централизованная библиотечная система», МУК «Красноселькупский районный краеведческий музей»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1.1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Субсидия бюджетному учреждению МУК "Централизованная библиотечная система"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В результате финансирования мероприятия в 2022 году объем муниципальной  услуги выполнен в размере 26448 ед. посещений, а в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2023 году  планируется достичь не менее 28 000 ед. посещений; охват населения услугами библиотеки в 2022 году составил 59,3%, план на 2023 год 55%; число зарегистрированных пользователей в 2022 году составило 3372 человека, план на 2023 год 3 220 человек;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исполнение дополнительного целевого финансирования в 2022 году составляет 100%, а в 2023 году планируется на  уровне не ниже 95%.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1.2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Субсидия бюджетному учреждению МУК "Красноселькупский районный краеведческий музей" (субсидия на выполнение муниципального задания)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В результате финансирования мероприятия в 2022 году объем муниципальной  услуги выполнен в размере 3756 чел., в 2023 году планирует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ся достичь числа посетителей в количестве 3827 чел.; исполнение дополнительного целевого финансирования в 2022 году составляет 100%, а в 2023 году планируется на  уровне не ниже 95%; количество созданных виртуальных туров на конец 2022 года составило 1 ед.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1.3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Презентация музеев автономного округа на всероссийских музейных фестивалях, конкурсах. Культурный обмен между музеями автономного округа, Российской Федерации, дальнего и ближнего зарубежья.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В результате финансиров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ания мероприятия в 2022 году специалисты учреждения культуры посетили 1-но выездное мероприятие  с целью обмена опытом между музейными учреждениями и совершенствования уровня профессионального мастерства,  в 2023 году планируется посетить 1-но мероприятие.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1,4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Комплектование государственных и муниципальных библиотек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В результате финансирования мероприятия в 2022 году  «Количество экземпляров поступлений в библиотечные фонды библиотек на 1 тыс. человек» составило17,8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Т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ыс. ед., план на 2023 год 17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тыс.ед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.;  доля библиотечного фонда, занесенного в электронный каталог в 2022 году составляет 100%, план на 2023 год 100%.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1.5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Комплектование книжных фондов муниципальных общедоступных библиотек в ЯНАО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В результате финансирования мероприятия прирост посещений в 2022 году организаций культуры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br w:type="page" w:clear="all"/>
              <w:t xml:space="preserve">по отношению к уровню 2017 года (в части посещений библиотек) составил 111,0 %; в 2023 году планируется  провести  1-но мероприятие по комплектованию книжных фондов библиотек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br w:type="page" w:clear="all"/>
              <w:t xml:space="preserve">муниципальных образований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br w:type="page" w:clear="all"/>
              <w:t xml:space="preserve">и государственных общедоступных библиотек субъектов Российской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br w:type="page" w:clear="all"/>
              <w:t xml:space="preserve">Федерации.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br w:type="page" w:clear="all"/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1.6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Государственная поддержка лучших работников сельских учреждений культуры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В результате реализации мероприятия планируется оказать государственную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br/>
              <w:t xml:space="preserve">поддержку 1-ому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лучшиму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работнику сельских учреждений культуры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4"/>
            <w:tcW w:w="960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Региональный проект "Культурная среда" "А"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36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2"/>
                <w:szCs w:val="22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района; </w:t>
            </w:r>
            <w:r>
              <w:rPr>
                <w:rFonts w:ascii="Liberation Serif" w:hAnsi="Liberation Serif" w:eastAsia="Times New Roman" w:cs="Liberation Serif"/>
                <w:b/>
                <w:bCs/>
                <w:sz w:val="22"/>
                <w:szCs w:val="22"/>
                <w:lang w:eastAsia="ru-RU"/>
              </w:rPr>
              <w:t xml:space="preserve">Участник: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МУК «Централизованная библиотечная система»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1.6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Переоснащение муниципальных библиотек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Финансирование мероприятия позволило переоснастить в 2022 году 1-ну единицу муниципальных библиотек по модельному стандарту.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gridSpan w:val="3"/>
            <w:tcW w:w="76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Направление 2 «Поддержка творческих инициатив, развитие профессионального искусства и народного творчества в муниципальном округе Красноселькупский район»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4"/>
            <w:tcW w:w="960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1. Комплекс процессных мероприятий "Развитие дополнительного образования, профессионального искусства и адресная поддержка деятелей культуры и искусства"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36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2"/>
                <w:szCs w:val="22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района; </w:t>
            </w:r>
            <w:r>
              <w:rPr>
                <w:rFonts w:ascii="Liberation Serif" w:hAnsi="Liberation Serif" w:eastAsia="Times New Roman" w:cs="Liberation Serif"/>
                <w:b/>
                <w:bCs/>
                <w:sz w:val="22"/>
                <w:szCs w:val="22"/>
                <w:lang w:eastAsia="ru-RU"/>
              </w:rPr>
              <w:t xml:space="preserve">Участники: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МБУ ДО «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детская школа искусств», МУ ДО «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2.1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Субсидия бюджетному учреждению муниципальное образовательное учреждение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детская школа искусств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В результате финансирования мероприятия в 2022 году объем муниципальной  услуги выполнен в размере 92 199,5 чел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.-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час. по дополнительным предпрофессиональным программам (план на 2023 год 92 354,5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чел.час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.) и 21 138 чел.-час. по дополнительным общеразвивающим программам (план на 2023 год 19 590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че.час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.);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доля лауреатов и дипломантов в учреждениях дополнительного образования детей в 2022 году составила 68%, план на 2023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год 40%; в 2022 году принято участие в 3-ох выездных конкурсах и мероприятиях, в 2023 году планируется принять участи в 3-ох мероприятиях; доля исполнения дополнительного целевого финансирования в 2022 году составляет 99,9%, план на 2023 год не менее 95%.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2.2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Субсидия бюджетному учреждению муниципальное образовательное учреждение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детская школа искусств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9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2.3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 Укрепление материально-технической базы учреждений дополнительного образования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В 2022 году финансирование мероприятия позволило повысить уровень материально-технической оснащенности 2-ух учреждений дополнительного образования детей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4"/>
            <w:tcW w:w="960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2. Комплекс процессных мероприятий "Развитие народного творчества, народных художественных промыслов и ремёсел"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36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2"/>
                <w:szCs w:val="22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района; </w:t>
            </w:r>
            <w:r>
              <w:rPr>
                <w:rFonts w:ascii="Liberation Serif" w:hAnsi="Liberation Serif" w:eastAsia="Times New Roman" w:cs="Liberation Serif"/>
                <w:b/>
                <w:bCs/>
                <w:sz w:val="22"/>
                <w:szCs w:val="22"/>
                <w:lang w:eastAsia="ru-RU"/>
              </w:rPr>
              <w:t xml:space="preserve">Участники: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МУК «Централизованная клубная система», МУК «Районный Дом ремесел»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2.4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Субсидия бюджетным учреждениям (МУК "Централизованная клубная система") (субсидия на выполнение муниципального задания)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В результате финансирования мероприятия в 2022 году объем муниципальной  услуги достигнут в количестве 37 единиц клубных формирований, план на 2023 г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од составляет 37 единиц; численность участников клубных формирований на конец 2022 года составила 385 человек, план на 2023 год 381 человек; доля исполнения дополнительного целевого финансирования в 2022 году составляет 97,6%, план на 2023 год не ниже 95%;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 для исполнения 8-ми программных мероприятий было профинансировано 1-но учреждение культуры; в 2023 году планируется провести  8 единиц культурно-массовых мероприятий, фестивалей, праздников.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2.5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Субсидия бюджетному учреждению МУК "Районный дом ремесел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"(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субсидия на выполнение муниципального задания)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В результат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е финансирования мероприятия в 2022 году объем муниципальной  услуги выполнен в размере 153 единиц мероприятий, план на 2023 год 144 единиц; доля исполнения дополнительного целевого финансирования в 2022 году составила 83,3%, план на 2023 год не менее 95%.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2.6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Проведение культурно-досуговых мероприятий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В результате финансирования мероп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риятия в 2022 году позволило организовать  досуг различных  групп   населения,  в  том  числе   провести  вечера  отдыха, детские утренники, игровые и  других  культурно - развлекательные  программы в общем объеме - 31 единица, план на 2023 год- 29 единиц.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2.7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Укрепление материально технической базы учреждений культурно-досугового типа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В результате финансирования мероприятия в 2022 году повышен уровень материально-технической оснащенности 2–ух учреждений культурно-досугового типа. План на 2023 год обеспечить исполнение дополнительного целевого финансирования на уровне не ниже 95%.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2.8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Выявление и поддержка молодых дарований, совершенствование мастерства и исполнительской культуры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Мероприятие в 2022 году не проводилось, значение показателя 0%. В 2023 году во время проведения конкурсных мероприятий ожидается  достичь доли лауреатов от общего количества участников районных мероприятий в размере не менее 10%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2.9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Создание условий для организации досуга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и обеспечения жителей услугами учреждений культуры,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промыслов, организации предоставления дополнительного образо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вания детей в муниципальных образовательных организациях, реализующих дополнительные общеобразовательные программы в области культуры и искусства, за исключением субсидий из окружного бюджета, предоставляемых бюджетам муниципальных образований в автономном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округе в соответствии с Порядком предоставления и распределения субсидий из окружного бюджета бюджетам муниципальных образований в Ямало-Ненецком автономном округе в целях реализации мероприятий муниципальных программ (направлений), направленных на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достижение результатов, соответствующих направлению 1 "Развитие культуры"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В 2022 году введено в эксплуатацию здание СДК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в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с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. Толька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, финансирование позволило обеспечить прирост посещений культурно-массовых мероприятий клубов и домов культуры  в 2022 году в размере 113 %.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2.10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Участие в конкурсах и мероприятиях различных уровней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Финансирование мероприятия в 2022 году позволило специалистам МУК «Районный дом ремесел» принять участие в 1-ом выездном конкурсе (мероприятии).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4"/>
            <w:tcW w:w="960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Региональный проект "Культурная среда" "А"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7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36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2"/>
                <w:szCs w:val="22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района; </w:t>
            </w:r>
            <w:r>
              <w:rPr>
                <w:rFonts w:ascii="Liberation Serif" w:hAnsi="Liberation Serif" w:eastAsia="Times New Roman" w:cs="Liberation Serif"/>
                <w:b/>
                <w:bCs/>
                <w:sz w:val="22"/>
                <w:szCs w:val="22"/>
                <w:lang w:eastAsia="ru-RU"/>
              </w:rPr>
              <w:t xml:space="preserve">Участник: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МБУ ДО «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2.2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Субсидия бюджетному учреждению муниципальное образовательное учреждение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детская школа искусств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Финансирование позволит оснастить в 2023 году 1-но образовательное учреждение в сфере культуры (детскую школу искусств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с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.Т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олька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) музыкальными инструментами, оборудованием и учебными материалами.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gridSpan w:val="3"/>
            <w:tcW w:w="76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Направление 3 «Обеспечение реализации муниципальной программы»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4"/>
            <w:tcW w:w="960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Комплекс процессных мероприятий "Руководство и управление в сфере установленных функций органов местного самоуправления"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9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36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2"/>
                <w:szCs w:val="22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района; </w:t>
            </w:r>
            <w:r>
              <w:rPr>
                <w:rFonts w:ascii="Liberation Serif" w:hAnsi="Liberation Serif" w:eastAsia="Times New Roman" w:cs="Liberation Serif"/>
                <w:b/>
                <w:bCs/>
                <w:sz w:val="22"/>
                <w:szCs w:val="22"/>
                <w:lang w:eastAsia="ru-RU"/>
              </w:rPr>
              <w:t xml:space="preserve">Участник: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МКУ «Центр обеспечения деятельности учреждений культуры и молодежной политики»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3.1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Обеспечение деятельности Управления по культуре и молодежной политике Администрации района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Укомплектованность штата Управления на конец 2022 года составила 66,7%, план на 2023 год 100%; доля своевременно выполненных мероприятий, направл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енных на обеспечение эффективного функционирования структурных подразделений УК и МП в 2022 году составляет 100% , план на 2023 год 100% и доля своевременно рассмотренных в полном объеме обращений граждан в 2022 году составляет 100%, план на 2023 год 100%.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3.2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Обеспечение деятельности Управления по культуре и молодежной политике Администрации района (иные выплаты)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98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10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gridSpan w:val="3"/>
            <w:tcW w:w="76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Направление 4 «Обеспечение 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 социальной поддержки работников сферы культуры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в муниципальном округе Красноселькупский район»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4"/>
            <w:tcW w:w="960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Комплекс процессных мероприятий "Меры социальной поддержки работникам муниципальных организаций"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11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36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sz w:val="22"/>
                <w:szCs w:val="22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района; </w:t>
            </w:r>
            <w:r>
              <w:rPr>
                <w:rFonts w:ascii="Liberation Serif" w:hAnsi="Liberation Serif" w:eastAsia="Times New Roman" w:cs="Liberation Serif"/>
                <w:b/>
                <w:bCs/>
                <w:sz w:val="22"/>
                <w:szCs w:val="22"/>
                <w:lang w:eastAsia="ru-RU"/>
              </w:rPr>
              <w:t xml:space="preserve">Участники: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МБУ ДО «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детская школа искусств», МУ ДО «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 детская школа искусств», МУК «Централизованная клубная система»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  <w:p>
            <w:pPr>
              <w:spacing w:after="0" w:line="240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4.1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Ежемесячные выплаты выпускникам образовательных учреждений, поступившим на работу в муниципальные учреждения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Оказание мер социальной поддержки работникам учреждений культуры и дополнительного образования в виде: ежемесячной выплаты молодым специалистам в размере 8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тыс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.р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уб.на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1-ого специалиста; 50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тыс.руб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.  единовременная выплата при достижении пенсионного возраста на 1 специалиста; 100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тыс.руб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. единовременная выплата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на 1-ого молодого специалиста при устройстве на работу в учреждения культуры и дополнительного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образования.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Доля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работников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в отношении</w:t>
            </w: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 которых были осуществлены меры социальной поддержки от общего числа работников, имеющих право на получение соответствующих выплат в 2022 году составила 100%. План на 2023 год 100%.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  <w:tr>
        <w:trPr/>
        <w:tc>
          <w:tcPr>
            <w:tcW w:w="19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4.2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Выплаты при достижении пенсионного возраста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98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6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49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характеристика мероприятия 4.3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sz w:val="22"/>
                <w:szCs w:val="22"/>
                <w:lang w:eastAsia="ru-RU"/>
              </w:rPr>
              <w:t xml:space="preserve">Единовременные выплаты выпускникам учреждений культуры, поступившим на работу в муниципальные учреждения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tcW w:w="276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98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2"/>
                <w:szCs w:val="22"/>
                <w:lang w:eastAsia="ru-RU"/>
              </w:rPr>
              <w:t xml:space="preserve">12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  <w:tc>
          <w:tcPr>
            <w:gridSpan w:val="3"/>
            <w:tcW w:w="76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Направление 5 «Строительство объектов культуры в муниципальном округе Красноселькупский район»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</w:r>
            <w:r/>
          </w:p>
        </w:tc>
      </w:tr>
    </w:tbl>
    <w:p>
      <w:pPr>
        <w:ind w:left="0" w:right="0" w:firstLine="0"/>
        <w:jc w:val="right"/>
        <w:spacing w:after="0" w:line="240" w:lineRule="auto"/>
        <w:rPr>
          <w:rFonts w:ascii="Liberation Serif" w:hAnsi="Liberation Serif" w:eastAsia="Times New Roman" w:cs="Times New Roman"/>
          <w:b w:val="0"/>
          <w:bCs w:val="0"/>
          <w:color w:val="000000"/>
        </w:rPr>
      </w:pPr>
      <w:r>
        <w:rPr>
          <w:rFonts w:ascii="Liberation Serif" w:hAnsi="Liberation Serif" w:eastAsia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          ».</w:t>
      </w:r>
      <w:r>
        <w:rPr>
          <w:b w:val="0"/>
          <w:bCs w:val="0"/>
        </w:rPr>
      </w:r>
      <w:r/>
    </w:p>
    <w:p>
      <w:pPr>
        <w:spacing w:after="0" w:line="240" w:lineRule="auto"/>
        <w:rPr>
          <w:rFonts w:ascii="Liberation Serif" w:hAnsi="Liberation Serif" w:cs="Times New Roman"/>
          <w:b w:val="0"/>
          <w:bCs w:val="0"/>
          <w:sz w:val="24"/>
          <w:szCs w:val="24"/>
        </w:rPr>
      </w:pPr>
      <w:r>
        <w:rPr>
          <w:rFonts w:ascii="Liberation Serif" w:hAnsi="Liberation Serif" w:cs="Times New Roman"/>
          <w:b w:val="0"/>
          <w:bCs w:val="0"/>
          <w:sz w:val="24"/>
          <w:szCs w:val="24"/>
        </w:rPr>
      </w:r>
      <w:r>
        <w:rPr>
          <w:rFonts w:ascii="Liberation Serif" w:hAnsi="Liberation Serif" w:cs="Times New Roman"/>
          <w:b w:val="0"/>
          <w:bCs w:val="0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 w:cs="Times New Roman"/>
          <w:b w:val="0"/>
          <w:bCs w:val="0"/>
          <w:sz w:val="24"/>
          <w:szCs w:val="24"/>
        </w:rPr>
      </w:pPr>
      <w:r>
        <w:rPr>
          <w:rFonts w:ascii="Liberation Serif" w:hAnsi="Liberation Serif" w:cs="Times New Roman"/>
          <w:b w:val="0"/>
          <w:bCs w:val="0"/>
          <w:sz w:val="24"/>
          <w:szCs w:val="24"/>
        </w:rPr>
      </w:r>
      <w:r>
        <w:rPr>
          <w:rFonts w:ascii="Liberation Serif" w:hAnsi="Liberation Serif" w:cs="Times New Roman"/>
          <w:b w:val="0"/>
          <w:bCs w:val="0"/>
          <w:sz w:val="24"/>
          <w:szCs w:val="24"/>
        </w:rPr>
      </w:r>
      <w:r/>
    </w:p>
    <w:p>
      <w:pPr>
        <w:ind w:firstLine="594"/>
        <w:jc w:val="both"/>
        <w:spacing w:after="0" w:line="240" w:lineRule="auto"/>
        <w:rPr>
          <w:rFonts w:ascii="Liberation Serif" w:hAnsi="Liberation Serif" w:eastAsia="Times New Roman" w:cs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Приложение № 1.1. к муниципальной 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программе муниципального округа 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Красноселькупский район Ямало-Ненецко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го автономного округа «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Основные 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направления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 развития культуры» изложить в следующей редакции: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</w:r>
      <w:r/>
    </w:p>
    <w:p>
      <w:pPr>
        <w:ind w:firstLine="594"/>
        <w:jc w:val="both"/>
        <w:spacing w:after="0" w:line="240" w:lineRule="auto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highlight w:val="none"/>
          <w:lang w:eastAsia="ru-RU"/>
        </w:rPr>
        <w:t xml:space="preserve">«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highlight w:val="none"/>
          <w:lang w:eastAsia="ru-RU"/>
        </w:rPr>
      </w:r>
      <w:r/>
    </w:p>
    <w:p>
      <w:pPr>
        <w:contextualSpacing/>
        <w:ind w:left="5669" w:right="0" w:firstLine="0"/>
        <w:spacing w:after="0" w:afterAutospacing="0" w:line="17" w:lineRule="atLeast"/>
        <w:rPr>
          <w:sz w:val="28"/>
          <w:szCs w:val="28"/>
        </w:rPr>
      </w:pP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Приложение № 1.1.</w:t>
      </w:r>
      <w:r>
        <w:rPr>
          <w:sz w:val="28"/>
          <w:szCs w:val="28"/>
        </w:rPr>
      </w:r>
      <w:r/>
    </w:p>
    <w:p>
      <w:pPr>
        <w:contextualSpacing/>
        <w:ind w:left="5669" w:right="0" w:firstLine="0"/>
        <w:spacing w:after="0" w:afterAutospacing="0" w:line="17" w:lineRule="atLeast"/>
        <w:rPr>
          <w:rFonts w:ascii="Liberation Serif" w:hAnsi="Liberation Serif" w:eastAsia="Times New Roman" w:cs="Times New Roman"/>
          <w:color w:val="000000"/>
          <w:sz w:val="28"/>
          <w:szCs w:val="28"/>
        </w:rPr>
      </w:pP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к муниципальной программе </w:t>
      </w: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</w:r>
      <w:r/>
    </w:p>
    <w:p>
      <w:pPr>
        <w:contextualSpacing/>
        <w:ind w:left="5669" w:right="0" w:firstLine="0"/>
        <w:spacing w:after="0" w:afterAutospacing="0" w:line="17" w:lineRule="atLeast"/>
        <w:rPr>
          <w:rFonts w:ascii="Liberation Serif" w:hAnsi="Liberation Serif" w:eastAsia="Times New Roman" w:cs="Times New Roman"/>
          <w:color w:val="000000"/>
          <w:sz w:val="28"/>
          <w:szCs w:val="28"/>
        </w:rPr>
      </w:pP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«Основные направления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contextualSpacing/>
        <w:ind w:left="5669" w:right="0" w:firstLine="0"/>
        <w:spacing w:after="0" w:afterAutospacing="0" w:line="17" w:lineRule="atLeast"/>
        <w:rPr>
          <w:rFonts w:ascii="Liberation Serif" w:hAnsi="Liberation Serif" w:eastAsia="Times New Roman" w:cs="Times New Roman"/>
          <w:color w:val="000000"/>
          <w:sz w:val="28"/>
          <w:szCs w:val="28"/>
        </w:rPr>
      </w:pPr>
      <w:r>
        <w:rPr>
          <w:rFonts w:ascii="Liberation Serif" w:hAnsi="Liberation Serif" w:eastAsia="Times New Roman" w:cs="Times New Roman"/>
          <w:bCs/>
          <w:color w:val="000000"/>
          <w:sz w:val="28"/>
          <w:szCs w:val="28"/>
          <w:lang w:eastAsia="ru-RU"/>
        </w:rPr>
        <w:t xml:space="preserve">развития культуры»</w:t>
      </w:r>
      <w:r>
        <w:rPr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b w:val="0"/>
          <w:bCs w:val="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sz w:val="28"/>
          <w:szCs w:val="28"/>
        </w:rPr>
      </w:r>
      <w:r>
        <w:rPr>
          <w:rFonts w:ascii="Liberation Serif" w:hAnsi="Liberation Serif" w:cs="Times New Roman"/>
          <w:b w:val="0"/>
          <w:bCs w:val="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</w:t>
      </w:r>
      <w:r>
        <w:rPr>
          <w:rFonts w:ascii="Liberation Serif" w:hAnsi="Liberation Serif" w:eastAsia="Times New Roman" w:cs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по расчету показателей муниципальной программы</w:t>
      </w:r>
      <w:r>
        <w:rPr>
          <w:b w:val="0"/>
          <w:bCs w:val="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  <w:r/>
    </w:p>
    <w:tbl>
      <w:tblPr>
        <w:tblW w:w="96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726"/>
        <w:gridCol w:w="2624"/>
        <w:gridCol w:w="3323"/>
      </w:tblGrid>
      <w:tr>
        <w:trPr>
          <w:trHeight w:val="276"/>
        </w:trPr>
        <w:tc>
          <w:tcPr>
            <w:shd w:val="clear" w:color="000000" w:fill="ffffff"/>
            <w:tcBorders>
              <w:top w:val="single" w:color="000000" w:sz="4" w:space="0"/>
            </w:tcBorders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</w:tcBorders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1.1. Соотношение средней заработной платы работников учреждений культуры и средней заработной платы в автономном округе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62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Указ Президента Российской Федерации от 07 мая 2012 года № 597 «О мероприятиях по реализации государственной социальной политики»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35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ind w:right="114"/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Отношение средней заработной платы работников культуры в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Красноселькупском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районе к средней заработной плате в автономном округе х100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0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Отчет по форме ЗП-культура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1.2. Соотношение средней заработной платы педагогических работников дополнительного образования детей и средней заработной платы в автономном округе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Указ Президента Российской Федерации от 07 мая 2012 года № 597 «О мероприятиях по реализации государственной социальной политики»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35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Отношение средней заработной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платы педагогических работников дополнительного образования детей сферы культуры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в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Красноселькупском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районе к средней заработной плате в автономном округе х100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0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Отчет по форме ЗП-образование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1. Количество посещений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Сводные показатели муниципальных заданий на оказание муниципальных услуг (выполнение работ)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Общее число посещений библиотеки в стационарных условиях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0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25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При расчёте значения показателя применяются данные: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1. Журнал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учета посещений мероприятий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2. Дневник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работы библиотеки. 3. https://ok.ru/profile/576634820496 4. https://vk.com/mukcbskrs 5. https://www.youtube.com/channel/UCtYLYI__l1YhODLLCbPaTsw 6. https://www.instagram.com/bibliotekakrasnoselkup/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2. Охват населения услугами библиотек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5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0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Значение целевого показателя определяется как отношение числа пользователей библиотек, на отчётный период к среднегодовой численности населения.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уб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= (Ч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зп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/ Н) х 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охват населения библиотечными услугами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(%).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уб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095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24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число  зарегистрированных пользователей, в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т.ч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. и виртуальных пользователей, на отчётный период (ед.)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0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среднегодовая численность населения,  чел.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5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При расчёте значения целевого показателя применяются данные государственной и отраслевой статистической отчётности о числе посещений библиотек в отчетном году. Источник – форма статистической отчётности 6-НК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3. Число зарегистрированных пользователей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58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Чел.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7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Общее число зарегистрированных пользователей МУК «Централизованная библиотечная система»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9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05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При расчёте значения целевого показателя применяются данные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государственной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 отраслевой статистической 6-НК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3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4. Число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посетителй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Сводные показатели муниципальных заданий на оказание муниципальных услуг (выполнение работ)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Чел.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Общее число посетителей музея в год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9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8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При р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асчёте значения целевого показателя применяются данные государственной и отраслевой статистической 8-НК «Сведения о деятельности музея», муниципальное задание МУК «Красноселькупский районный краеведческий музей» и отчёт о выполнении муниципального задания.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1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5. Участие в выездных мероприятиях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7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32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Общее число выездных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в которых было принято участие с целью обмена опытом между музейными учреждениями, совершенствование уровня профессионального мастерства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9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29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Письма с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приглошением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органиаторов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мероприятий и приказы о направлении работников в командировку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6. Количество экземпляров поступлений в библиотечные фонды библиотек на 1 тыс. человек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7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Тыс.ед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23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Значение целевого показателя определяется как отношение числа экземпляров поступлений в библиотечный фонд за отчетный период к среднегодовой численности населения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Кэкз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.=(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Чп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./Н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)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*1000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24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экземпляров поступлений  на тысячу человек населения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Кэкз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6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Число экземпляров изданий, поступивших в библиотечный фонд за отчетный период (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тыс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.э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кз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.)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9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Среднегодовая численность населения (чел.)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29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При расчёте значения целевого показателя применяются данные государственной и отраслевой статистической отчётности. Источник – форма статистической отчётности 6-НК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6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7. Доля библиотечного фонда, занесенного в электронный каталог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7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(%/)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32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Значение целевого показателя определяется как отношение числа электронных записей, занесенных в электронный каталог, к общему объему библиотечного фонда МУК «Централизованная библиотечная система»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Рэ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= Дэ / Ф* 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24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Доля библиотечного фонда, занесенного в электронный каталог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Рэ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6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Число электронных записей, занесенных в электронный каталог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Дэ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9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Общий объем библиотечного фонда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2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При расчёте значения целевого показателя применяются данные государственной и отраслевой статистической отчётности об объёме электронного каталога общедоступных библиотек района с учетом дублетных записей экземпляров.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8. Количество муниципальных библиотек, переоснащенных по модельному стандарту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7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Показатели государственных программ Ямало-Ненецкого автономного округа, предусмотренные соглашениями между Администрацией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и Правительством Ямало-Ненецкого автономного округа на выделение субсидий за счет средств окружного бюджета на реализацию муниципальных программ на территории муниципального округа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(Ед.)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9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Фактическое количество муниципальных библиотек, переоснащенных по модельному стандарту в отчетном периоде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60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9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Первичная бухгалтерская документация (договор, товарная накладная, акт выполненных работ, платежное поручение)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9. Количество человеко-часов по дополнительным предпрофессиональным программам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7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Сводные показатели муниципальных заданий на оказание муниципальных услуг (выполнение работ)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Чел-час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84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Определяется как произведение числа детей обучающихся по дополнительным предпрофессиональным программам на количество часов в неделю по дополнительным предпрофессиональным программам и на количество учебных недель за отчетный период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Чдп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= 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*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Унч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*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24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Число детей обучающихся по дополнительным предпрофессиональным программам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3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часов в неделю по дополнительным предпрофессиональным программам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Унч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05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учебных недель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Ф1-ДШИ, Журнал успеваемости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10. Количество человеко-часов по дополнительным общеразвивающим программам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7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Сводные показатели муниципальных заданий на оказание муниципальных услуг (выполнение работ)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Чел-час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59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Определяется как произведение числа детей обучающихся по дополнительным общеразвивающим программам на количество часов в неделю по дополнительным общеразвивающим программам и на количество учебных недель за отчетный период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Чдп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= 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*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Унч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*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3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24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Число детей обучающихся по дополнительным предпрофессиональным программам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9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часов в неделю по дополнительным общеразвивающим программам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Унч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8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учебных недель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Ф1-ДШИ, Журнал успеваемости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11. Доля лауреатов и дипломантов от числа обучающихся в образовательных учреждениях культуры и искусства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50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План мероприятий ("дорожная карта") по перспективному развитию детских школ искусств по видам искусств на 2018-2022 годы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11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Отношение количества лауреатов и дипломантов, обучающихся в школах искусств к общему количеству учащихся учреждений дополнительного образования детей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         ПЭ= 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/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х100%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20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лауреатов и дипломантов (чел.)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7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Общее количество учащихся учреждений дополнительного образования детей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Приказ департамента культуры №55 от 20.02.2013г.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12. Количество учреждений, которым положена субсидия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47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Показатели социально-экономического развития Ямало-Ненецкого автономного округа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11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учреждений дополнительного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образовани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, для которых запланировано перечисление субсидии для укрепления МТБ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55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96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Сводная бюджетная роспись расходов бюджета района на соответствующий год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13. Количество проведенных культурно-массовых мероприятий, фестивалей, праздников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58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 w:type="page" w:clear="all"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 w:type="page" w:clear="all"/>
              <w:t xml:space="preserve">(утв. приказом Министерства культуры России от 28 июня 2013 г. N 920)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2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Фактическое количество проведенных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культурно-массовых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в том числе культурно-досуговых мероприятий, фестивалей, праздников МУК «Централизованная клубная система» за отчетный период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5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00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Приказ и положение о проведении мероприятия, форма федерального статистического наблюдения 7-НК «Сведения об организации культурно-досугового типа»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14. Количество участников клубных формирований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5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Человек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69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Суммарное количество людей, являющихся участниками коллективов самодеятельности, кружков, клубных формирований МУК «Централизованная клубная система»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55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96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Журнал учета культурно-массовой работы структурных поздравлений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(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год)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15. Количество клубных формирований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5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69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Суммарное количество кружков и клубных формирований МУК «Централизованная клубная система»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55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96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Журнал учета культурно-массовой работы структурных поздравлений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(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 год)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16..Количество проведенных мероприятий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58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Суммарное количество культурно-досуговых мероприятий, проведенных МУК «Районный дом ремесел» на территории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55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96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Журнал учёта мероприятий и посетителей, форма федерального статистического наблюдения 7-НК «Сведения об организации культурно-досугового типа»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0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17. Доля финансовых средств, реализованных по целевому назначению в отчетном году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73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(%)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69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Отношение объема финансовых средств фактически реализованных в отчетном периоде к общему объему средств в рамках заключенных соглашений о предоставлении из бюджета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муниципальным бюджетным учреждениям субсидий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умноженное на 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V = 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/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* 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140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Объема финансовых средств фактически реализованных в отчетном периоде (в рамках заключённых соглашений)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Объем сре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дств в р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амках заключенных соглашений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9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Первичная бухгалтерская документация (договор, товарная накладная, акт выполненных работ, платежное поручение)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18. Количество учреждений, которым положена субсидия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45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Показатели социально-экономического развития Ямало-Ненецкого автономного округа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69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учреждений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культурно-досугового типа, для которых запланировано перечисление субсидии для укрепления МТБ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55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96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9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Сводная бюджетная роспись расходов бюджета района на соответствующий год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1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19. Доля лауреатов от общего количества участников районных мероприятий-10%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45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Показатели социально-экономического развития Ямало-Ненецкого автономного округа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35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Отношение количества лауреатов  к общему количеству участников районных мероприятий  в рамках  выявления и поддержки молодых дарований, совершенствование мастерства и исполнительской культуры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         ПЭ= 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/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 х100%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лауреатов (чел.)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62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Общее количество участников районных мероприятий в рамках  выявления и поддержки молодых дарований, совершенствование мастерства и исполнительской культуры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9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Протокол конкурсной комиссии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20.  Прирост посещений культурно-массовых мероприятий клубов и домов культуры составляет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45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Показатели социально-экономического развития Ямало-Ненецкого автономного округа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(%)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Отношение числа  посещений культурно-массовых мероприятий клубов и домов культуры в отчетном году к числу посещений прошлого года*100%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V = 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/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* 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Прирост посещений культурно-массовых мероприятий клубов и домов культуры составляет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V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Числао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посещений культурно-массовых мероприятий клубов и домов культуры в отчетном году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96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Число посещений культурно-массовых мероприятий клубов и домов культуры прошлого года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Журнал посещений, форма 7-НК, годовой отчёт о деятельности организации культурно-досугового типа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32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21.Оснащены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13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Показатели государственных программ Ямало-Ненецкого автономного округа, предусмотренные соглашениями между Администрацией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и Правительством Ямало-Ненецкого автономного округа на выделение субсидий за счет средств окружного бюджета на реализацию муниципальных программ на территории муниципального округа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Суммирование количества учреждений, оснащенных оборудованием в отчетном периоде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55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96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8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Первичная бухгалтерская документация (договор поставки, товарная накладная, платежное поручение)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№22. Укомплектованность кадрами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13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Показатели, определенные постановлением Губернатора Ямало-Ненецкого автономного округа от 08.08.2017 года № 89-ПГ «О мероприятиях по реализации Указа Президента Российской Федерации от 28.04.2008 года N 607 «Об оценке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эффективности деятельности органов местного самоуправления городских округов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 муниципальных районов»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71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Отношение количества замещённых муниципальных должностей управления по культуре и молодёжной политике, а так же должностей не отнесённые к должностям муниципальной службы 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к общему количеству должностей, утверждённых штатным расписанием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2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24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Дспб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= 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Nn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* 100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            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35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общее количество должностей, утверждённых штатным расписанием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83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замещённых муниципальных должностей управления по культуре и молодёжной политике, а так же должностей не отнесённые к должностям муниципальной службы 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8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Статистический отчет по форме П-4 за месяц и штатное расписание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45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№23. Доля своевременно выполненных мероприятий, направленных на обеспечение эффективного функционирования структурных подразделений УК и МП от общего количества плановых необходимых мероприятий.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13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Показатели, определенные постановлением Губернатора Ямало-Ненецкого автономного округа от 08.08.2017 года № 89-ПГ «О мероприятиях по реализации Указа Президента Российской Федерации от 28.04.2008 года N 607 «Об оценке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эффективности деятельности органов местного самоуправления городских округов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 муниципальных районов»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1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Отношение количества своевременно выполненных мероприятий управления по культуре и молодёжной политике к общему количеству плановых мероприятий  умноженное на 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2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24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Дспб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= 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Nn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u w:val="single"/>
                <w:lang w:eastAsia="ru-RU"/>
              </w:rPr>
              <w:t xml:space="preserve"> * 100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            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035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количества своевременно выполненных мероприятий управления по культуре и молодёжной политике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03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общее количество плановых мероприятий на плановый период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8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Планы и отчёты о выполнении плана мероприятий управления по культуре и молодёжной политике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20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№24. Доля обращений граждан, рассмотренных в установленные законодательством сроки, от общего количества обращений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13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Показатели, определенные постановлением Губернатора Ямало-Ненецкого автономного округа от 08.08.2017 года № 89-ПГ «О мероприятиях по реализации Указа Президента Российской Федерации от 28.04.2008 года N 607 «Об оценке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эффективности деятельности органов местного самоуправления городских округов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и муниципальных районов»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Отношение количество обращений граждан, рассмотренных в сроки, к общему количеству обращений граждан.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2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24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V = 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/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* 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90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обращений граждан, рассмотренных в сроки, установленные законодательством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7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Общее количество обращений граждан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Журнал учета обращений граждан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83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25. Доля работников муниципальных учреждений культуры и искусства и дополнительного образования в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Красноселькупском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муниципальном округе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,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в отношении которых были осуществлены меры социальной поддержки от общего числа работников, имеющих право на получение соответствующих выплат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5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Показатели социально-экономического развития Ямало-Ненецкого автономного округа;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37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Отношение количества работников муниципальных учреждений культуры и искусства и дополнительного образования в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Красноселькупском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муниципальном округе, в отношении  которых осуществлены меры социальной поддержки, утверждённые законом Ямало-Ненецкого автономного округа к количеству работников, имеющих право на получение соответствующих выплат, умноженное на 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2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24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V = 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/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* 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85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работников муниципальных учреждений культуры и искусства и дополнительного образования в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Красноселькупском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муниципальном округе, в отношении  которых осуществлены меры социальной поддержки, утверждённые законом Ямало-Ненецкого автономного округа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425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работников, имеющих право на получение соответствующих выплат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8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Данные итогового отчета об использовании субвенций из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окружногобюджета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в сфере социальной поддержке.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3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26. Количество посещений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организаций культуры по отношению к уровню 2017 года (в части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посещенийбиблиотек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95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Показатели государственных программ Ямало-Ненецкого автономного округа, предусмотренные соглашениями между Администрацией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и Правительством Ямало-Ненецкого автономного округа  на реализацию муниципальных программ на территории муниципального округа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(%)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9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Отношение количества посещений отчетного года к количеству посещений 2017 года, умноженное на 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24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V = 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/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* 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10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количество посещений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организаций культуры по отношению к уровню 2017 года (в части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посещенийбиблиотек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V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количества посещений отчетного года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количества посещений 2017 года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70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Форма 6-НК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4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27. Количество созданных виртуальных туров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(Ед.)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9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Фактическое количество созданных виртуальных туров в отчетном периоде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10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Первичная бухгалтерская документация (договор, товарная накладная, акт выполненных работ, платежное поручение)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8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28. Доля финансовых средств, реализованных по целевому назначению в отчетном году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(%)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69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Отношение объема финансовых средств фактически реализованных в отчетном периоде к общему объему средств в рамках заключенных соглашений о предоставлении из бюджета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муниципальным бюджетным учреждениям субсидий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умноженное на 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V = 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/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* 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10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Доля финансовых средств, реализованных по целевому назначению в отчетном году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V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8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Объема финансовых средств фактически реализованных в отчетном периоде (в рамках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заключенныз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соглашений)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Объем сре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дств в р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амках заключенных соглашений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Первичная бухгалтерская документация (договор, товарная накладная, акт выполненных работ, платежное поручение)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8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29. Количество выездных конкурсов и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мероприятий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в которых было принято участие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Фактическое количество выездных конкурсов и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в которых было принято участие за отчетный период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Письма с </w:t>
            </w: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приглошением</w:t>
            </w: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органиаторов</w:t>
            </w: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 мероприятий и приказы о направлении работников в командировку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8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30. Доля финансовых средств, реализованных по целевому назначению в отчетном году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(%)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69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Отношение объема финансовых средств фактически реализованных в отчетном периоде к общему объему средств в рамках заключенных соглашений о предоставлении из бюджета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муниципальным бюджетным учреждениям субсидий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умноженное на 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V = 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/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* 100%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10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Доля финансовых средств, реализованных по целевому назначению в отчетном году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V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8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Объема финансовых средств фактически реализованных в отчетном периоде (в рамках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заключенныз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соглашений)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Np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Объем сре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дств в р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амках заключенных соглашений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Nn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Первичная бухгалтерская документация (договор, товарная накладная, акт выполненных работ, платежное поручение)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78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31. Количество выездных конкурсов и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мероприятий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в которых было принято участие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Фактическое количество выездных конкурсов и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мероприятий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в которых было принято участие за отчетный период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Письма с </w:t>
            </w: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приглошением</w:t>
            </w: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органиаторов</w:t>
            </w: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 мероприятий и приказы о направлении работников в командировку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33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32. Проведены мероприятия по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комплектованию книжных фондов библиотек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муниципальных образований и государственных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общедоступных библиотек субъектов Российской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Федерации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6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41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Фактическое количество проведенных мероприятий по комплектованию книжных фондов библиотек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муниципальных образований и государственных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общедоступных библиотек субъектов Российской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br/>
              <w:t xml:space="preserve">Федерации за отчетный период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37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332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>
              <w:rPr>
                <w:rFonts w:ascii="Liberation Serif" w:hAnsi="Liberation Serif" w:eastAsia="Times New Roman" w:cs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84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Первичная бухгалтерская документация (договор поставки, товарная накладная, платежное поручение), смета расходов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Показатель № 33. Оказана государственная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 xml:space="preserve">поддержка лучшим работникам сельских учреждений культуры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2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-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Единица измерения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Человек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410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Фактическое количество лучших работников сельских учреждений культуры, которым оказана государственная поддержка 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365"/>
        </w:trPr>
        <w:tc>
          <w:tcPr>
            <w:shd w:val="clear" w:color="000000" w:fill="ffffff"/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Алгоритм формирования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W w:w="594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Данный показатель является абсолютным, значение показателя определяется как общее количество лучших работников сельских учреждений культуры, которым оказана государственная поддержка в отчетном периоде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15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и определение базовых показателей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Буквенное обозначение в формуле расчета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Определение положительной динамики показателя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37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Общее количество лучших работников сельских учреждений культуры, которым оказана государственная поддержка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26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Клр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332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40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Источник информации для расчета (определения) показателя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4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Приказ, платежное поручение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highlight w:val="none"/>
          <w:lang w:eastAsia="ru-RU"/>
        </w:rPr>
      </w: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highlight w:val="none"/>
          <w:lang w:eastAsia="ru-RU"/>
        </w:rPr>
      </w:r>
      <w:r/>
    </w:p>
    <w:p>
      <w:pPr>
        <w:ind w:left="0" w:right="0" w:firstLine="0"/>
        <w:jc w:val="both"/>
        <w:spacing w:after="0" w:line="240" w:lineRule="auto"/>
        <w:rPr>
          <w:rFonts w:ascii="Liberation Serif" w:hAnsi="Liberation Serif" w:eastAsia="Times New Roman" w:cs="Times New Roman"/>
          <w:color w:val="000000"/>
          <w:sz w:val="24"/>
          <w:szCs w:val="24"/>
          <w:highlight w:val="none"/>
          <w:lang w:eastAsia="ru-RU"/>
        </w:rPr>
      </w:pP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  <w:t xml:space="preserve">*Перечень </w:t>
      </w: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  <w:t xml:space="preserve">используемых</w:t>
      </w: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  <w:t xml:space="preserve"> НПА, которыми может быть установлен показатель:</w:t>
      </w: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</w:r>
      <w:r/>
    </w:p>
    <w:p>
      <w:pPr>
        <w:ind w:left="0" w:right="0" w:firstLine="0"/>
        <w:jc w:val="both"/>
        <w:spacing w:after="0" w:line="240" w:lineRule="auto"/>
      </w:pP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  <w:t xml:space="preserve">- показатели, определенные постановлением Губернатора Ямало-Ненецкого автономного округа от 08.08.2017 года № 89-ПГ «О мероприятиях по реализации Указа Президента Российской Федерации от 28.04.2008 года N 607 «Об оценке </w:t>
      </w: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  <w:t xml:space="preserve">эффективности деятельности органов местного самоуправления городских округов</w:t>
      </w: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  <w:t xml:space="preserve"> и муниципальных районов»;</w:t>
      </w: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</w:r>
      <w:r/>
    </w:p>
    <w:p>
      <w:pPr>
        <w:ind w:left="0" w:right="0" w:firstLine="0"/>
        <w:jc w:val="both"/>
        <w:spacing w:after="0" w:line="240" w:lineRule="auto"/>
      </w:pP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  <w:t xml:space="preserve">- показатели социально-экономического развития Ямало-Ненецкого автономного округа;</w:t>
      </w: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</w:r>
      <w:r/>
    </w:p>
    <w:p>
      <w:pPr>
        <w:ind w:left="0" w:right="0" w:firstLine="0"/>
        <w:jc w:val="both"/>
        <w:spacing w:after="0" w:line="240" w:lineRule="auto"/>
      </w:pP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  <w:t xml:space="preserve"> -показатели государственных программ Ямало-Ненецкого автономного округа, предусмотренные соглашениями между Администрацией </w:t>
      </w: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  <w:t xml:space="preserve">Красноселькупского</w:t>
      </w: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  <w:t xml:space="preserve"> района и Правительством Ямало-Ненецкого автономного округа на выделение субсидий за счет средств окружного бюджета на реализацию муниципальных программ на территории муниципального округа;</w:t>
      </w: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</w:r>
      <w:r/>
    </w:p>
    <w:p>
      <w:pPr>
        <w:ind w:left="0" w:right="0" w:firstLine="0"/>
        <w:jc w:val="both"/>
        <w:spacing w:after="0" w:line="240" w:lineRule="auto"/>
      </w:pPr>
      <w:r>
        <w:rPr>
          <w:rFonts w:ascii="Liberation Serif" w:hAnsi="Liberation Serif" w:eastAsia="Times New Roman" w:cs="Times New Roman"/>
          <w:bCs/>
          <w:color w:val="000000"/>
          <w:sz w:val="24"/>
          <w:szCs w:val="24"/>
          <w:lang w:eastAsia="ru-RU"/>
        </w:rPr>
        <w:t xml:space="preserve">- сводные показатели муниципальных заданий на оказание муниципальных услуг (выполнение работ).</w:t>
      </w:r>
      <w:r>
        <w:rPr>
          <w:rFonts w:ascii="Liberation Serif" w:hAnsi="Liberation Serif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ind w:left="0" w:right="-282" w:firstLine="0"/>
        <w:spacing w:after="0" w:line="240" w:lineRule="auto"/>
        <w:rPr>
          <w:rFonts w:ascii="Liberation Serif" w:hAnsi="Liberation Serif" w:cs="Times New Roman"/>
          <w:b w:val="0"/>
          <w:bCs w:val="0"/>
          <w:sz w:val="24"/>
          <w:szCs w:val="24"/>
        </w:rPr>
      </w:pPr>
      <w:r>
        <w:rPr>
          <w:rFonts w:ascii="Liberation Serif" w:hAnsi="Liberation Serif" w:eastAsia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Liberation Serif" w:hAnsi="Liberation Serif" w:eastAsia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  ».</w:t>
      </w:r>
      <w:r>
        <w:rPr>
          <w:rFonts w:ascii="Liberation Serif" w:hAnsi="Liberation Serif" w:cs="Times New Roman"/>
          <w:b w:val="0"/>
          <w:bCs w:val="0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ind w:left="-426" w:firstLine="426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5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.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Приложение №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2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.1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 к муниципальной программе муниципального округа Красноселькупский район Ямало-Ненецкого автономного округа «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Основные направления развития культуры</w:t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» изложить в следующей редакции:</w:t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  <w:t xml:space="preserve">«</w:t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Liberation Serif" w:hAnsi="Liberation Serif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Liberation Serif" w:hAnsi="Liberation Serif" w:eastAsia="Times New Roman" w:cs="Times New Roman"/>
          <w:color w:val="000000"/>
          <w:sz w:val="28"/>
          <w:szCs w:val="28"/>
          <w:highlight w:val="none"/>
          <w:lang w:eastAsia="ru-RU"/>
        </w:rPr>
      </w:r>
      <w:r/>
    </w:p>
    <w:p>
      <w:pPr>
        <w:contextualSpacing/>
        <w:ind w:left="6378" w:right="0" w:firstLine="0"/>
        <w:spacing w:after="0" w:afterAutospacing="0" w:line="17" w:lineRule="atLeast"/>
        <w:rPr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Приложение № 2</w:t>
      </w:r>
      <w:r>
        <w:rPr>
          <w:rFonts w:ascii="Liberation Serif" w:hAnsi="Liberation Serif" w:cs="Times New Roman"/>
          <w:sz w:val="24"/>
          <w:szCs w:val="24"/>
        </w:rPr>
        <w:t xml:space="preserve">.1</w:t>
      </w:r>
      <w:r>
        <w:rPr>
          <w:sz w:val="24"/>
          <w:szCs w:val="24"/>
        </w:rPr>
      </w:r>
      <w:r/>
    </w:p>
    <w:p>
      <w:pPr>
        <w:contextualSpacing/>
        <w:ind w:left="6378" w:right="0" w:firstLine="0"/>
        <w:spacing w:after="0" w:afterAutospacing="0" w:line="17" w:lineRule="atLeas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 муниципальной программе </w:t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contextualSpacing/>
        <w:ind w:left="6378" w:right="0" w:firstLine="0"/>
        <w:spacing w:after="0" w:afterAutospacing="0" w:line="17" w:lineRule="atLeas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«</w:t>
      </w:r>
      <w:r>
        <w:rPr>
          <w:rFonts w:ascii="Liberation Serif" w:hAnsi="Liberation Serif" w:cs="Times New Roman"/>
          <w:sz w:val="24"/>
          <w:szCs w:val="24"/>
        </w:rPr>
        <w:t xml:space="preserve">Основные</w:t>
      </w:r>
      <w:r>
        <w:rPr>
          <w:rFonts w:ascii="Liberation Serif" w:hAnsi="Liberation Serif" w:cs="Times New Roman"/>
          <w:sz w:val="24"/>
          <w:szCs w:val="24"/>
        </w:rPr>
        <w:t xml:space="preserve"> направления </w:t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contextualSpacing/>
        <w:ind w:left="6378" w:right="0" w:firstLine="0"/>
        <w:spacing w:after="0" w:afterAutospacing="0" w:line="17" w:lineRule="atLeas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развития культу</w:t>
      </w:r>
      <w:r>
        <w:rPr>
          <w:rFonts w:ascii="Liberation Serif" w:hAnsi="Liberation Serif" w:cs="Times New Roman"/>
          <w:sz w:val="24"/>
          <w:szCs w:val="24"/>
        </w:rPr>
        <w:t xml:space="preserve">ры»</w:t>
      </w:r>
      <w:r>
        <w:rPr>
          <w:sz w:val="24"/>
          <w:szCs w:val="24"/>
        </w:rPr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bCs/>
          <w:color w:val="000000"/>
          <w:sz w:val="24"/>
          <w:szCs w:val="24"/>
        </w:rPr>
      </w:pPr>
      <w:r>
        <w:rPr>
          <w:rFonts w:ascii="Liberation Serif" w:hAnsi="Liberation Serif" w:eastAsia="Times New Roman" w:cs="Times New Roman"/>
          <w:b/>
          <w:color w:val="000000"/>
          <w:sz w:val="24"/>
          <w:szCs w:val="24"/>
          <w:lang w:eastAsia="ru-RU"/>
        </w:rPr>
        <w:t xml:space="preserve">ДЕТАЛИЗИРОВАННЫЙ ПЕРЕЧЕНЬ</w:t>
      </w:r>
      <w:r>
        <w:rPr>
          <w:sz w:val="24"/>
          <w:szCs w:val="24"/>
        </w:rPr>
      </w:r>
      <w:r/>
    </w:p>
    <w:p>
      <w:pPr>
        <w:ind w:left="-526"/>
        <w:jc w:val="center"/>
        <w:spacing w:after="0" w:line="240" w:lineRule="auto"/>
        <w:rPr>
          <w:sz w:val="24"/>
          <w:szCs w:val="24"/>
        </w:rPr>
      </w:pPr>
      <w:r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  <w:t xml:space="preserve">мероприятий муниципальной программы муниципального округа </w:t>
      </w:r>
      <w:r>
        <w:rPr>
          <w:sz w:val="24"/>
          <w:szCs w:val="24"/>
        </w:rPr>
      </w:r>
      <w:r/>
    </w:p>
    <w:p>
      <w:pPr>
        <w:ind w:left="-526"/>
        <w:jc w:val="center"/>
        <w:spacing w:after="0" w:line="240" w:lineRule="auto"/>
        <w:rPr>
          <w:rFonts w:ascii="Liberation Serif" w:hAnsi="Liberation Serif" w:eastAsia="Times New Roman" w:cs="Times New Roman"/>
          <w:color w:val="000000"/>
          <w:sz w:val="24"/>
          <w:szCs w:val="24"/>
        </w:rPr>
      </w:pPr>
      <w:r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  <w:t xml:space="preserve">Красноселькупский район Ямало-Ненецкого автономного округа</w:t>
      </w:r>
      <w:r>
        <w:rPr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color w:val="000000"/>
          <w:sz w:val="24"/>
          <w:szCs w:val="24"/>
          <w:highlight w:val="none"/>
        </w:rPr>
      </w:pPr>
      <w:r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  <w:t xml:space="preserve">Основные направления развития культуры </w:t>
      </w:r>
      <w:r>
        <w:rPr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color w:val="000000"/>
          <w:sz w:val="24"/>
          <w:szCs w:val="24"/>
        </w:rPr>
      </w:pPr>
      <w:r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  <w:t xml:space="preserve">(наименование)</w:t>
      </w:r>
      <w:r>
        <w:rPr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color w:val="000000"/>
          <w:sz w:val="24"/>
          <w:szCs w:val="24"/>
        </w:rPr>
      </w:pPr>
      <w:r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  <w:t xml:space="preserve">на 2023 год</w:t>
      </w:r>
      <w:r>
        <w:rPr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eastAsia="Times New Roman" w:cs="Times New Roman"/>
          <w:color w:val="000000"/>
          <w:sz w:val="24"/>
          <w:szCs w:val="24"/>
          <w:highlight w:val="none"/>
          <w:lang w:eastAsia="ru-RU"/>
        </w:rPr>
      </w:r>
      <w:r>
        <w:rPr>
          <w:rFonts w:ascii="Liberation Serif" w:hAnsi="Liberation Serif" w:eastAsia="Times New Roman" w:cs="Times New Roman"/>
          <w:color w:val="000000"/>
          <w:sz w:val="24"/>
          <w:szCs w:val="24"/>
          <w:highlight w:val="none"/>
          <w:lang w:eastAsia="ru-RU"/>
        </w:rPr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tbl>
      <w:tblPr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669"/>
        <w:gridCol w:w="1559"/>
        <w:gridCol w:w="1560"/>
        <w:gridCol w:w="1559"/>
      </w:tblGrid>
      <w:tr>
        <w:trPr>
          <w:trHeight w:val="1785"/>
          <w:tblHeader/>
        </w:trPr>
        <w:tc>
          <w:tcPr>
            <w:shd w:val="clear" w:color="000000" w:fill="ffffff"/>
            <w:tcBorders>
              <w:top w:val="single" w:color="auto" w:sz="4" w:space="0"/>
            </w:tcBorders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N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/п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46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 процессного мероприятия, регионального проекта (проекта Ямала или проекта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района), мероприятия, ответственного исполнителя, соисполнителя, результата регионального проекта (проекта Ямала, проекта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Код бюджетной классификации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Объем финансирования (тыс. руб.)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26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Муниципальная программа муниципального округа Красноселькупский район Ямало-Ненецкого автономного округа "Основные направления развития культуры "- всего, в том числе: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460 695,707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1 479,967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11 701,033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447 514,707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: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460 695,707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Участники: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442 952,4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07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МУК «Централизованная библиотечная система»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36 740,000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МУК «Красноселькупский районный краеведческий музей»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23 212,500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 ДО «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44 905,088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МБУ ДО «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83 049,6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44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МУК «Централизованная клубная система»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138 653,750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МУК «Районный Дом ремесел»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46 633,425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МКУ «Центр обеспечения деятельности учреждений культуры и молодежной политики»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69 758,000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45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Направление 1 «Сохранение культурного наследия, развитие библиотечного и музейного дела, информационно-аналитическое обеспечение отрасли в муниципальном округе Красноселькупский район» всего, в том числе: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59 903,800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61,105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88,895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ff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59 753,800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: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59 903,800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Участники: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59 852,500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МУК «Централизованная библиотечная система»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36 740,000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МУК «Красноселькупский районный краеведческий музей»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23 112,500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Комплекс процессных мероприятий "Развитие библиотечного и музейного дела" 1 - всего, в том числе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59 903,800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61,105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88,895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59 753,800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59 903,800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Участники: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59 852,500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МУК «Централизованная библиотечная система»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36 740,000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МУК «Красноселькупский районный краеведческий музей»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23 112,500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1.1 Субсидия бюджетному учреждению МУК "Централизованная библиотечная система"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36 539,000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36 539,000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957 0830113000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36 539,000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МУК «Централизованная библиотечная система»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36 539,000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957 0830113000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36 539,000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1.2 Субсидия бюджетному учреждению МУК "Красноселькупский районный краеведческий музей"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23 013,000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23 013,000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957 0830113000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23 013,000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МУК «Красноселькупский районный краеведческий музей»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23 013,000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957 0830113000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23 013,000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57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1.3 Презентация музеев автономного округа на всероссийских музейных фестивалях, конкурсах. Культурный обмен между музеями автономного округа, Российской Федерации, дальнего и ближнего зарубежья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99,500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99,500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957 0830188020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99,500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МУК «Красноселькупский районный краеведческий музей»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99,500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957 0830188020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99,500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1.4 Комплектование государственных и муниципальных библиотек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98,000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957 0830188020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МУК «Централизованная библиотечная система»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98,000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957 0830188020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1.5 Комплектование книжных фондов муниципальных общедоступных библиотек в ЯНАО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103,000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103,000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08301L5190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11,105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08301L5190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88,895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08301L5190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МУК «Централизованная библиотечная система»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103,000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08301L5190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11,105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08301L5190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88,895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08301L5190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1.6 Государственная поддержка лучших работников сельских учреждений культуры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51,300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51,300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08301L5190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08301L5190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1,300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35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Направление 2 «Поддержка творческих инициатив, развитие профессионального искусства и народного творчества в муниципальном округе Красноселькупский район» всего, в том числе: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312 673,907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4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1 418,862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9 693,138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ff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301 561,907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: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312 673,9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07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Участники: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312 673,9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07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 ДО «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44 733,088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МБУ ДО «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82 853,6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44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МУК «Централизованная клубная система»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138 453,750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МУК «Районный Дом ремесел»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46 633,</w:t>
            </w:r>
            <w:bookmarkStart w:id="2" w:name="_GoBack"/>
            <w:r>
              <w:rPr>
                <w:sz w:val="22"/>
                <w:szCs w:val="22"/>
              </w:rPr>
            </w:r>
            <w:bookmarkEnd w:id="2"/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425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26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73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Комплекс процессных мероприятий "Развитие дополнительного образования, профессионального искусства и адресная поддержка деятелей культуры и искусства" 1 - всего, в том числе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116 247,732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116 247,732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116 247,7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Участники: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116 247,7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 ДО «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44 733,088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МБУ ДО «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71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514,6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44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79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2.1 Субсидия бюджетному учреждению муниципальное образовательное учреждение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детская школа искусств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44 733,088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44 733,088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957 0830213000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44 733,088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82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МУ ДО «</w:t>
            </w: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44 733,088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957 0830213000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44 733,088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84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2.2 Субсидия бюджетному учреждению муниципальное образовательное учреждение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детская школа искусств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71 514,644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71 514,644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957 0830213000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71 514,644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87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МБУ ДО «</w:t>
            </w: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71 514,944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957 0830213000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71 514,944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89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Региональный проект "Культурная среда" - всего, в том числе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11 339,000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2.2 Субсидия бюджетному учреждению муниципальное образовательное учреждение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детская школа искусств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11 339,000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11 339,000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957 081A155190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1 418,862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957 081A155190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9 693,138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957 081A155190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227,000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95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МБУ ДО «</w:t>
            </w: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11 339,000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Федеральный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957 081A155190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1 418,862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957 081A155190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9 693,138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957 081A155190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227,000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99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Комплекс процессных мероприятий "Развитие народного творчества, народных художественных промыслов и ремёсел" 2 - всего, в том числе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185 087,175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185 087,175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185 087,175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Участники: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185 087,175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МУК «Централизованная клубная система»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138 453,750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МУК «Районный Дом ремесел»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46 633,425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105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2.4 Субсидия бюджетным учреждениям (МУК "Централизованная клубная система")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137 699,050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137 699,050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957 0830313000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137 699,050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108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137 699,050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957 0830313000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137 699,050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2.5 Субсидия бюджетному учреждению МУК "Районный дом ремесел"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40 903,701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40 903,701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957 0830313000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40 903,701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МУК «Районный Дом ремесел»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40 903,701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957 0830313000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40 903,701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2.6 Проведение культурно-досуговых мероприятий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416,000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416,000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957 0830388020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416,000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118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416,000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119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957 0830388020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416,000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2.7 Укрепление материально технической базы учреждений культурно-досугового типа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5 452,923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121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5 452,923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122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957 0830388020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5 452,923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123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МУК «Районный Дом ремесел»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5 452,923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124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957 0830388020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5 452,923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125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2.8 Выявление и поддержка молодых дарований, совершенствование мастерства и исполнительской культуры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338,700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126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338,700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127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957 0830388020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338,700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128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338,700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129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957 0830388020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338,700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130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2.10 Участие в конкурсах и мероприятиях различных уровней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276,801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131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276,801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132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957 0830388020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276,801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133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МУК «Районный Дом ремесел»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276,801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134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957 0830388020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276,801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135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Направление 3 «Обеспечение реализации муниципальной программы» всего, в том числе: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87 450,000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136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1 251,000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137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ff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sz w:val="22"/>
                <w:szCs w:val="22"/>
                <w:lang w:eastAsia="ru-RU"/>
              </w:rPr>
              <w:t xml:space="preserve">86 199,000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138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: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87 450,000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139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МКУ «Центр обеспечения деятельности учреждений культуры и молодежной политики»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69 758,000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02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140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Комплекс процессных мероприятий "Руководство и управление в сфере установленных функций органов местного самоуправления" - всего, в том числе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87 450,000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141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1 251,000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142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86 199,000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143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87 450,000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144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Участник: МКУ «Центр обеспечения деятельности учреждений культуры и молодежной политики»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69 758,000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145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3.1 Обеспечение деятельности Управления по культуре и молодежной политике Администрации района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83 009,000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87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146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83 009,000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147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957 0830472140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1 251,000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148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957 0830411040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13 251,000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149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957 0830412000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68 507,000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150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МКУ «Центр обеспечения деятельности учреждений культуры и молодежной политики»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69 758,000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151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957 0830472140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1 251,000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152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957 0830412000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68 507,000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158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153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3.2 Обеспечение деятельности Управления по культуре и молодежной политике Администрации района (иные выплаты)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4 441,000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847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154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4 441,000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155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Местный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957 0830411040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4 441,000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319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156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Направление 4 «Обеспечение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 социальной поддержки работников сферы культуры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в муниципальном округе Красноселькупский район» всего, в том числе: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668,000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157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668,000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002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158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: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668,000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159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Участники: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668,000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160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 ДО «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172,000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161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МБУ ДО «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196,000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162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МУК «Централизованная клубная система»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200,000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63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163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МУК «Красноселькупский районный краеведческий музей»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164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Комплекс процессных мероприятий "Меры социальной поддержки работникам муниципальных организаций" - всего, в том числе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668,000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165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668,000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166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4.1 Ежемесячные выплаты выпускникам образовательных учреждений, поступившим на работу в муниципальные учреждения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168,000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167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168,000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168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083057363Ж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168,000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37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169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МУ ДО «</w:t>
            </w: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72,000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170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083057363Ж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72,000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511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171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МБУ ДО «</w:t>
            </w: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96,000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172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083057363Ж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96,000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173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4.2 Выплаты при достижении пенсионного возраста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100,000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174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175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957 0830575301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413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176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МУК «Красноселькупский районный краеведческий музей»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100,000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177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957 0830575301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94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178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Мероприятие 4.3 Единовременные выплаты выпускникам учреждений культуры, поступившим на работу в муниципальные учреждения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sz w:val="22"/>
                <w:szCs w:val="22"/>
                <w:lang w:eastAsia="ru-RU"/>
              </w:rPr>
              <w:t xml:space="preserve">400,000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179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:У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правление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 района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400,000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180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083057363Е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200,000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181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957 0830575302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200,000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182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МУ ДО «</w:t>
            </w: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100,000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183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083057363Е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184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МБУ ДО «</w:t>
            </w: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детская школа искусств»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100,000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185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083057363Е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100,000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186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х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200,000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187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466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Окружной бюджет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957 0830575302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6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 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000000" w:fill="ffffff"/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eastAsia="Times New Roman" w:cs="Times New Roman"/>
                <w:color w:val="000000"/>
                <w:sz w:val="22"/>
                <w:szCs w:val="22"/>
                <w:lang w:eastAsia="ru-RU"/>
              </w:rPr>
              <w:t xml:space="preserve">200,000</w:t>
            </w:r>
            <w:r>
              <w:rPr>
                <w:sz w:val="22"/>
                <w:szCs w:val="22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*КБК – Код главы и ЦСР</w:t>
      </w:r>
      <w:r/>
    </w:p>
    <w:p>
      <w:pPr>
        <w:ind w:left="0" w:right="0" w:firstLine="0"/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                     ».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3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  <w:rPr>
        <w:rFonts w:ascii="Liberation Serif" w:hAnsi="Liberation Serif" w:cs="Liberation Serif"/>
        <w:sz w:val="24"/>
        <w:szCs w:val="24"/>
      </w:rPr>
    </w:pPr>
    <w:fldSimple w:instr="PAGE \* MERGEFORMAT">
      <w:r>
        <w:rPr>
          <w:rFonts w:ascii="Liberation Serif" w:hAnsi="Liberation Serif" w:cs="Liberation Serif"/>
          <w:sz w:val="24"/>
          <w:szCs w:val="24"/>
        </w:rPr>
        <w:t xml:space="preserve">1</w:t>
      </w:r>
    </w:fldSimple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  <w:p>
    <w:pPr>
      <w:pStyle w:val="8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9" w:hanging="363"/>
        <w:tabs>
          <w:tab w:val="num" w:pos="1639" w:leader="none"/>
        </w:tabs>
      </w:pPr>
      <w:rPr>
        <w:rFonts w:hint="default"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306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78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50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22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94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66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38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10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0"/>
    <w:next w:val="840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0">
    <w:name w:val="Heading 1 Char"/>
    <w:basedOn w:val="842"/>
    <w:link w:val="669"/>
    <w:uiPriority w:val="9"/>
    <w:rPr>
      <w:rFonts w:ascii="Arial" w:hAnsi="Arial" w:eastAsia="Arial" w:cs="Arial"/>
      <w:sz w:val="40"/>
      <w:szCs w:val="40"/>
    </w:rPr>
  </w:style>
  <w:style w:type="paragraph" w:styleId="671">
    <w:name w:val="Heading 2"/>
    <w:basedOn w:val="840"/>
    <w:next w:val="840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basedOn w:val="842"/>
    <w:link w:val="671"/>
    <w:uiPriority w:val="9"/>
    <w:rPr>
      <w:rFonts w:ascii="Arial" w:hAnsi="Arial" w:eastAsia="Arial" w:cs="Arial"/>
      <w:sz w:val="34"/>
    </w:rPr>
  </w:style>
  <w:style w:type="character" w:styleId="673">
    <w:name w:val="Heading 3 Char"/>
    <w:basedOn w:val="842"/>
    <w:link w:val="841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basedOn w:val="842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basedOn w:val="842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basedOn w:val="842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0"/>
    <w:next w:val="840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basedOn w:val="842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0"/>
    <w:next w:val="840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basedOn w:val="842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0"/>
    <w:next w:val="840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basedOn w:val="842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Title"/>
    <w:basedOn w:val="840"/>
    <w:next w:val="840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basedOn w:val="842"/>
    <w:link w:val="686"/>
    <w:uiPriority w:val="10"/>
    <w:rPr>
      <w:sz w:val="48"/>
      <w:szCs w:val="48"/>
    </w:rPr>
  </w:style>
  <w:style w:type="paragraph" w:styleId="688">
    <w:name w:val="Subtitle"/>
    <w:basedOn w:val="840"/>
    <w:next w:val="840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basedOn w:val="842"/>
    <w:link w:val="688"/>
    <w:uiPriority w:val="11"/>
    <w:rPr>
      <w:sz w:val="24"/>
      <w:szCs w:val="24"/>
    </w:rPr>
  </w:style>
  <w:style w:type="paragraph" w:styleId="690">
    <w:name w:val="Quote"/>
    <w:basedOn w:val="840"/>
    <w:next w:val="840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0"/>
    <w:next w:val="840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character" w:styleId="694">
    <w:name w:val="Header Char"/>
    <w:basedOn w:val="842"/>
    <w:link w:val="851"/>
    <w:uiPriority w:val="99"/>
  </w:style>
  <w:style w:type="character" w:styleId="695">
    <w:name w:val="Footer Char"/>
    <w:basedOn w:val="842"/>
    <w:link w:val="853"/>
    <w:uiPriority w:val="99"/>
  </w:style>
  <w:style w:type="paragraph" w:styleId="696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853"/>
    <w:uiPriority w:val="99"/>
  </w:style>
  <w:style w:type="table" w:styleId="698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7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8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9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0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1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2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9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1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2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3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4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5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6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9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0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2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4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5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7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8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9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0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1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2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basedOn w:val="842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basedOn w:val="842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paragraph" w:styleId="841">
    <w:name w:val="Heading 3"/>
    <w:basedOn w:val="840"/>
    <w:next w:val="840"/>
    <w:link w:val="845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character" w:styleId="845" w:customStyle="1">
    <w:name w:val="Заголовок 3 Знак"/>
    <w:basedOn w:val="842"/>
    <w:link w:val="841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846">
    <w:name w:val="List Paragraph"/>
    <w:basedOn w:val="840"/>
    <w:link w:val="847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character" w:styleId="847" w:customStyle="1">
    <w:name w:val="Абзац списка Знак"/>
    <w:link w:val="846"/>
    <w:uiPriority w:val="34"/>
    <w:rPr>
      <w:rFonts w:ascii="Calibri" w:hAnsi="Calibri" w:eastAsia="Calibri" w:cs="Times New Roman"/>
    </w:rPr>
  </w:style>
  <w:style w:type="paragraph" w:styleId="848">
    <w:name w:val="Body Text"/>
    <w:basedOn w:val="840"/>
    <w:link w:val="849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49" w:customStyle="1">
    <w:name w:val="Основной текст Знак"/>
    <w:basedOn w:val="842"/>
    <w:link w:val="848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50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51">
    <w:name w:val="Header"/>
    <w:basedOn w:val="840"/>
    <w:link w:val="85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2" w:customStyle="1">
    <w:name w:val="Верхний колонтитул Знак"/>
    <w:basedOn w:val="842"/>
    <w:link w:val="851"/>
    <w:uiPriority w:val="99"/>
  </w:style>
  <w:style w:type="paragraph" w:styleId="853">
    <w:name w:val="Footer"/>
    <w:basedOn w:val="840"/>
    <w:link w:val="85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4" w:customStyle="1">
    <w:name w:val="Нижний колонтитул Знак"/>
    <w:basedOn w:val="842"/>
    <w:link w:val="853"/>
    <w:uiPriority w:val="99"/>
  </w:style>
  <w:style w:type="paragraph" w:styleId="855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character" w:styleId="856">
    <w:name w:val="Hyperlink"/>
    <w:basedOn w:val="842"/>
    <w:uiPriority w:val="99"/>
    <w:semiHidden/>
    <w:unhideWhenUsed/>
    <w:rPr>
      <w:color w:val="0563c1"/>
      <w:u w:val="single"/>
    </w:rPr>
  </w:style>
  <w:style w:type="character" w:styleId="857">
    <w:name w:val="FollowedHyperlink"/>
    <w:basedOn w:val="842"/>
    <w:uiPriority w:val="99"/>
    <w:semiHidden/>
    <w:unhideWhenUsed/>
    <w:rPr>
      <w:color w:val="954f72"/>
      <w:u w:val="single"/>
    </w:rPr>
  </w:style>
  <w:style w:type="paragraph" w:styleId="858" w:customStyle="1">
    <w:name w:val="font5"/>
    <w:basedOn w:val="8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859" w:customStyle="1">
    <w:name w:val="font6"/>
    <w:basedOn w:val="8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860" w:customStyle="1">
    <w:name w:val="font7"/>
    <w:basedOn w:val="8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861" w:customStyle="1">
    <w:name w:val="xl65"/>
    <w:basedOn w:val="84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62" w:customStyle="1">
    <w:name w:val="xl66"/>
    <w:basedOn w:val="840"/>
    <w:pPr>
      <w:spacing w:before="100" w:beforeAutospacing="1" w:after="100" w:afterAutospacing="1" w:line="240" w:lineRule="auto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863" w:customStyle="1">
    <w:name w:val="xl67"/>
    <w:basedOn w:val="840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4" w:customStyle="1">
    <w:name w:val="xl68"/>
    <w:basedOn w:val="840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65" w:customStyle="1">
    <w:name w:val="xl69"/>
    <w:basedOn w:val="84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66" w:customStyle="1">
    <w:name w:val="xl70"/>
    <w:basedOn w:val="840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67" w:customStyle="1">
    <w:name w:val="xl71"/>
    <w:basedOn w:val="840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68" w:customStyle="1">
    <w:name w:val="xl72"/>
    <w:basedOn w:val="840"/>
    <w:pPr>
      <w:spacing w:before="100" w:beforeAutospacing="1" w:after="100" w:afterAutospacing="1" w:line="240" w:lineRule="auto"/>
      <w:shd w:val="clear" w:color="000000" w:fill="ffffff"/>
    </w:pPr>
    <w:rPr>
      <w:rFonts w:ascii="Calibri" w:hAnsi="Calibri" w:eastAsia="Times New Roman" w:cs="Calibri"/>
      <w:b/>
      <w:bCs/>
      <w:sz w:val="24"/>
      <w:szCs w:val="24"/>
      <w:lang w:eastAsia="ru-RU"/>
    </w:rPr>
  </w:style>
  <w:style w:type="paragraph" w:styleId="869" w:customStyle="1">
    <w:name w:val="xl73"/>
    <w:basedOn w:val="84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0" w:customStyle="1">
    <w:name w:val="xl74"/>
    <w:basedOn w:val="840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1" w:customStyle="1">
    <w:name w:val="xl75"/>
    <w:basedOn w:val="840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872" w:customStyle="1">
    <w:name w:val="xl76"/>
    <w:basedOn w:val="840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3" w:customStyle="1">
    <w:name w:val="xl77"/>
    <w:basedOn w:val="840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74" w:customStyle="1">
    <w:name w:val="xl78"/>
    <w:basedOn w:val="840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75" w:customStyle="1">
    <w:name w:val="xl79"/>
    <w:basedOn w:val="840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76" w:customStyle="1">
    <w:name w:val="xl80"/>
    <w:basedOn w:val="84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877" w:customStyle="1">
    <w:name w:val="xl81"/>
    <w:basedOn w:val="840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878" w:customStyle="1">
    <w:name w:val="xl82"/>
    <w:basedOn w:val="840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879" w:customStyle="1">
    <w:name w:val="xl83"/>
    <w:basedOn w:val="840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0" w:customStyle="1">
    <w:name w:val="xl84"/>
    <w:basedOn w:val="840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1" w:customStyle="1">
    <w:name w:val="xl85"/>
    <w:basedOn w:val="840"/>
    <w:pPr>
      <w:jc w:val="center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2" w:customStyle="1">
    <w:name w:val="xl86"/>
    <w:basedOn w:val="840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883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84" w:customStyle="1">
    <w:name w:val="Нет списка1"/>
    <w:next w:val="844"/>
    <w:uiPriority w:val="99"/>
    <w:semiHidden/>
    <w:unhideWhenUsed/>
  </w:style>
  <w:style w:type="paragraph" w:styleId="885" w:customStyle="1">
    <w:name w:val="xl87"/>
    <w:basedOn w:val="840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6" w:customStyle="1">
    <w:name w:val="xl88"/>
    <w:basedOn w:val="840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7" w:customStyle="1">
    <w:name w:val="xl89"/>
    <w:basedOn w:val="840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8" w:customStyle="1">
    <w:name w:val="xl90"/>
    <w:basedOn w:val="84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89" w:customStyle="1">
    <w:name w:val="xl91"/>
    <w:basedOn w:val="84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890" w:customStyle="1">
    <w:name w:val="xl92"/>
    <w:basedOn w:val="840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91" w:customStyle="1">
    <w:name w:val="xl93"/>
    <w:basedOn w:val="840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92" w:customStyle="1">
    <w:name w:val="xl94"/>
    <w:basedOn w:val="84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93" w:customStyle="1">
    <w:name w:val="xl95"/>
    <w:basedOn w:val="840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4" w:customStyle="1">
    <w:name w:val="xl96"/>
    <w:basedOn w:val="840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5" w:customStyle="1">
    <w:name w:val="xl97"/>
    <w:basedOn w:val="840"/>
    <w:pPr>
      <w:jc w:val="both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96">
    <w:name w:val="Placeholder Text"/>
    <w:basedOn w:val="842"/>
    <w:uiPriority w:val="99"/>
    <w:semiHidden/>
    <w:rPr>
      <w:color w:val="808080"/>
    </w:rPr>
  </w:style>
  <w:style w:type="paragraph" w:styleId="897">
    <w:name w:val="Balloon Text"/>
    <w:basedOn w:val="840"/>
    <w:link w:val="89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98" w:customStyle="1">
    <w:name w:val="Текст выноски Знак"/>
    <w:basedOn w:val="842"/>
    <w:link w:val="897"/>
    <w:uiPriority w:val="99"/>
    <w:semiHidden/>
    <w:rPr>
      <w:rFonts w:ascii="Tahoma" w:hAnsi="Tahoma" w:cs="Tahoma"/>
      <w:sz w:val="16"/>
      <w:szCs w:val="16"/>
    </w:rPr>
  </w:style>
  <w:style w:type="paragraph" w:styleId="899" w:customStyle="1">
    <w:name w:val="msonormal"/>
    <w:basedOn w:val="8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0">
    <w:name w:val="annotation reference"/>
    <w:basedOn w:val="842"/>
    <w:uiPriority w:val="99"/>
    <w:semiHidden/>
    <w:unhideWhenUsed/>
    <w:rPr>
      <w:sz w:val="16"/>
      <w:szCs w:val="16"/>
    </w:rPr>
  </w:style>
  <w:style w:type="paragraph" w:styleId="901">
    <w:name w:val="annotation text"/>
    <w:basedOn w:val="840"/>
    <w:link w:val="902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02" w:customStyle="1">
    <w:name w:val="Текст примечания Знак"/>
    <w:basedOn w:val="842"/>
    <w:link w:val="901"/>
    <w:uiPriority w:val="99"/>
    <w:semiHidden/>
    <w:rPr>
      <w:sz w:val="20"/>
      <w:szCs w:val="20"/>
    </w:rPr>
  </w:style>
  <w:style w:type="paragraph" w:styleId="903">
    <w:name w:val="annotation subject"/>
    <w:basedOn w:val="901"/>
    <w:next w:val="901"/>
    <w:link w:val="904"/>
    <w:uiPriority w:val="99"/>
    <w:semiHidden/>
    <w:unhideWhenUsed/>
    <w:rPr>
      <w:b/>
      <w:bCs/>
    </w:rPr>
  </w:style>
  <w:style w:type="character" w:styleId="904" w:customStyle="1">
    <w:name w:val="Тема примечания Знак"/>
    <w:basedOn w:val="902"/>
    <w:link w:val="903"/>
    <w:uiPriority w:val="99"/>
    <w:semiHidden/>
    <w:rPr>
      <w:b/>
      <w:bCs/>
      <w:sz w:val="20"/>
      <w:szCs w:val="20"/>
    </w:rPr>
  </w:style>
  <w:style w:type="paragraph" w:styleId="905" w:customStyle="1">
    <w:name w:val="xl98"/>
    <w:basedOn w:val="840"/>
    <w:pPr>
      <w:spacing w:before="100" w:beforeAutospacing="1" w:after="100" w:afterAutospacing="1" w:line="240" w:lineRule="auto"/>
      <w:shd w:val="clear" w:color="000000" w:fill="ffffff"/>
      <w:pBdr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906" w:customStyle="1">
    <w:name w:val="xl99"/>
    <w:basedOn w:val="840"/>
    <w:pPr>
      <w:spacing w:before="100" w:beforeAutospacing="1" w:after="100" w:afterAutospacing="1" w:line="240" w:lineRule="auto"/>
      <w:shd w:val="clear" w:color="000000" w:fill="ffffff"/>
      <w:pBdr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907" w:customStyle="1">
    <w:name w:val="xl100"/>
    <w:basedOn w:val="840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8" w:customStyle="1">
    <w:name w:val="xl101"/>
    <w:basedOn w:val="840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9" w:customStyle="1">
    <w:name w:val="xl102"/>
    <w:basedOn w:val="840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ED74-1371-4DEC-9DD4-C24D536F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294</cp:revision>
  <dcterms:created xsi:type="dcterms:W3CDTF">2021-12-08T13:27:00Z</dcterms:created>
  <dcterms:modified xsi:type="dcterms:W3CDTF">2023-09-14T05:55:45Z</dcterms:modified>
</cp:coreProperties>
</file>