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15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915"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«07» августа 2023г.</w:t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277-П</w:t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изменений в муниципальную программу муниципального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911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«Развитие строительного комплекса и жилищной сферы»</w:t>
      </w:r>
      <w:r>
        <w:rPr>
          <w:rFonts w:ascii="Liberation Serif" w:hAnsi="Liberation Serif" w:cs="Liberation Serif"/>
        </w:rPr>
      </w:r>
      <w:r/>
    </w:p>
    <w:p>
      <w:pPr>
        <w:pStyle w:val="913"/>
        <w:jc w:val="center"/>
        <w:spacing w:after="0" w:afterAutospacing="0" w:line="240" w:lineRule="auto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3"/>
        <w:jc w:val="center"/>
        <w:spacing w:after="0" w:afterAutospacing="0" w:line="240" w:lineRule="auto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contextualSpacing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решения Думы Красноселькупского района от 04.07.2023 № 199 «О внесении изменений в решение Думы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«О бюджете Красноселькупского района на 2023 год и плановый период 2024 и 2025 годов»,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 утвержденным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 Красноселькупского района от 07.12.2021 № 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  <w:tab w:val="left" w:pos="993" w:leader="none"/>
          <w:tab w:val="lef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 Утвердить прилага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емые изменения, которые вносятся в муниципальную программу муниципального округа Красноселькупский район Ямало-Ненецкого автономного округа «Развитие строительного комплекса и жилищной сферы», утвержденную постановлением Администрации Красноселькупского ра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йона от 20.12.2021 № 80-П.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07 июля 2023 года.</w:t>
      </w:r>
      <w:r>
        <w:rPr>
          <w:rFonts w:ascii="Liberation Serif" w:hAnsi="Liberation Serif" w:cs="Liberation Serif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0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  <w:tab/>
        <w:t xml:space="preserve">  Ю.В. Фишер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425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left="0" w:right="0" w:firstLine="5102"/>
        <w:spacing w:after="0" w:afterAutospacing="0" w:line="240" w:lineRule="auto"/>
        <w:tabs>
          <w:tab w:val="left" w:pos="510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УТВЕРЖДЕНЫ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 Красноселькупского района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10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«07» августа 2023 года № 277-П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ИЗМЕНЕНИЯ,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«Развитие строительного компл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екса и жилищной сферы», </w:t>
        <w:br/>
        <w:t xml:space="preserve">утвержденную постановлением Администрации Красноселькупского района </w:t>
        <w:br/>
        <w:t xml:space="preserve">от 20.12.2021 № 80-П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0"/>
        <w:numPr>
          <w:ilvl w:val="0"/>
          <w:numId w:val="3"/>
        </w:numPr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20"/>
        <w:ind w:left="0"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</w:rPr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обеспечени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муниципальной программы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533 819,939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1 167,141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522 365,000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10 287,798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533 819,939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1 167,141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522 365,000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10 287,798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69 683,902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253,992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67 214,000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2 215,910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181 746,037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177 327,000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4 100,497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204 653,000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201 714,000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2 620,460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77 737,000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276,069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76 110,000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1 350,931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1"/>
        <w:jc w:val="right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Структуру к муниципальной программе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СТРУКТУРА</w:t>
      </w:r>
      <w:r>
        <w:rPr>
          <w:rFonts w:ascii="Liberation Serif" w:hAnsi="Liberation Serif" w:cs="Liberation Serif"/>
        </w:rPr>
      </w:r>
      <w:r/>
    </w:p>
    <w:p>
      <w:pPr>
        <w:pStyle w:val="917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pStyle w:val="917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«Развитие строительного комплекса и жилищной сферы»</w:t>
      </w:r>
      <w:r>
        <w:rPr>
          <w:rFonts w:ascii="Liberation Serif" w:hAnsi="Liberation Serif" w:cs="Liberation Serif"/>
        </w:rPr>
      </w:r>
      <w:r/>
    </w:p>
    <w:p>
      <w:pPr>
        <w:pStyle w:val="917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113" w:firstLine="0"/>
        <w:jc w:val="right"/>
        <w:spacing w:after="0" w:afterAutospacing="0" w:line="240" w:lineRule="auto"/>
        <w:rPr>
          <w:rFonts w:ascii="Liberation Serif" w:hAnsi="Liberation Serif" w:cs="Liberation Serif"/>
          <w14:ligatures w14:val="none"/>
        </w:rPr>
      </w:pPr>
      <w:r>
        <w:rPr>
          <w:rFonts w:ascii="Liberation Serif" w:hAnsi="Liberation Serif" w:cs="Liberation Serif"/>
        </w:rPr>
        <w:t xml:space="preserve">тыс. рублей</w:t>
      </w:r>
      <w:r>
        <w:rPr>
          <w:rFonts w:ascii="Liberation Serif" w:hAnsi="Liberation Serif" w:cs="Liberation Serif"/>
        </w:rPr>
      </w:r>
      <w:r/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382"/>
        <w:gridCol w:w="1701"/>
        <w:gridCol w:w="1559"/>
        <w:gridCol w:w="1701"/>
        <w:gridCol w:w="1701"/>
        <w:gridCol w:w="1701"/>
      </w:tblGrid>
      <w:tr>
        <w:trPr>
          <w:trHeight w:val="12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структурного элемента муниципальной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 муниципального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2025 год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 муниципального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округа Красноселькупский район Ямало-Ненецкого автономного округа «Развитие строительного комплекса и жилищной сферы»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Цели муниципальной программы муниципального округа Красноселькупский район Ямало-Ненецкого ав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тономного округа: Обеспечение населения жильём, сокращение доли аварийного жилого фонда.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2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1. Количество семей, получивших государственную поддержку в улучшении жилищных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условий  всех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категорий граждан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семей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3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Общий объём бюджетных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ассигнований  на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533 819,939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69 683,902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181 746,037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204 653,000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77 737,000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счёт федерального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1 167,141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253,992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276,069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522 365,000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67 214,000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177 327,000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201 714,000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76 110,000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10 287,798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2 215,910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4 100,497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2 620,460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1 350,931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1: Улучшение жилищных условий граждан, проживающих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1.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Количество семей, переселенных из аварийного жилищного фонда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семей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1: «Повышение доступности жилья»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270 956,814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53 575,455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73 059,359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90 070,000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54 252,000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счёт федерального бюджета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1 167,141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253,992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276,069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263 441,000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51 490,000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70 289,000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88 539,000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53 123,000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6 348,673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1 831,463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2 451,819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1 212,460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852,931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Проектная часть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Региональный проект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2. Количество семей, улучшивших жилищные условия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семей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Региональный проект «Жилье»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56 049,792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9 165,200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28 006,592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9 439,000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9 439,000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8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55 657,000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9 125,000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27 786,000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9 373,000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9 373,000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392,792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40,200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220,592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 Степень готовности объекта капитального строительства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2: «Строительство (реконструкция) объектов»,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176 225,800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99 380,000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174 193,000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75 807,000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98 386,000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2 032,800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1 038,800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994,000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4.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Обеспеченность муниципального округа Красноселькупский район нормативами градостроительного проектирования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7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3: «Обеспечение документами территориального планирования и документацией по планировке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территорий  муниципальных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образований»,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3: Снос аварийного жилищного фонда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39.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Показатель 5. Количество снесенных аварийных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0,4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4: 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Снос объектов»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30 517,533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6 873,247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3 834,286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5 764,000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14 046,000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29 074,000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6 599,000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3 445,000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5 416,000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13 614,000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44.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2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1 443,533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274,247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389,286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348,000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432,000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pStyle w:val="911"/>
        <w:ind w:firstLine="708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1 к муниципальной программе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</w:rPr>
      </w:r>
      <w:r/>
    </w:p>
    <w:p>
      <w:pPr>
        <w:ind w:left="8931"/>
        <w:keepLines/>
        <w:keepNext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/>
        </w:rPr>
      </w:r>
      <w:r/>
    </w:p>
    <w:p>
      <w:pPr>
        <w:ind w:left="8931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ind w:left="8931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ind w:left="8931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«Развитие строительного комплекса и жилищной сферы»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ХАРАКТЕРИСТИКА МЕРОПРИЯТИЙ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муниципальной программы муниципального округа Красноселькупский райо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н 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Ямало-Ненецкого автономного округа «Развитие строительного комплекса и жилищной сферы» 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Style w:val="767"/>
        <w:tblW w:w="0" w:type="auto"/>
        <w:tblBorders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144"/>
        <w:gridCol w:w="4835"/>
        <w:gridCol w:w="3777"/>
      </w:tblGrid>
      <w:tr>
        <w:trPr>
          <w:trHeight w:val="1275"/>
        </w:trPr>
        <w:tc>
          <w:tcPr>
            <w:tcBorders>
              <w:top w:val="single" w:color="000000" w:sz="6" w:space="0"/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1: Улучшение жилищных условий гражд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ан, проживающих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 №1: «Повышение доступности жилья»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503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1.1. Предоставление социальных выплат на приобретение (строительство) жилья молодым семьям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года будет достигнут следующий результат: оказана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обеспечении жильем 4-м молодым семьям. (В 2022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обеспечении жильем получила 1 семья - исполнено); В 2023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обеспечении жильем получила 1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емья - исполнено)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39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района); соисполнители - Администрация Красноселькупского района (Управление жизнеобеспечения села Красносель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куп Администрации Красноселькупского района), Администрация села Толька, Администрация села Ратта.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1.2. Приобретение жилых помещений для предоставления гражданам по договору социального найма (мены) жилого помещения, выплата возмещения собствен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никам за изымаемые жилые помещения в рамках мероприятий по расселению жилищного фонда, признанного непригодным для проживания после 01.01.2017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улучшении жилищных условий - 93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семьям, в т.ч. 2022 г. - 18 семьям (исполнено); 2023 г. - 26 семьям; 2024 г. - 32 семьям; 2025 - 17 семьям; Площадь расселенного аварийного жилищного фонда к 2025 году составит более 4 тыс. кв. метров.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«Жилье» F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№1.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3.F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Предоставление социальных выплат на приобретение (строительство) жилья молодым семьям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ода будут достигнуты следующие результаты: оказана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обеспечении жильем 16 молодым семьям,  в т.ч. 2022 г. - 4 семьям (исполнено); 2023 г. - 7 семьям; 2024 г. - 1 семье; 2025 г. - 4 семьям.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89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№1.4. F2. Предоставление социальных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гос.поддержка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обеспечении жи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льем 6 семьям, в т.ч. 2022 г. - 2 семьям (исполнено); 2023 г. - 2 семьям; 2024 г. - 1 семье; 2025 г. - 1 семье.   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2: 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 (реконструкция) объекта»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4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№2.1. 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с.Красноселькуп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ул. Мамонова, 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7А, в том числе проектно-изыскательские работы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2024 года будут достигнуты следующие результаты: завершено строительство многоквартирного дома на 42 квартиры.    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Комплекс процессных мероприятий №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3:  «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Обеспечение нормативами градостроительного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проектирования муниципального округа Красноселькупский район»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96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Меро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приятие №3.1. Разработка местных нормативов градостроительного проектирования на территории муниципального округа Красноселькупский район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Исполнено. В 2022 году разработан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  <w:t xml:space="preserve">нормативный правовой акт.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755" w:type="dxa"/>
            <w:textDirection w:val="lrTb"/>
            <w:noWrap w:val="false"/>
          </w:tcPr>
          <w:p>
            <w:pPr>
              <w:pStyle w:val="911"/>
              <w:ind w:left="142"/>
              <w:jc w:val="center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4: 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Снос объектов»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48"/>
        </w:trPr>
        <w:tc>
          <w:tcPr>
            <w:shd w:val="clear" w:color="ffffff" w:fill="ffffff"/>
            <w:tcBorders>
              <w:left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restart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исполнители - Администрация Красноселькупского района (Управление муниципальным имуществом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истрации Красноселькупского района), Администрация села Толька, Администрация села Ратта.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№4.1. Снос расселенных аварийных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года будут достигнуты следующие результаты: снесено расселенных аварийных жилых домов - 31 дом площадь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 10,58 тыс. кв. метров: В 2022 году - 8 аварийных домов общей площадью 3,06 тыс. кв. метров (исполнено); 2023 год - 6 домов площадью 1,42 тыс. кв.м.; 2024 год - 8 домов площадью 1,7 тыс. кв.м.; 2025 год - 9 домов площадью 4,4 тыс. кв. м.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19"/>
        </w:trPr>
        <w:tc>
          <w:tcPr>
            <w:shd w:val="clear" w:color="ffffff" w:fill="ffffff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35" w:type="dxa"/>
            <w:textDirection w:val="lrTb"/>
            <w:noWrap w:val="false"/>
          </w:tcPr>
          <w:p>
            <w:pPr>
              <w:pStyle w:val="911"/>
              <w:ind w:firstLine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№4.2. Разработка проектов организации работ по сносу объектов капитального строительства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77" w:type="dxa"/>
            <w:textDirection w:val="lrTb"/>
            <w:noWrap w:val="false"/>
          </w:tcPr>
          <w:p>
            <w:pPr>
              <w:pStyle w:val="911"/>
              <w:ind w:left="142"/>
              <w:spacing w:after="0" w:afterAutospacing="0" w:line="240" w:lineRule="auto"/>
              <w:tabs>
                <w:tab w:val="left" w:pos="142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концу 2025 года будут достигнуты следующие результаты: разработано 31 проект по сносу объектов капитального строительства. В 2022 году разработано 8 прое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ктов по сносу объектов капитального строительства (исполнено). 2023 год - 6 проектов (исполнено); 2024 год - 8 проектов; 2025 год - 9 проектов.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0" w:right="0"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Приложение № 2.1 к муниципальной программе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72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</w:rPr>
      </w:r>
      <w:r/>
    </w:p>
    <w:p>
      <w:pPr>
        <w:ind w:left="9204" w:firstLine="708"/>
        <w:keepLines/>
        <w:keepNext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2.1</w:t>
      </w:r>
      <w:r>
        <w:rPr>
          <w:rFonts w:ascii="Liberation Serif" w:hAnsi="Liberation Serif" w:cs="Liberation Serif"/>
        </w:rPr>
      </w:r>
      <w:r/>
    </w:p>
    <w:p>
      <w:pPr>
        <w:ind w:left="9923"/>
        <w:keepLines/>
        <w:keepNext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«Развитие строительного комплекса и жилищной сферы»</w:t>
      </w:r>
      <w:r>
        <w:rPr>
          <w:rFonts w:ascii="Liberation Serif" w:hAnsi="Liberation Serif" w:cs="Liberation Serif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9923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на 2023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год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Style w:val="767"/>
        <w:tblW w:w="0" w:type="auto"/>
        <w:tblInd w:w="7" w:type="dxa"/>
        <w:tblLayout w:type="fixed"/>
        <w:tblLook w:val="04A0" w:firstRow="1" w:lastRow="0" w:firstColumn="1" w:lastColumn="0" w:noHBand="0" w:noVBand="1"/>
      </w:tblPr>
      <w:tblGrid>
        <w:gridCol w:w="533"/>
        <w:gridCol w:w="6129"/>
        <w:gridCol w:w="1835"/>
        <w:gridCol w:w="4401"/>
        <w:gridCol w:w="1701"/>
      </w:tblGrid>
      <w:tr>
        <w:trPr>
          <w:trHeight w:val="19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N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Красноселькупского района),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Объем финансирова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ния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3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181 746,037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177 327,000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4 100,497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30 441,592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62 040,270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12 418,375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2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1: Улучшение жилищных условий граждан, проживающих в Красноселькупском районе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101 065,951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98 075,000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2 672,411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30 441,592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60 784,526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9 839,833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1:  «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Повышение доступности жилья»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73 059,359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70 289,000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2 451,819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2 435,000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60 784,526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9 839,833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5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Мероприятие 1.1.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Предоставление социальных выплат на приобретение (строительство) жилья молодым семьям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Постановление Правительства ЯНАО от 12.02.2019 № 112-П «О предоставлен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ии социальных выплат на приобретение (строительство) жилья семьям в Ямало-Ненецком автономном округе»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2 435,000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8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2 435,000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Федеральный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03301L4970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318,540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03301L4970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2 091,000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03301L4970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25,460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Мероприятие 1.2. 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по расселению жилищного фонда, признанного непригодным для проживания после 01.01.2017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жилищной сферы»; Порядок реализации мероприятия является приложением 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к  государственной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программе ЯНАО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70 624,359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13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60 784,526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911 0330171600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58 524,742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03301S1600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2 030,449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911 0330164300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229,335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9 839,833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902 0330171600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9 673,258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03301S1600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97,710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902 0330164300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68,865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1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Региональный проект «Жилье» F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28 006,592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27 786,000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220,592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28 006,592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16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1.3. F1.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Предоставление социальных выплат на приобретение (строительство) жилья молодым семьям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коммунальными услугами граждан Российской Федерации»; 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22 008,592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2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22 008,592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901 031F171830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11 465,000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901 031F1S1830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116,300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901 031F171832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10 323,000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901 031F1S1832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104,292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Мероприятие 1.4. F2.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Постановление Правительства ЯНАО от 25.12.2013 № 1099-П «Об утверж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дении государственной программы Ямало-Ненецкого автономного округа «Развитие строительного комплекса и жилищной сферы»; Закон ЯНАО от 23.2019 №138-ЗАО «О наделении органов местного самоуправления муниципальных районов и городских округов в Ямало-Ненецком а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имеющим трех и более детей, взамен предоставления земельного участк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а в собственность бесплатно»; Постановление Правительства ЯНАО от 18.2016 № 110-П «Об утверждении Порядка предоставления социальных выплат на приобретение (строительство) жилого помещения гражданам, имеющим трёх и более детей, взамен предоставления земельн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ого участка в собственность бесплатно»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5 998,000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57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5 998,000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901 031F171830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2 868,000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901 031F171831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3 130,000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27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75 807,000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1 038,800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2: «Строительство (реконструкция) объектов»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75 807,000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1 038,800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4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3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Мероприятие 2.1.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с.Красноселькуп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ул.Мамонова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, д.7А, в том числе проектно-изыскательские работы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Распоряжение Правительства Ямало-Ненецкого автономного 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округа  от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05 декабря 2022 год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а 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51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76 845,800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901 0330271350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75 807,000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901 03302S1350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1 038,800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4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3 834,286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3 445,000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389,286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1 255,744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2 578,542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Комплекс процессных мероприятий 4: «Снос объектов»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3 834,286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3 445,000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389,286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1 255,744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2 578,542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56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Мероприятие 4.1.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Снос расселенных аварийных домов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приложением 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к  государственной</w:t>
            </w:r>
            <w:r>
              <w:rPr>
                <w:rFonts w:ascii="Liberation Serif" w:hAnsi="Liberation Serif" w:cs="Liberation Serif"/>
                <w:sz w:val="20"/>
                <w:szCs w:val="20"/>
                <w:highlight w:val="white"/>
              </w:rPr>
              <w:t xml:space="preserve"> программе ЯНАО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3 479,800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pStyle w:val="911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pStyle w:val="911"/>
              <w:spacing w:after="0" w:afterAutospacing="0" w:line="240" w:lineRule="auto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1 066,258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911 0330471600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1 055,593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03304S1600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10,665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2 413,542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902 0330471600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2 389,407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79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03304S1600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24,135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Мероприятие 4.2.</w:t>
            </w: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 Разработка проектов организации работ по сносу объектов капитального строительства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354,486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7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189,486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911 0330464630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189,486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Соисполнитель - Администрация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129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902 0330464630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01" w:type="dxa"/>
            <w:textDirection w:val="lrTb"/>
            <w:noWrap w:val="false"/>
          </w:tcPr>
          <w:p>
            <w:pPr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Cs w:val="24"/>
                <w:highlight w:val="white"/>
              </w:rPr>
              <w:t xml:space="preserve">165,000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10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18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0">
    <w:name w:val="Plain Table 1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7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4"/>
    <w:basedOn w:val="7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9">
    <w:name w:val="Grid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2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4">
    <w:name w:val="List Table 3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4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5 Dark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7">
    <w:name w:val="List Table 6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8">
    <w:name w:val="List Table 7 Colorful"/>
    <w:basedOn w:val="7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9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700">
    <w:name w:val="Heading 1"/>
    <w:basedOn w:val="699"/>
    <w:next w:val="699"/>
    <w:link w:val="74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1">
    <w:name w:val="Heading 2"/>
    <w:basedOn w:val="699"/>
    <w:next w:val="699"/>
    <w:link w:val="74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2">
    <w:name w:val="Heading 3"/>
    <w:basedOn w:val="699"/>
    <w:next w:val="699"/>
    <w:link w:val="74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3">
    <w:name w:val="Heading 4"/>
    <w:basedOn w:val="699"/>
    <w:next w:val="69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699"/>
    <w:next w:val="699"/>
    <w:link w:val="75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5">
    <w:name w:val="Heading 6"/>
    <w:basedOn w:val="699"/>
    <w:next w:val="699"/>
    <w:link w:val="75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6">
    <w:name w:val="Heading 7"/>
    <w:basedOn w:val="699"/>
    <w:next w:val="699"/>
    <w:link w:val="75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7">
    <w:name w:val="Heading 8"/>
    <w:basedOn w:val="699"/>
    <w:next w:val="699"/>
    <w:link w:val="75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8">
    <w:name w:val="Heading 9"/>
    <w:basedOn w:val="699"/>
    <w:next w:val="699"/>
    <w:link w:val="75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Heading 1 Char"/>
    <w:basedOn w:val="709"/>
    <w:uiPriority w:val="9"/>
    <w:rPr>
      <w:rFonts w:ascii="Arial" w:hAnsi="Arial" w:eastAsia="Arial" w:cs="Arial"/>
      <w:sz w:val="40"/>
      <w:szCs w:val="40"/>
    </w:rPr>
  </w:style>
  <w:style w:type="character" w:styleId="713" w:customStyle="1">
    <w:name w:val="Heading 2 Char"/>
    <w:basedOn w:val="709"/>
    <w:uiPriority w:val="9"/>
    <w:rPr>
      <w:rFonts w:ascii="Arial" w:hAnsi="Arial" w:eastAsia="Arial" w:cs="Arial"/>
      <w:sz w:val="34"/>
    </w:rPr>
  </w:style>
  <w:style w:type="character" w:styleId="714" w:customStyle="1">
    <w:name w:val="Heading 3 Char"/>
    <w:basedOn w:val="709"/>
    <w:uiPriority w:val="9"/>
    <w:rPr>
      <w:rFonts w:ascii="Arial" w:hAnsi="Arial" w:eastAsia="Arial" w:cs="Arial"/>
      <w:sz w:val="30"/>
      <w:szCs w:val="30"/>
    </w:rPr>
  </w:style>
  <w:style w:type="character" w:styleId="715" w:customStyle="1">
    <w:name w:val="Heading 4 Char"/>
    <w:basedOn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16" w:customStyle="1">
    <w:name w:val="Heading 5 Char"/>
    <w:basedOn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17" w:customStyle="1">
    <w:name w:val="Heading 6 Char"/>
    <w:basedOn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18" w:customStyle="1">
    <w:name w:val="Heading 7 Char"/>
    <w:basedOn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 w:customStyle="1">
    <w:name w:val="Heading 8 Char"/>
    <w:basedOn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Heading 9 Char"/>
    <w:basedOn w:val="709"/>
    <w:uiPriority w:val="9"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itle Char"/>
    <w:basedOn w:val="709"/>
    <w:uiPriority w:val="10"/>
    <w:rPr>
      <w:sz w:val="48"/>
      <w:szCs w:val="48"/>
    </w:rPr>
  </w:style>
  <w:style w:type="character" w:styleId="722" w:customStyle="1">
    <w:name w:val="Subtitle Char"/>
    <w:basedOn w:val="709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table" w:styleId="725" w:customStyle="1">
    <w:name w:val="Таблица простая 11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7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Таблица-сетк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Таблица-сетка 4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Таблица-сетк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5" w:customStyle="1">
    <w:name w:val="Таблица-сетк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Таблица-сетк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Список-таблица 1 светлая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Список-таблиц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9" w:customStyle="1">
    <w:name w:val="Список-таблиц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Список-таблица 4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Список-таблиц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Список-таблиц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43" w:customStyle="1">
    <w:name w:val="Список-таблиц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basedOn w:val="709"/>
    <w:link w:val="700"/>
    <w:uiPriority w:val="9"/>
    <w:rPr>
      <w:rFonts w:ascii="Arial" w:hAnsi="Arial" w:eastAsia="Arial" w:cs="Arial"/>
      <w:sz w:val="40"/>
      <w:szCs w:val="40"/>
    </w:rPr>
  </w:style>
  <w:style w:type="character" w:styleId="747" w:customStyle="1">
    <w:name w:val="Заголовок 2 Знак"/>
    <w:basedOn w:val="709"/>
    <w:link w:val="701"/>
    <w:uiPriority w:val="9"/>
    <w:rPr>
      <w:rFonts w:ascii="Arial" w:hAnsi="Arial" w:eastAsia="Arial" w:cs="Arial"/>
      <w:sz w:val="34"/>
    </w:rPr>
  </w:style>
  <w:style w:type="character" w:styleId="748" w:customStyle="1">
    <w:name w:val="Заголовок 3 Знак"/>
    <w:basedOn w:val="709"/>
    <w:link w:val="702"/>
    <w:uiPriority w:val="9"/>
    <w:rPr>
      <w:rFonts w:ascii="Arial" w:hAnsi="Arial" w:eastAsia="Arial" w:cs="Arial"/>
      <w:sz w:val="30"/>
      <w:szCs w:val="30"/>
    </w:rPr>
  </w:style>
  <w:style w:type="character" w:styleId="749" w:customStyle="1">
    <w:name w:val="Заголовок 4 Знак"/>
    <w:basedOn w:val="709"/>
    <w:link w:val="703"/>
    <w:uiPriority w:val="9"/>
    <w:rPr>
      <w:rFonts w:ascii="Arial" w:hAnsi="Arial" w:eastAsia="Arial" w:cs="Arial"/>
      <w:b/>
      <w:bCs/>
      <w:sz w:val="26"/>
      <w:szCs w:val="26"/>
    </w:rPr>
  </w:style>
  <w:style w:type="character" w:styleId="750" w:customStyle="1">
    <w:name w:val="Заголовок 5 Знак"/>
    <w:basedOn w:val="709"/>
    <w:link w:val="704"/>
    <w:uiPriority w:val="9"/>
    <w:rPr>
      <w:rFonts w:ascii="Arial" w:hAnsi="Arial" w:eastAsia="Arial" w:cs="Arial"/>
      <w:b/>
      <w:bCs/>
      <w:sz w:val="24"/>
      <w:szCs w:val="24"/>
    </w:rPr>
  </w:style>
  <w:style w:type="character" w:styleId="751" w:customStyle="1">
    <w:name w:val="Заголовок 6 Знак"/>
    <w:basedOn w:val="709"/>
    <w:link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752" w:customStyle="1">
    <w:name w:val="Заголовок 7 Знак"/>
    <w:basedOn w:val="709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0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Заголовок 9 Знак"/>
    <w:basedOn w:val="709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Title"/>
    <w:basedOn w:val="699"/>
    <w:next w:val="699"/>
    <w:link w:val="756"/>
    <w:uiPriority w:val="10"/>
    <w:qFormat/>
    <w:pPr>
      <w:contextualSpacing/>
      <w:spacing w:before="300"/>
    </w:pPr>
    <w:rPr>
      <w:sz w:val="48"/>
      <w:szCs w:val="48"/>
    </w:rPr>
  </w:style>
  <w:style w:type="character" w:styleId="756" w:customStyle="1">
    <w:name w:val="Заголовок Знак"/>
    <w:basedOn w:val="709"/>
    <w:link w:val="755"/>
    <w:uiPriority w:val="10"/>
    <w:rPr>
      <w:sz w:val="48"/>
      <w:szCs w:val="48"/>
    </w:rPr>
  </w:style>
  <w:style w:type="paragraph" w:styleId="757">
    <w:name w:val="Subtitle"/>
    <w:basedOn w:val="699"/>
    <w:next w:val="699"/>
    <w:link w:val="758"/>
    <w:uiPriority w:val="11"/>
    <w:qFormat/>
    <w:pPr>
      <w:spacing w:before="200"/>
    </w:pPr>
    <w:rPr>
      <w:sz w:val="24"/>
      <w:szCs w:val="24"/>
    </w:rPr>
  </w:style>
  <w:style w:type="character" w:styleId="758" w:customStyle="1">
    <w:name w:val="Подзаголовок Знак"/>
    <w:basedOn w:val="709"/>
    <w:link w:val="757"/>
    <w:uiPriority w:val="11"/>
    <w:rPr>
      <w:sz w:val="24"/>
      <w:szCs w:val="24"/>
    </w:rPr>
  </w:style>
  <w:style w:type="paragraph" w:styleId="759">
    <w:name w:val="Quote"/>
    <w:basedOn w:val="699"/>
    <w:next w:val="699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699"/>
    <w:next w:val="699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character" w:styleId="763" w:customStyle="1">
    <w:name w:val="Header Char"/>
    <w:basedOn w:val="709"/>
    <w:uiPriority w:val="99"/>
  </w:style>
  <w:style w:type="character" w:styleId="764" w:customStyle="1">
    <w:name w:val="Footer Char"/>
    <w:basedOn w:val="709"/>
    <w:uiPriority w:val="99"/>
  </w:style>
  <w:style w:type="paragraph" w:styleId="765">
    <w:name w:val="Caption"/>
    <w:basedOn w:val="699"/>
    <w:next w:val="699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66" w:customStyle="1">
    <w:name w:val="Caption Char"/>
    <w:uiPriority w:val="99"/>
  </w:style>
  <w:style w:type="table" w:styleId="767">
    <w:name w:val="Table Grid"/>
    <w:basedOn w:val="71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Таблица простая 11"/>
    <w:basedOn w:val="7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Таблица простая 21"/>
    <w:basedOn w:val="7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Таблица простая 3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Таблица простая 4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Таблица простая 5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Таблица-сетка 1 светл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а-сетк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Таблица-сетк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Таблица-сетка 4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97" w:customStyle="1">
    <w:name w:val="Grid Table 4 - Accent 2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01" w:customStyle="1">
    <w:name w:val="Grid Table 4 - Accent 6"/>
    <w:basedOn w:val="7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Таблица-сетк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Таблица-сетк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1" w:customStyle="1">
    <w:name w:val="Grid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 w:customStyle="1">
    <w:name w:val="Grid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Таблица-сетк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Список-таблица 1 светлая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Список-таблица 2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Список-таблица 3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Список-таблица 5 тем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Список-таблица 6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60" w:customStyle="1">
    <w:name w:val="List Table 6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64" w:customStyle="1">
    <w:name w:val="List Table 6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Список-таблица 7 цветная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4" w:customStyle="1">
    <w:name w:val="Lined - Accent 2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8" w:customStyle="1">
    <w:name w:val="Lined - Accent 6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81" w:customStyle="1">
    <w:name w:val="Bordered &amp; Lined - Accent 2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5" w:customStyle="1">
    <w:name w:val="Bordered &amp; Lined - Accent 6"/>
    <w:basedOn w:val="7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88" w:customStyle="1">
    <w:name w:val="Bordered - Accent 2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92" w:customStyle="1">
    <w:name w:val="Bordered - Accent 6"/>
    <w:basedOn w:val="7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699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basedOn w:val="709"/>
    <w:uiPriority w:val="99"/>
    <w:unhideWhenUsed/>
    <w:rPr>
      <w:vertAlign w:val="superscript"/>
    </w:rPr>
  </w:style>
  <w:style w:type="paragraph" w:styleId="897">
    <w:name w:val="endnote text"/>
    <w:basedOn w:val="699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basedOn w:val="709"/>
    <w:uiPriority w:val="99"/>
    <w:semiHidden/>
    <w:unhideWhenUsed/>
    <w:rPr>
      <w:vertAlign w:val="superscript"/>
    </w:rPr>
  </w:style>
  <w:style w:type="paragraph" w:styleId="900">
    <w:name w:val="toc 1"/>
    <w:basedOn w:val="699"/>
    <w:next w:val="699"/>
    <w:uiPriority w:val="39"/>
    <w:unhideWhenUsed/>
    <w:pPr>
      <w:spacing w:after="57"/>
    </w:pPr>
  </w:style>
  <w:style w:type="paragraph" w:styleId="901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902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903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904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905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906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907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908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699"/>
    <w:next w:val="699"/>
    <w:uiPriority w:val="99"/>
    <w:unhideWhenUsed/>
    <w:pPr>
      <w:spacing w:after="0"/>
    </w:pPr>
  </w:style>
  <w:style w:type="paragraph" w:styleId="911">
    <w:name w:val="No Spacing"/>
    <w:link w:val="912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12" w:customStyle="1">
    <w:name w:val="Без интервала Знак"/>
    <w:basedOn w:val="709"/>
    <w:link w:val="911"/>
    <w:uiPriority w:val="1"/>
    <w:rPr>
      <w:rFonts w:eastAsiaTheme="minorEastAsia"/>
      <w:lang w:eastAsia="ru-RU"/>
    </w:rPr>
  </w:style>
  <w:style w:type="paragraph" w:styleId="913">
    <w:name w:val="Footer"/>
    <w:basedOn w:val="699"/>
    <w:link w:val="91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"/>
    <w:basedOn w:val="709"/>
    <w:link w:val="913"/>
    <w:uiPriority w:val="99"/>
    <w:rPr>
      <w:rFonts w:eastAsiaTheme="minorEastAsia"/>
      <w:lang w:eastAsia="ru-RU"/>
    </w:rPr>
  </w:style>
  <w:style w:type="paragraph" w:styleId="915">
    <w:name w:val="Body Text"/>
    <w:basedOn w:val="699"/>
    <w:link w:val="916"/>
    <w:unhideWhenUsed/>
    <w:pPr>
      <w:spacing w:after="120"/>
    </w:pPr>
  </w:style>
  <w:style w:type="character" w:styleId="916" w:customStyle="1">
    <w:name w:val="Основной текст Знак"/>
    <w:basedOn w:val="709"/>
    <w:link w:val="915"/>
    <w:rPr>
      <w:rFonts w:eastAsiaTheme="minorEastAsia"/>
      <w:lang w:eastAsia="ru-RU"/>
    </w:rPr>
  </w:style>
  <w:style w:type="paragraph" w:styleId="91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paragraph" w:styleId="918">
    <w:name w:val="Header"/>
    <w:basedOn w:val="69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09"/>
    <w:link w:val="918"/>
    <w:uiPriority w:val="99"/>
    <w:rPr>
      <w:rFonts w:eastAsiaTheme="minorEastAsia"/>
      <w:lang w:eastAsia="ru-RU"/>
    </w:rPr>
  </w:style>
  <w:style w:type="paragraph" w:styleId="920">
    <w:name w:val="List Paragraph"/>
    <w:basedOn w:val="699"/>
    <w:uiPriority w:val="34"/>
    <w:qFormat/>
    <w:pPr>
      <w:contextualSpacing/>
      <w:ind w:left="720"/>
    </w:pPr>
  </w:style>
  <w:style w:type="paragraph" w:styleId="921">
    <w:name w:val="Balloon Text"/>
    <w:basedOn w:val="699"/>
    <w:link w:val="92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2" w:customStyle="1">
    <w:name w:val="Текст выноски Знак"/>
    <w:basedOn w:val="709"/>
    <w:link w:val="921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230</cp:revision>
  <dcterms:created xsi:type="dcterms:W3CDTF">2021-12-16T10:27:00Z</dcterms:created>
  <dcterms:modified xsi:type="dcterms:W3CDTF">2023-08-07T09:51:51Z</dcterms:modified>
</cp:coreProperties>
</file>