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</w:r>
      <w:r>
        <w:rPr>
          <w:rFonts w:ascii="Liberation Serif" w:hAnsi="Liberation Serif" w:eastAsia="Times New Roman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0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0"/>
        <w:jc w:val="left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«03» августа 2023 г.</w:t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273-П</w:t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«Управление муниципальным имуществом»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jc w:val="both"/>
        <w:spacing w:after="0" w:afterAutospacing="0" w:line="240" w:lineRule="auto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jc w:val="both"/>
        <w:spacing w:after="0" w:afterAutospacing="0" w:line="240" w:lineRule="auto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8"/>
        <w:ind w:firstLine="720"/>
        <w:jc w:val="both"/>
        <w:spacing w:after="0" w:afterAutospacing="0" w:line="240" w:lineRule="auto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решением Думы Красноселькупского района от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04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.0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7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.2023 № 1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99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«О внесении изменений в решение Думы Красноселькупского района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 бюджете Красноселькупск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23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год и на плановый период 202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4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5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годов»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,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afterAutospacing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Утвердить прилагаемые изменения, которые вносятся в муниципальную </w:t>
      </w:r>
      <w:r>
        <w:rPr>
          <w:rFonts w:ascii="Liberation Serif" w:hAnsi="Liberation Serif" w:cs="Liberation Serif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Liberation Serif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Красноселькупского района от 20.12.2021 № 92-П.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Настоящее постановление вступает в силу с момента его опубликования и распространяет свое действие на правоотношения, возникшие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0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7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июля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2023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  <w:tab/>
        <w:t xml:space="preserve">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left="5386" w:right="0" w:firstLine="0"/>
        <w:spacing w:after="0" w:afterAutospacing="0" w:line="240" w:lineRule="auto"/>
        <w:tabs>
          <w:tab w:val="left" w:pos="510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386" w:right="0" w:firstLine="0"/>
        <w:spacing w:after="0" w:afterAutospacing="0" w:line="240" w:lineRule="auto"/>
        <w:tabs>
          <w:tab w:val="left" w:pos="510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«03» августа 2023 года № 273-П</w:t>
      </w:r>
      <w:r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Красноселькупского района от 20.12.2021 № 92-П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496"/>
        <w:gridCol w:w="3310"/>
        <w:gridCol w:w="1955"/>
      </w:tblGrid>
      <w:tr>
        <w:trPr>
          <w:trHeight w:val="3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703 197,423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334 015,000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369 182,423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703 197,423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334 015,000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369 182,423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-в том числе по годам: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375 864,117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122 079,117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190 995,306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80 230,000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110 765,306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9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5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86"/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Структуру муниципальной программы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10205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10205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10205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ind w:left="10205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«__» ______ 2023 года № 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СТРУКТУРА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 муниципальным имуществом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636"/>
        <w:gridCol w:w="6892"/>
        <w:gridCol w:w="1559"/>
        <w:gridCol w:w="1560"/>
        <w:gridCol w:w="1417"/>
        <w:gridCol w:w="1418"/>
        <w:gridCol w:w="1525"/>
      </w:tblGrid>
      <w:tr>
        <w:trPr>
          <w:trHeight w:val="1259"/>
          <w:tblHeader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2023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2024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2025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8"/>
          <w:tblHeader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Цель муниципальной программы: «Обеспечение эффективного управления и распоряжения муниципальным имуществом и земельным фондом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2" w:type="dxa"/>
            <w:vAlign w:val="bottom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1.  Доля поступивших доходов от использования и распоряжения муниципального имущества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93" w:right="-11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instrText xml:space="preserve"> LINK Excel.Sheet.12 "\\\\192.168.0.21\\obmen\\files obmen\\3_1 Ксения\\Проект\\5 Программа.xlsx" Структура!R11C3 \a \f 5 \h  \* MERGEFORMAT </w:instrText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-93" w:right="-11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703 197,423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375 864,117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190 995,306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счёт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334 015,000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80 230,000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369 182,423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122 079,117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110 765,306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68 169,000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№ 1.1 «Количество карт (планов) границ»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Весовое значение показателя 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№ 1.2 «Количество земельных участков, прошедших государственный кадастровый учет»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1.2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№1.3 «Количество цифровых топографических планов и координат пунктов ОМС»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1.3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«Организация и проведение работ в отношении земельного фонда муниципального округа» всего тыс. руб.,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8 564,952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1 091,952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2 287,000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8 564,952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1 091,952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2 593,000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№ 2.1 «Доля обращений граждан в Управление муниципальным имуществом, рассмотренных в установленные законодательством муниципального округа сроки, от общего количества обращений в Управление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209 623,324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54 309,324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209 623,324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54 309,324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62 572,000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46 371,000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37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№ 3.1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Доля принятого к учету муниципального имущества района в реестре муниципальной собственности района к заявленному к учету в реестре муниципальной собственности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№ 3.2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Доля выполненных мероприятий по государственной регистрации прав собственности района на объекты недвижимого имущества, в т.ч. земельные участки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3.2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№ 3.3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Доля объектов, прошедших оценку рыночной стоимости к заявленным объектам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3.3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9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№ 3.4 Количество приобретенных комплектов (мобильных) инвентарных зданий мини спортивных комплексов и лыжных баз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9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Весовое значение показателя 3.4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«Эффективное управление и распоряжение муниципальным имуществом» </w:t>
            </w: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всего тыс. руб.,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485 009,147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320 462,841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126 136,306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334 015,000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253 785,000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80 230,000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6.14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9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150 994,147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66 677,841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45 906,306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19 205,000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  <w:br w:type="page" w:clear="all"/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№ 1 к муниципальной программе изложить в следующей редакции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left="9923"/>
        <w:keepLines/>
        <w:keepNext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«Приложение №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«Управление муниципальным имуществом»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ХАРАКТЕРИСТИКА МЕРОПРИЯТИЙ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 «Управление муниципальным имуществом»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14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5103"/>
        <w:gridCol w:w="4110"/>
        <w:gridCol w:w="4252"/>
      </w:tblGrid>
      <w:tr>
        <w:trPr>
          <w:trHeight w:val="1858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N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Наименование комплекса процессных мероприятий, регионального проекта ( проекта Ямало, проекта Красноселькупского района), ответственного исполнителя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Результат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Комплекс процессных мероприятий «Организация и проведение работ в отношении земельного фонда муниципального округа»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Мероприятие 1.1. Выполнение работ по координатному описанию с подготовкой карт (планов) границ населенных пунктов, мероприятия по определению территориальных зон и зон с особыми условиями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использования, выполнение работ  по координатному описанию с подготовкой карт (планов) границ территориальных зон и зон с особыми условиями использования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Количество полученных карт (планов) границ в 2022 году - 1 шт.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1.2. Выполнение кадастровых работ и постановка на государственный кадастровый учет земельных участков земель населенных пунктов района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Количество земельных участков, прошедших государственный кадастровый учет в 2022 году - 70 шт.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Планируемое количество земельных участков, прошедших государственный кадастровый учет в 2023 году- 50 шт.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1.3. Выполнение работ по трансформированию цифровых топографических планов, ортофотопланов с. Толька, с. Красноселькуп, с. Ратта, с. Киккиакки и координат пунктов ОМС в систему координат ведения государственного кадастрового учета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Количество цифровых топографических планов и координат пунктов ОМС в 2022 году- 64 шт.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61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Комплекс процессных мероприятий «Руководство в сфере установленных функций органов местного самоуправления»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произведена оплата услуг связи, выплата заработной платы, прочих денежных выплат персоналу.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планируется: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Повышение эффективности правового обеспечения юридически значимых действий,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совершенных от имени ответственного исполнителя муниципальной программы, а также реализации обязательств, принятых ответственным исполнителем муниципальной программы в соответствии с заключенными договорами.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 Обеспечение высокого профессионального уровня юридической защиты интересов ответственного исполнителя муниципальной программы при рассмотрении споров в судебных и иных органах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Комплекс процессных мероприятий «Эффективное управление и распоряжение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 (Управление муниципальным имуществом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 «Содержание и обслуживание казны» Содержание движимого и недвижимого имущества, изготовление проектно-сметной документации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контракты на: обязательное страхование гражданской ответственности владельцев транспортных средств, электроснабжение, оказание услуг по обращению с твердыми коммунальными отходами, услуги по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горячему водоснабжению,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услуги по теплоснабжению,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услуги по холодному водоснабжению,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теплоснабжение,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оказание услуг по уборке снега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 «Государственная регистрация, паспортизация объектов муниципальной собственности»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контракты на:  оказание услуг по определению рыночной стоимости муниципального имущества,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оказание услуг по определению рыночной стоимости муниципального имущества и арендной платы за пользование муниципальным имуществом,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оказание услуг по технической инвентари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зации, оказание услуг по изготовлению технических планов и технических паспортов, оказание услуг по изготовлению актов обследования и отчетов по техническому обследованию, оказание услуг по определению арендной платы за пользование муниципальным имуществом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3.3 «Содержание и обслуживание казны» Оплата транспортного налога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оплате транспортного налога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3.4 «Содержание и обслуживание казны» Приобретение квартир и индивидуальных жилых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приобретено две квартиры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3.5 «Содержание и обслуживание казны» Текущий ремонт недвижимого имущества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мероприятия по замене двери склада УМИ, выполнены работы по ремонту недвижимого имущества, проведены работы по текущему ремонту квартир, проведены работы по текущему ремонту ограждения промзоны КРСУ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3.7 «Содержание и обслуживание казны»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Уборка специализированного жилищного фонда во временно пустующих квартирах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мероприятия по оказанию услуг по уборке жилых помещений во временно пустующих квартирах жилищного фонда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3.8 «Содержание и обслуживание казны» Взносы на капитальный ремонт общего имущества в МКД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произведена оплата взносов на капитальный ремонт общего имущества в МКД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3.9 «Содержание и обслуживание казны» Приобретение транспортных средств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контракты на поставку внедорожного транспортного средства, поставку снегоходной техники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3.10 «Содержание и обслуживание казны» Приобретение ТМЦ для муниципального жилищного фонда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исполнены контракты на поста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вку бытовой техники для нужд муниципального округа Красноселькупский район, поставку мягкого и хозяйственного инвентаря для нужд муниципального округа Красноселькупский район, поставку корпусной мебели для нужд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3.11 «Содержание и обслуживание казны» Охрана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наблюдению за недвижимым имуществом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3.12 «Содержание и обслуживание казны» Проведение ремонта судов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проведение ремонта судов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3.13 «Содержание и обслуживание казны» Снос здания «Лабораторный комплекс» по адресу с. Толька, ул. Комсомольская, д.1, строение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сносу здания «Лабораторный комплекс» по адресу с. Толька, ул. Комсомольская, д.1, строение 1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3.14 «Содержание и обслуживание казны» Снос здания «Гараж для снегоходов» по адресу с.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Красноселькуп, промышленная зона МУП Совхоз «Полярный»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сносу здания «Гараж для снегоходов» по адресу с.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Красноселькуп, промышленная зона МУП Совхоз «Полярный»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3.15 «Содержание и обслуживание казны» Очистка территории базы УМИ по адресу с. Красноселькуп, ул. Набережная, д.24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очистке территории базы УМИ по адресу с. Красноселькуп, ул. Набережная, д.24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3.16 «Содержание и обслуживание казны» Поставка и монтаж модульного здания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завершены поставка и монтаж модульного здания (с оборудованием для переработки молока, объект передан в безвозмездное пользование ООО Агрофирма «Приполярная»)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запланированы поставка и монтаж здания по проекту борцовского зала «Северный характер»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3.17 «Содержание и обслуживание казны» Устройство ограждения на территории МТФ и свинарника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исполнено мероприятие по устройству ограждения на территории МТФ и свинарника с. Толька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3.18 «Содержание и обслуживание казны» Оснащение объекта муниципальной собственности «Гостиница «Приполярье»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проведены работы по установке охранного видеонаблюдения, монтажу электроосвещения, по монтажу оповещения о пожаре, установке вывода сигналов на ПЦН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3.19 «Содержание и обслуживание казны»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Снос (демонтаж) объектов недвижимости,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расположенных на территории детского дома «Родничок»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выполнены работы по сносу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объектов недвижимости,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расположенных на территории Детского дома "Родничок", уборке территории Детский дом "Родничок" в с. Красноселькуп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3.20 «Содержание и обслуживание казны» Изъятие объекта недвижимости для муниципальных нужд (возмещение)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изъятие объекта недвижимости для возмещения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3.21 «Содержание и обслуживание казны» Разработка проектов организации работ по сносу объектов муниципальной собственности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разработка проекта по сносу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3.22 «Содержание 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обслуживание казны» Приобретение оборудования для общественного кафе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2022 году выполнена поставка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профессиональной кофемашины и оборудования для кафе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</w:rPr>
            </w:pPr>
            <w:r>
              <w:rPr>
                <w:rFonts w:ascii="Liberation Serif" w:hAnsi="Liberation Serif" w:eastAsia="Times New Roman" w:cs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3.23 «Содержание и обслуживание казны» Объект незавершенного строительства по адресу: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Ямало-Ненецкий автономный округ, Красноселькупский район,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Приобретение объекта незавершенного строительства по адресу: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Ямало-Ненецкий автономный округ, Красноселькупский район, с. Толька.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Реализация мероприятия в 2023 году и плановом периоде не планируется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6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3.24 «Содержание и обслуживание казны» Снос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выполнение работ по сносу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«Содержание и обслуживание казны»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Снос индивидуального жилого дома по адресу: ЯНАО, Красноселькупский район, с. Красноселькуп, ул. Молодежная, д.11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выполнение работ по сносу индивидуального жилого дома по адресу: ЯНАО, Красноселькупский район, с. Красноселькуп, ул. Молодежная, д.11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Мероприятие 3.2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«Содержание и обслуживание казны»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Устройство ограждения промышленной зоны на ул. Нагорная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 2023 году планируется выполнение работ по устройству ограждения промышленной зоны на ул. Нагорная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br w:type="page" w:clear="all"/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6"/>
        <w:ind w:firstLine="72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Приложение № 2 к муниципальной программе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6"/>
        <w:ind w:firstLine="72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780"/>
        <w:keepLines/>
        <w:keepNext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«Приложение № 2.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«Управление муниципальным имуществом»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«Управление муниципальным имуществом»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2023 год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14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637"/>
        <w:gridCol w:w="1836"/>
        <w:gridCol w:w="4218"/>
        <w:gridCol w:w="1926"/>
      </w:tblGrid>
      <w:tr>
        <w:trPr>
          <w:trHeight w:val="185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N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0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0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5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«Управление муниципальным имуществом»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190 995,306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80 230,000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110 765,306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172 531,371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1.5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Администрация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931,033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10 781,369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5 170,346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1 581,187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1 «Развитие земельной реформы на территории Красноселькупского района»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1 «Организация и проведение работ в отношении земельного фонда муниципального округа» - всего, в том числе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Мероприятие 1.2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Выполнение кадастровых работ и постановка на государственный кадастровый учет земельных участков земель населенных пунктов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9660530162400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2.14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2 287,000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2 «Обеспечение реализации муниципальной программы»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 «Руководство в сфере установленных функций органов местного самоуправления» всего тыс. руб.,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Мероприятие 2.1. Обеспечение деятельности органов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9660530211040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3.14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62 572,000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Cs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Направление 3 «Управление и распоряжение муниципальным имуществом»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126 136,306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80 230,000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45 906,306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107 672,371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Администрация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931,033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10 781,369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5 170,346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1 581,187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 «Эффективное управление и распоряжение муниципальным имуществом»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126 136,306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80 230,000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45 906,306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107 672,371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931,033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10 781,369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5 170,346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1 581,187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Мероприятие 3.1. «Содержание и обслуживание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казны» Содержание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 движимого и недвижимого имущества, изготовление проектно-сметной документации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14 900,141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9660530380030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9 527,722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9 527,722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9010530380030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931,033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931,033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9110530380030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1 529,852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1 529,852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9020530380030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1 330,346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1 330,346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Ратта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9030530380030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1 581,187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1 581,187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Мероприятие 3.2. «Государственная регистрация, паспортизация объектов муниципальной собственности»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3 084,279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96605303800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136,279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2 136,279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9110530380040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782,000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782,000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Соисполнитель: Администрация села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9020530380040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166,000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166,000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3.3. «Содержание и обслуживание казны» Оплата транспортного налога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1 829,554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1 778,000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1 778,000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Соисполнитель: Администрация села Толька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9020530380030 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51,554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4.5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51,554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3.4. «Содержание и обслуживание казны» Приобретение квартир и индивидуальных жилых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6 599,994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9110530380030 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3 079,994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3 079,994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Соисполнитель: Администрация села Толька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9020530380030 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3 520,000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4.6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3 520,000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3.5. «Содержание и обслуживание казны» Текущий ремонт недвижимого имущества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5 963,060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1 247,243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1 247,243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9110530380030 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4 715,818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78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4 715,818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4.7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3.7. «Содержание и обслуживание казны» Уборка специализированного жилищного фонда во временно пустующих квартирах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414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414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414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3.8. «Содержание и обслуживание казны» Взносы на капитальный ремонт общего имущества в МКД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660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,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622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346,000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346,000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4.8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Соисполнитель: Управление по 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9110530380030 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212,176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212,176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Соисполнитель: Администрация села Толька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9020530380030 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102,446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102,446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8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3.10. «Содержание и обслуживание казны» Приобретение ТМЦ для муниципального жилищного фонда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4.9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3.11. «Содержание и обслуживание казны» Охрана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3 857,000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3 857,000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3 857,000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3.12. «Содержание и обслуживание 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казны» Проведение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ремонта судов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2 806,500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2 806,500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4.10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2 806,500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3.16. «Содержание и обслуживание 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казны» Поставка</w:t>
            </w: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 и монтаж модульного здания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81 041,000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81 041,000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9660530371680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80 230,000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96605303S1680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811,000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7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Мероприятие 3.24. «Содержание и обслуживание казны» Снос объектов муниципальной собственности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color w:val="000000"/>
                <w:sz w:val="24"/>
              </w:rPr>
              <w:t xml:space="preserve">3 497,090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3 035,561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3 035,561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Управление по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обеспечению жизнедеятельности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9110530380030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461,529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461,529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Мероприятие 3.25. «Содержание и обслуживание казны» 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Снос индивидуального жилого дома по адресу: ЯНАО, Красноселькупский район, с. Красноселькуп, ул. Молодежная, д. 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169,999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169,999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9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637" w:type="dxa"/>
            <w:vAlign w:val="center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2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169,999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88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Мероприятие 3.2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6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. «Содержание и обслуживание казны» 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Устройство ограждения промышленной зоны на ул. Нагорная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</w:rPr>
              <w:t xml:space="preserve">1 153,067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Ответственный исполнитель: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9660530380030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1 153,067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4.1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1 153,067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893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4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4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2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94">
    <w:name w:val="Heading 1"/>
    <w:basedOn w:val="693"/>
    <w:next w:val="693"/>
    <w:link w:val="72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2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693"/>
    <w:link w:val="72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7">
    <w:name w:val="Heading 4"/>
    <w:basedOn w:val="693"/>
    <w:next w:val="693"/>
    <w:link w:val="72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693"/>
    <w:next w:val="693"/>
    <w:link w:val="72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693"/>
    <w:next w:val="693"/>
    <w:link w:val="72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0">
    <w:name w:val="Heading 7"/>
    <w:basedOn w:val="693"/>
    <w:next w:val="693"/>
    <w:link w:val="72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1">
    <w:name w:val="Heading 8"/>
    <w:basedOn w:val="693"/>
    <w:next w:val="693"/>
    <w:link w:val="72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2">
    <w:name w:val="Heading 9"/>
    <w:basedOn w:val="693"/>
    <w:next w:val="693"/>
    <w:link w:val="72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basedOn w:val="703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basedOn w:val="703"/>
    <w:uiPriority w:val="9"/>
    <w:rPr>
      <w:rFonts w:ascii="Arial" w:hAnsi="Arial" w:eastAsia="Arial" w:cs="Arial"/>
      <w:sz w:val="34"/>
    </w:rPr>
  </w:style>
  <w:style w:type="character" w:styleId="708" w:customStyle="1">
    <w:name w:val="Heading 3 Char"/>
    <w:basedOn w:val="703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basedOn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basedOn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basedOn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basedOn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basedOn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basedOn w:val="703"/>
    <w:uiPriority w:val="9"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basedOn w:val="703"/>
    <w:uiPriority w:val="10"/>
    <w:rPr>
      <w:sz w:val="48"/>
      <w:szCs w:val="48"/>
    </w:rPr>
  </w:style>
  <w:style w:type="character" w:styleId="716" w:customStyle="1">
    <w:name w:val="Subtitle Char"/>
    <w:basedOn w:val="703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character" w:styleId="719" w:customStyle="1">
    <w:name w:val="Footnote Text Char"/>
    <w:uiPriority w:val="99"/>
    <w:rPr>
      <w:sz w:val="18"/>
    </w:rPr>
  </w:style>
  <w:style w:type="character" w:styleId="720" w:customStyle="1">
    <w:name w:val="Endnote Text Char"/>
    <w:uiPriority w:val="99"/>
    <w:rPr>
      <w:sz w:val="20"/>
    </w:rPr>
  </w:style>
  <w:style w:type="character" w:styleId="721" w:customStyle="1">
    <w:name w:val="Заголовок 1 Знак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Заголовок 2 Знак"/>
    <w:basedOn w:val="703"/>
    <w:link w:val="695"/>
    <w:uiPriority w:val="9"/>
    <w:rPr>
      <w:rFonts w:ascii="Arial" w:hAnsi="Arial" w:eastAsia="Arial" w:cs="Arial"/>
      <w:sz w:val="34"/>
    </w:rPr>
  </w:style>
  <w:style w:type="character" w:styleId="723" w:customStyle="1">
    <w:name w:val="Заголовок 3 Знак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724" w:customStyle="1">
    <w:name w:val="Заголовок 4 Знак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25" w:customStyle="1">
    <w:name w:val="Заголовок 5 Знак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Заголовок 6 Знак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Заголовок 7 Знак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29" w:customStyle="1">
    <w:name w:val="Заголовок 9 Знак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693"/>
    <w:next w:val="693"/>
    <w:link w:val="731"/>
    <w:uiPriority w:val="10"/>
    <w:qFormat/>
    <w:pPr>
      <w:contextualSpacing/>
      <w:spacing w:before="300"/>
    </w:pPr>
    <w:rPr>
      <w:sz w:val="48"/>
      <w:szCs w:val="48"/>
    </w:rPr>
  </w:style>
  <w:style w:type="character" w:styleId="731" w:customStyle="1">
    <w:name w:val="Заголовок Знак"/>
    <w:basedOn w:val="703"/>
    <w:link w:val="730"/>
    <w:uiPriority w:val="10"/>
    <w:rPr>
      <w:sz w:val="48"/>
      <w:szCs w:val="48"/>
    </w:rPr>
  </w:style>
  <w:style w:type="paragraph" w:styleId="732">
    <w:name w:val="Subtitle"/>
    <w:basedOn w:val="693"/>
    <w:next w:val="693"/>
    <w:link w:val="733"/>
    <w:uiPriority w:val="11"/>
    <w:qFormat/>
    <w:pPr>
      <w:spacing w:before="200"/>
    </w:pPr>
    <w:rPr>
      <w:sz w:val="24"/>
      <w:szCs w:val="24"/>
    </w:rPr>
  </w:style>
  <w:style w:type="character" w:styleId="733" w:customStyle="1">
    <w:name w:val="Подзаголовок Знак"/>
    <w:basedOn w:val="703"/>
    <w:link w:val="732"/>
    <w:uiPriority w:val="11"/>
    <w:rPr>
      <w:sz w:val="24"/>
      <w:szCs w:val="24"/>
    </w:rPr>
  </w:style>
  <w:style w:type="paragraph" w:styleId="734">
    <w:name w:val="Quote"/>
    <w:basedOn w:val="693"/>
    <w:next w:val="693"/>
    <w:link w:val="735"/>
    <w:uiPriority w:val="29"/>
    <w:qFormat/>
    <w:pPr>
      <w:ind w:left="720" w:right="720"/>
    </w:pPr>
    <w:rPr>
      <w:i/>
    </w:r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693"/>
    <w:next w:val="693"/>
    <w:link w:val="7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 w:customStyle="1">
    <w:name w:val="Выделенная цитата Знак"/>
    <w:link w:val="736"/>
    <w:uiPriority w:val="30"/>
    <w:rPr>
      <w:i/>
    </w:rPr>
  </w:style>
  <w:style w:type="character" w:styleId="738" w:customStyle="1">
    <w:name w:val="Header Char"/>
    <w:basedOn w:val="703"/>
    <w:uiPriority w:val="99"/>
  </w:style>
  <w:style w:type="character" w:styleId="739" w:customStyle="1">
    <w:name w:val="Footer Char"/>
    <w:basedOn w:val="703"/>
    <w:uiPriority w:val="99"/>
  </w:style>
  <w:style w:type="paragraph" w:styleId="740">
    <w:name w:val="Caption"/>
    <w:basedOn w:val="693"/>
    <w:next w:val="693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1" w:customStyle="1">
    <w:name w:val="Caption Char"/>
    <w:uiPriority w:val="99"/>
  </w:style>
  <w:style w:type="table" w:styleId="742">
    <w:name w:val="Table Grid"/>
    <w:basedOn w:val="7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3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4" w:customStyle="1">
    <w:name w:val="Таблица простая 1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21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Таблица простая 3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Таблица простая 4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 простая 5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 w:customStyle="1">
    <w:name w:val="Таблица-сетка 1 светл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а-сетк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Таблица-сетк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Таблица-сетка 4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2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3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4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5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6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7" w:customStyle="1">
    <w:name w:val="Таблица-сетк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4" w:customStyle="1">
    <w:name w:val="Таблица-сетк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а-сетк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Список-таблица 1 светлая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Список-таблиц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2" w:customStyle="1">
    <w:name w:val="Список-таблиц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Список-таблица 4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Список-таблиц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4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5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6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7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8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39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0" w:customStyle="1">
    <w:name w:val="Список-таблиц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9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0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1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2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3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4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6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7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8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9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0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1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2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3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4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5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6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67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693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703"/>
    <w:uiPriority w:val="99"/>
    <w:unhideWhenUsed/>
    <w:rPr>
      <w:vertAlign w:val="superscript"/>
    </w:rPr>
  </w:style>
  <w:style w:type="paragraph" w:styleId="872">
    <w:name w:val="endnote text"/>
    <w:basedOn w:val="693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basedOn w:val="703"/>
    <w:uiPriority w:val="99"/>
    <w:semiHidden/>
    <w:unhideWhenUsed/>
    <w:rPr>
      <w:vertAlign w:val="superscript"/>
    </w:rPr>
  </w:style>
  <w:style w:type="paragraph" w:styleId="875">
    <w:name w:val="toc 1"/>
    <w:basedOn w:val="693"/>
    <w:next w:val="693"/>
    <w:uiPriority w:val="39"/>
    <w:unhideWhenUsed/>
    <w:pPr>
      <w:spacing w:after="57"/>
    </w:pPr>
  </w:style>
  <w:style w:type="paragraph" w:styleId="876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77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78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79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80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81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82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83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693"/>
    <w:next w:val="693"/>
    <w:uiPriority w:val="99"/>
    <w:unhideWhenUsed/>
    <w:pPr>
      <w:spacing w:after="0"/>
    </w:pPr>
  </w:style>
  <w:style w:type="paragraph" w:styleId="886">
    <w:name w:val="No Spacing"/>
    <w:link w:val="887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87" w:customStyle="1">
    <w:name w:val="Без интервала Знак"/>
    <w:basedOn w:val="703"/>
    <w:link w:val="886"/>
    <w:uiPriority w:val="1"/>
    <w:rPr>
      <w:rFonts w:eastAsiaTheme="minorEastAsia"/>
      <w:lang w:eastAsia="ru-RU"/>
    </w:rPr>
  </w:style>
  <w:style w:type="paragraph" w:styleId="888">
    <w:name w:val="Footer"/>
    <w:basedOn w:val="693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703"/>
    <w:link w:val="888"/>
    <w:uiPriority w:val="99"/>
    <w:rPr>
      <w:rFonts w:eastAsiaTheme="minorEastAsia"/>
      <w:lang w:eastAsia="ru-RU"/>
    </w:rPr>
  </w:style>
  <w:style w:type="paragraph" w:styleId="890">
    <w:name w:val="Body Text"/>
    <w:basedOn w:val="693"/>
    <w:link w:val="891"/>
    <w:unhideWhenUsed/>
    <w:pPr>
      <w:spacing w:after="120"/>
    </w:pPr>
  </w:style>
  <w:style w:type="character" w:styleId="891" w:customStyle="1">
    <w:name w:val="Основной текст Знак"/>
    <w:basedOn w:val="703"/>
    <w:link w:val="890"/>
    <w:rPr>
      <w:rFonts w:eastAsiaTheme="minorEastAsia"/>
      <w:lang w:eastAsia="ru-RU"/>
    </w:rPr>
  </w:style>
  <w:style w:type="paragraph" w:styleId="89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893">
    <w:name w:val="Header"/>
    <w:basedOn w:val="693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03"/>
    <w:link w:val="893"/>
    <w:uiPriority w:val="99"/>
    <w:rPr>
      <w:rFonts w:eastAsiaTheme="minorEastAsia"/>
      <w:lang w:eastAsia="ru-RU"/>
    </w:rPr>
  </w:style>
  <w:style w:type="paragraph" w:styleId="895">
    <w:name w:val="List Paragraph"/>
    <w:basedOn w:val="693"/>
    <w:uiPriority w:val="34"/>
    <w:qFormat/>
    <w:pPr>
      <w:contextualSpacing/>
      <w:ind w:left="720"/>
    </w:pPr>
  </w:style>
  <w:style w:type="paragraph" w:styleId="896">
    <w:name w:val="Balloon Text"/>
    <w:basedOn w:val="693"/>
    <w:link w:val="89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703"/>
    <w:link w:val="89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98" w:customStyle="1">
    <w:name w:val="Нижний колонтитул1"/>
    <w:uiPriority w:val="99"/>
    <w:pPr>
      <w:spacing w:after="0" w:line="240" w:lineRule="auto"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4E9E-BA58-481A-9343-4C0A7E7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50</cp:revision>
  <dcterms:created xsi:type="dcterms:W3CDTF">2023-02-11T15:39:00Z</dcterms:created>
  <dcterms:modified xsi:type="dcterms:W3CDTF">2023-08-03T06:31:22Z</dcterms:modified>
</cp:coreProperties>
</file>