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5pt;height:59.3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910"/>
        <w:spacing w:after="0" w:afterAutospacing="0" w:line="240" w:lineRule="auto"/>
        <w:tabs>
          <w:tab w:val="left" w:pos="18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spacing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«31» июля 2023 г.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№ 269-П</w:t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contextualSpacing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утверждении программы проверки готовности к отопительному периоду (осенне-зимнему периоду) 2023-2024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0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Минэнерго Росси</w:t>
      </w:r>
      <w:r>
        <w:rPr>
          <w:rFonts w:ascii="Liberation Serif" w:hAnsi="Liberation Serif" w:cs="Liberation Serif"/>
          <w:sz w:val="28"/>
          <w:szCs w:val="28"/>
        </w:rPr>
        <w:t xml:space="preserve">и от 12.03.2013 №103 «Об утверждении правил оценки готовности к отопительному периоду»,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sz w:val="28"/>
          <w:szCs w:val="28"/>
        </w:rPr>
        <w:t xml:space="preserve">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numPr>
          <w:ilvl w:val="0"/>
          <w:numId w:val="5"/>
        </w:numPr>
        <w:contextualSpacing/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Утвердить </w:t>
      </w:r>
      <w:r>
        <w:rPr>
          <w:rFonts w:ascii="Liberation Serif" w:hAnsi="Liberation Serif" w:cs="Liberation Serif"/>
          <w:sz w:val="28"/>
          <w:szCs w:val="28"/>
        </w:rPr>
        <w:t xml:space="preserve">Программу проверки готовности к отопительному периоду (осенне-зимнему периоду) 2023-2024 годов теплоснабжающих, теплосетевых организаций и потребителей тепловой энергии на территории села Толька согласно приложению к настоящему постановлению.</w:t>
      </w:r>
      <w:r>
        <w:rPr>
          <w:rFonts w:ascii="Liberation Serif" w:hAnsi="Liberation Serif" w:cs="Liberation Serif"/>
        </w:rPr>
      </w:r>
      <w:r/>
    </w:p>
    <w:p>
      <w:pPr>
        <w:pStyle w:val="914"/>
        <w:numPr>
          <w:ilvl w:val="0"/>
          <w:numId w:val="5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</w:rPr>
      </w:r>
      <w:r/>
    </w:p>
    <w:p>
      <w:pPr>
        <w:pStyle w:val="914"/>
        <w:numPr>
          <w:ilvl w:val="0"/>
          <w:numId w:val="5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вступает в силу с момента его опубликования и распространяет свое действие на правоотношения, возникшие с 01 мая 2023 года.</w:t>
      </w:r>
      <w:r>
        <w:rPr>
          <w:rFonts w:ascii="Liberation Serif" w:hAnsi="Liberation Serif" w:cs="Liberation Serif"/>
        </w:rPr>
      </w:r>
      <w:r/>
    </w:p>
    <w:p>
      <w:pPr>
        <w:pStyle w:val="914"/>
        <w:numPr>
          <w:ilvl w:val="0"/>
          <w:numId w:val="5"/>
        </w:numPr>
        <w:ind w:lef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возложить на первого заместителя Главы Администрации Красноселькупского района. </w:t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spacing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911"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1"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УТВЕРЖДЕНА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1"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911"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«31» июля 2023 года № 269-П</w:t>
      </w:r>
      <w:r>
        <w:rPr>
          <w:rFonts w:ascii="Liberation Serif" w:hAnsi="Liberation Serif" w:cs="Liberation Serif"/>
        </w:rPr>
      </w:r>
      <w:r/>
    </w:p>
    <w:p>
      <w:pPr>
        <w:pStyle w:val="911"/>
        <w:jc w:val="center"/>
        <w:spacing w:before="0" w:beforeAutospacing="0" w:after="0" w:afterAutospacing="0" w:line="240" w:lineRule="auto"/>
        <w:tabs>
          <w:tab w:val="left" w:pos="7183" w:leader="none"/>
        </w:tabs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1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ПРОГРАММА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pStyle w:val="911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numPr>
          <w:ilvl w:val="0"/>
          <w:numId w:val="20"/>
        </w:numPr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Общие положения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о-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водо-, электро-, газо- и топливоснабжения потребителей, поддержания необходимых параметров энергоноси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Подготовка объектов жилищно-коммунального хозяйства к отопительному периоду должна обеспечивать: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максимальную надежность и экономичность работы объектов жилищно-коммунального хозяйства;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рациональное расходование материально-технических средств и топливно-энергетических ресурсов.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выполнением должностными лицами требований федерального и регионального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разработкой и соблюдением проектной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ремонты, рациональным использованием материальных ресурсов;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Перечень организаций, подлежащих проверке готовности к работе в осенне-зимний период 2023-2024 годов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Style w:val="921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997"/>
        <w:gridCol w:w="3785"/>
      </w:tblGrid>
      <w:tr>
        <w:trPr>
          <w:tblHeader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организаций и учреждений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Предъявляемые требования, согласно Приказ Минэнерго от 12.03.2013 № 103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3"/>
            <w:tcW w:w="963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65"/>
        </w:trPr>
        <w:tc>
          <w:tcPr>
            <w:tcBorders>
              <w:bottom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«Ямал-Энерго»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7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Теплоснабжающая организация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Borders>
              <w:top w:val="single" w:color="auto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«Танталл»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7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МОУ «ТШИ СОО»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МБУ «ЦФКС» филиал в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ГБУЗ ЯНАО «Красноселькупская ЦРБ», «Толькинская участковая больница»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МУДО «ТЦДОД»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«ЦБС» библиотека-филиал с.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«Районный Дом Ремесел» филиал «ДР с. Толька»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МДОУ ДС «Березка»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Филиал ГБУ ЯНАО «Центр «Милосердие» в МО Красноселькупский район»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МБУ ДО «ТДШИ»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95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9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«ЦКС», Сельский дом культуры – с.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785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. Порядок проведения проверки</w:t>
      </w:r>
      <w:r>
        <w:rPr>
          <w:rFonts w:ascii="Liberation Serif" w:hAnsi="Liberation Serif" w:cs="Liberation Serif"/>
        </w:rPr>
      </w:r>
      <w:r/>
    </w:p>
    <w:p>
      <w:pPr>
        <w:pStyle w:val="91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теплоснабжающих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организаций,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теплоснабжающих, теплосетевых организаций и потребителей тепловой энергии, расп</w:t>
      </w:r>
      <w:r>
        <w:rPr>
          <w:rFonts w:ascii="Liberation Serif" w:hAnsi="Liberation Serif" w:cs="Liberation Serif"/>
          <w:sz w:val="28"/>
          <w:szCs w:val="28"/>
        </w:rPr>
        <w:t xml:space="preserve">оложенных на территории села Толька, утвержденной приказом администрации села Толька от 17 мая 2022 № 36 «Об утверждении Положения о комиссии по проведению проверки готовности к отопительному периоду теплоснабжающих, теплосетевых организаций и потребителей</w:t>
      </w:r>
      <w:r>
        <w:rPr>
          <w:rFonts w:ascii="Liberation Serif" w:hAnsi="Liberation Serif" w:cs="Liberation Serif"/>
          <w:sz w:val="28"/>
          <w:szCs w:val="28"/>
        </w:rPr>
        <w:t xml:space="preserve"> тепловой энергии, </w:t>
      </w:r>
      <w:r>
        <w:rPr>
          <w:rFonts w:ascii="Liberation Serif" w:hAnsi="Liberation Serif" w:cs="Liberation Serif"/>
          <w:sz w:val="28"/>
          <w:szCs w:val="28"/>
        </w:rPr>
        <w:t xml:space="preserve">расположенных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села Толька» (далее – Комиссия).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Работа Комиссии осуществляется в соответствии с графиком проведения проверки готовности организаций к работе в осенне-зимний период 2023-2024 года на территории села Толька (далее- График) (Таблица 1).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right"/>
        <w:spacing w:after="0" w:afterAutospacing="0" w:line="240" w:lineRule="auto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Таблица 1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График проведения проверки готовности организаций к работе в осенне-зимний период 2023-2024 года на территории села Толька</w:t>
      </w:r>
      <w:r>
        <w:rPr>
          <w:rFonts w:ascii="Liberation Serif" w:hAnsi="Liberation Serif" w:cs="Liberation Serif"/>
        </w:rPr>
      </w:r>
      <w:r/>
    </w:p>
    <w:tbl>
      <w:tblPr>
        <w:tblW w:w="9639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3827"/>
      </w:tblGrid>
      <w:tr>
        <w:trPr>
          <w:trHeight w:val="20"/>
          <w:tblHeader/>
        </w:trPr>
        <w:tc>
          <w:tcPr>
            <w:tcW w:w="85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Наименование организации (учреждения)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Дата проведения проверки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922"/>
              <w:spacing w:after="0" w:afterAutospacing="0" w:line="240" w:lineRule="auto"/>
              <w:widowControl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Энергоснабжающие организации муниципального округа Красноселькупский район, подлежащие проверке готовности к работе в осенне-зимний период 2023-2024 годов, в т.ч.: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922"/>
              <w:spacing w:after="0" w:afterAutospacing="0" w:line="240" w:lineRule="auto"/>
              <w:widowControl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ООО «Ямал-Энерго»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pStyle w:val="922"/>
              <w:spacing w:after="0" w:afterAutospacing="0" w:line="240" w:lineRule="auto"/>
              <w:widowControl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Учреждения социальной сферы и органов местного самоуправления муниципального округа Красноселькупский район, подлежащие проверке готовности к работе в осенне-зимний период 2023-2024  годов, в т.ч.: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pacing w:val="-3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2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МОУ «ТШИ СОО»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МБУ «ЦФКС» филиал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ГБУЗ ЯНАО «Красноселькупская ЦРБ», «Толькинская участковая больница»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МУДО «ТЦДОД»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«ЦБС» библиотека-филиал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Толька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«Районный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филиал «ДР с. Толька»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МДОУ ДС «Березка»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Филиал ГБУ ЯНАО «Центр «Милосердие» в МО Красноселькупский район»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МБУ ДО «ТДШИ»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МУК «ЦКС», Сельский дом культуры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07.08.2023 - 10.08.2023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Потребители тепловой энергии жилищного фонда муниципального округа Красноселькупский район,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подлежащие проверке готовности к работе в осенне-зимний период 2023-2024 годов, в т.ч.: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6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«Танталл»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2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11.08.2023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2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Документы, проверяемые в ходе проверки готовности к отопительному периоду теплоснабжающих и </w:t>
      </w:r>
      <w:r>
        <w:rPr>
          <w:rFonts w:ascii="Liberation Serif" w:hAnsi="Liberation Serif" w:cs="Liberation Serif"/>
          <w:b/>
          <w:sz w:val="28"/>
          <w:szCs w:val="28"/>
        </w:rPr>
        <w:t xml:space="preserve">теплосетевых</w:t>
      </w:r>
      <w:r>
        <w:rPr>
          <w:rFonts w:ascii="Liberation Serif" w:hAnsi="Liberation Serif" w:cs="Liberation Serif"/>
          <w:b/>
          <w:sz w:val="28"/>
          <w:szCs w:val="28"/>
        </w:rPr>
        <w:t xml:space="preserve"> организаций</w:t>
      </w:r>
      <w:r>
        <w:rPr>
          <w:rFonts w:ascii="Liberation Serif" w:hAnsi="Liberation Serif" w:cs="Liberation Serif"/>
        </w:rPr>
      </w:r>
      <w:r/>
    </w:p>
    <w:p>
      <w:pPr>
        <w:jc w:val="left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подтверждающие:</w:t>
      </w:r>
      <w:r>
        <w:rPr>
          <w:rFonts w:ascii="Liberation Serif" w:hAnsi="Liberation Serif" w:cs="Liberation Serif"/>
        </w:rPr>
      </w:r>
      <w:r/>
    </w:p>
    <w:tbl>
      <w:tblPr>
        <w:tblStyle w:val="921"/>
        <w:tblW w:w="9639" w:type="dxa"/>
        <w:tblInd w:w="-5" w:type="dxa"/>
        <w:tblLook w:val="04A0" w:firstRow="1" w:lastRow="0" w:firstColumn="1" w:lastColumn="0" w:noHBand="0" w:noVBand="1"/>
      </w:tblPr>
      <w:tblGrid>
        <w:gridCol w:w="846"/>
        <w:gridCol w:w="8793"/>
      </w:tblGrid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соглашения об управлении системой теплоснабжения, заключенного в порядке, установленном Законом о теплоснабжении.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Готовность к выполнению графика тепловых нагрузок, поддержанию температурного графика, утвержденного схемой теплоснабжения.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Соблюдение критериев надежности теплоснабжения, установленных техническими регламентами.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нормативных запасов топлива на источниках тепловой энергии.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Функционирование эксплуатационной, диспетчерской и аварийной служб, а именно: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укомплектованность указанных служб персоналом.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наладки принадлежащих им тепловых сетей.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контроля режимов потребления тепловой энергии.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качества теплоносителей.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коммерческого учета приобретаемой и реализуемой тепловой энергии.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безаварийной работы объектов теплоснабжения и надежного теплоснабжения потребителей, а именно: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готовность систем приема и разгрузки топлива, топливоприготовления и топливоподачи;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соблюдение водно-химического режима;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расчетов допустимого времени устранения аварийных нарушений теплоснабжения жилых домов;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порядка 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гидравлических и тепловых испытаний тепловых сетей;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выполнение планового графика ремонта тепловых сетей и источников тепловой энергии;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11.10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договоров поставки топлива, не допускающих перебоев поставки и снижения установленных нормативов запасов топлива;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не выполненных в установленные сроки предписаний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Работоспособность автоматических регуляторов при их наличии.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15*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сведений о выполненных мероприятиях: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установке (приобретению) резервного оборудования;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организации совместной работы нескольких источников тепловой энергии на единую тепловую сеть;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резервированию тепловых сетей смежных районов поселения, городского округа, города федерального значения;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15.4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устройству резервных насосных станций.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22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Выполнение графиков проведения противоаварийных тренировок.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2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*В случае отсутствия одного или нескольких мероприятий, указанных в п. 15.2-15.4, в инвестиционной программе теплоснабжающей или теплосетевой организации оценка готовности к отопительному периоду по выполнению такого мероприятия не производится.</w:t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Документы, проверяемые в ходе проверки готовности к отопительному периоду потребителей тепловой энергии (за исключением жилищного фонда)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подтверждающие:</w:t>
      </w:r>
      <w:r>
        <w:rPr>
          <w:rFonts w:ascii="Liberation Serif" w:hAnsi="Liberation Serif" w:cs="Liberation Serif"/>
        </w:rPr>
      </w:r>
      <w:r/>
    </w:p>
    <w:tbl>
      <w:tblPr>
        <w:tblStyle w:val="921"/>
        <w:tblW w:w="9639" w:type="dxa"/>
        <w:tblInd w:w="-5" w:type="dxa"/>
        <w:tblLook w:val="04A0" w:firstRow="1" w:lastRow="0" w:firstColumn="1" w:lastColumn="0" w:noHBand="0" w:noVBand="1"/>
      </w:tblPr>
      <w:tblGrid>
        <w:gridCol w:w="822"/>
        <w:gridCol w:w="8817"/>
      </w:tblGrid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tcBorders>
              <w:bottom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промывки оборудования и коммуникаций теплопотребляющих установок.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5"/>
        </w:trPr>
        <w:tc>
          <w:tcPr>
            <w:tcBorders>
              <w:top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Разработка эксплуатационных режимов, а также мероприятий по их внедрению.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Выполнение плана ремонтных работ и качество их выполнения.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Состояние тепловых сетей, принадлежащих потребителю тепловой энергии.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85"/>
        </w:trPr>
        <w:tc>
          <w:tcPr>
            <w:tcBorders>
              <w:bottom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Состояние трубопроводов, арматуры и тепловой изоляции в пределах тепловых пунктов.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Наличие и работоспособность приборов учета, работоспособность автоматических регуляторов при их наличии.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Работоспособность защиты систем теплопотребления.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840"/>
        </w:trPr>
        <w:tc>
          <w:tcPr>
            <w:tcBorders>
              <w:bottom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35"/>
        </w:trPr>
        <w:tc>
          <w:tcPr>
            <w:tcBorders>
              <w:top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Отсутствие прямых соединений оборудования тепловых пунктов с водопроводом и канализацией.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Плотность оборудования тепловых пунктов.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0"/>
        </w:trPr>
        <w:tc>
          <w:tcPr>
            <w:tcBorders>
              <w:bottom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Отсутствие задолженности за поставленную тепловую энергию (мощность), теплоноситель.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510"/>
        </w:trPr>
        <w:tc>
          <w:tcPr>
            <w:tcBorders>
              <w:top w:val="single" w:color="auto" w:sz="4" w:space="0"/>
            </w:tcBorders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Наличие пломб на расчетных шайбах и соплах элеваторов.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испытания оборудования теплопотребляющих установок на плотность и прочность.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Надежность теплоснабжения потребителей тепловой энергии с учетом климатических условий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Документы, проверяемые в ходе проверки готовности к отопительному периоду потребителей тепловой энергии жилищного фонда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подтверждающие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:</w:t>
      </w:r>
      <w:r>
        <w:rPr>
          <w:rFonts w:ascii="Liberation Serif" w:hAnsi="Liberation Serif" w:cs="Liberation Serif"/>
        </w:rPr>
      </w:r>
      <w:r/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22"/>
        <w:gridCol w:w="8817"/>
      </w:tblGrid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Проведение промывки оборудования и коммуникаций теплопотребляющих установок.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Разработка эксплуатационных режимов, а также мероприятий по их внедрению.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Выполнение плана ремонтных работ и качество их выполнения;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Состояние тепловых сетей, принадлежащих потребителю тепловой энергии.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Состояние утепления зданий (чердаки, лестничные клетки, подвалы, двери) и центральных тепловых пунктов, а также индивидуальных тепловых пунктов.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Состояние трубопроводов, арматуры и тепловой изоляции в пределах тепловых пунктов.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Наличие и работоспособность приборов учета, работоспособность автоматических регуляторов при их наличии.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Работоспособность защиты систем теплопотребления.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Отсутствие прямых соединений оборудования тепловых пунктов с водопроводом и канализацией.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Плотность оборудования тепловых пунктов.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Наличие пломб на расчетных шайбах и соплах элеваторов.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Отсутствие задолженности за поставленные тепловую энергию (мощность), теплоноситель.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установок.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Проведение испытания оборудования теплопотребляющих установок на плотность и прочность.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82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17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textDirection w:val="lrTb"/>
            <w:noWrap w:val="false"/>
          </w:tcPr>
          <w:p>
            <w:pPr>
              <w:spacing w:after="0" w:afterAutospacing="0" w:line="240" w:lineRule="auto"/>
              <w:widowControl w:val="off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</w:rPr>
              <w:t xml:space="preserve">Надежность теплоснабжения потребителей тепловой энергии с учетом климатических условий.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33"/>
        </w:trPr>
        <w:tc>
          <w:tcPr>
            <w:tcW w:w="82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817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актов о проверке состояния дымовых и вентиляционных каналов перед отопительным периодом у потребителей тепловой энергии, являющихся лицами, осуществляющими в соответствии с жилищным законодательством управление многоквартирным домом.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проверке комиссией проверяется выполне</w:t>
      </w:r>
      <w:r>
        <w:rPr>
          <w:rFonts w:ascii="Liberation Serif" w:hAnsi="Liberation Serif" w:cs="Liberation Serif"/>
          <w:sz w:val="28"/>
          <w:szCs w:val="28"/>
        </w:rPr>
        <w:t xml:space="preserve">ние требований, установленных настоящей Программой 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 (далее - Программа).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утвержденными приказом Министе</w:t>
      </w:r>
      <w:r>
        <w:rPr>
          <w:rFonts w:ascii="Liberation Serif" w:hAnsi="Liberation Serif" w:cs="Liberation Serif"/>
          <w:sz w:val="28"/>
          <w:szCs w:val="28"/>
        </w:rPr>
        <w:t xml:space="preserve">рства энергетики РФ от 12 марта 2013 года N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отсутствия обязательных требований технических регламентов </w:t>
      </w:r>
      <w:r>
        <w:rPr>
          <w:rFonts w:ascii="Liberation Serif" w:hAnsi="Liberation Serif" w:cs="Liberation Serif"/>
          <w:sz w:val="28"/>
          <w:szCs w:val="28"/>
        </w:rPr>
        <w:t xml:space="preserve">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Оценка</w:t>
      </w:r>
      <w:r>
        <w:rPr>
          <w:rFonts w:ascii="Liberation Serif" w:hAnsi="Liberation Serif" w:cs="Liberation Serif"/>
          <w:sz w:val="28"/>
          <w:szCs w:val="28"/>
        </w:rPr>
        <w:t xml:space="preserve"> готовности к отопительному периоду потребителей тепловой энергии и источников теплоснабжения, центральных тепловых пунктов, тепловых сетей определяется не позднее 27 августа, прочих и в целом теплоснабжающих организаций определяется не позднее 31 августа.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проведении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день проверки, определенный Графиком, представитель организации является на заседание комиссии, подлежащими проверке, а также актом готовности к работе в осенне-зимний период по форме приложения N 1 к Правилам.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акте содержатся следующие выводы комиссии по итогам проверки:</w:t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объект проверки готов к отопительному периоду;</w:t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объект проверки не готов к отопительному периоду.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приложению N 2 к Правилам по каждо</w:t>
      </w:r>
      <w:r>
        <w:rPr>
          <w:rFonts w:ascii="Liberation Serif" w:hAnsi="Liberation Serif" w:cs="Liberation Serif"/>
          <w:sz w:val="28"/>
          <w:szCs w:val="28"/>
        </w:rPr>
        <w:t xml:space="preserve">му объекту проверки в течение 10 дней с даты подписания акта в случае, когда объект проверки готов к отопительному периоду, а также в случае, когда Перечень замечаний к требованиям по готовности, выданные комиссией, устранены в установленный Перечнем срок.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готовности, в срок до 05 сентября текущего года, комиссией проводится повторная проверка по результатам которой составляется новый акт.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85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Организация, не получившая по объектам проверк</w:t>
      </w:r>
      <w:r>
        <w:rPr>
          <w:rFonts w:ascii="Liberation Serif" w:hAnsi="Liberation Serif" w:cs="Liberation Serif"/>
          <w:sz w:val="28"/>
          <w:szCs w:val="28"/>
        </w:rPr>
        <w:t xml:space="preserve">и паспорт готовности до 09 сентября текущего года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</w:t>
      </w:r>
      <w:r>
        <w:rPr>
          <w:rFonts w:ascii="Liberation Serif" w:hAnsi="Liberation Serif" w:cs="Liberation Serif"/>
          <w:sz w:val="28"/>
          <w:szCs w:val="28"/>
        </w:rPr>
        <w:t xml:space="preserve">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r>
        <w:rPr>
          <w:rFonts w:ascii="Liberation Serif" w:hAnsi="Liberation Serif" w:cs="Liberation Serif"/>
        </w:rPr>
      </w:r>
      <w:r/>
    </w:p>
    <w:p>
      <w:pPr>
        <w:pStyle w:val="912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567"/>
        <w:jc w:val="center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Отчётность о ходе подготовки к отопительному периоду</w:t>
      </w:r>
      <w:r>
        <w:rPr>
          <w:rFonts w:ascii="Liberation Serif" w:hAnsi="Liberation Serif" w:cs="Liberation Serif"/>
        </w:rPr>
      </w:r>
      <w:r/>
    </w:p>
    <w:p>
      <w:pPr>
        <w:ind w:firstLine="0"/>
        <w:jc w:val="left"/>
        <w:spacing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101"/>
        <w:gridCol w:w="3522"/>
        <w:gridCol w:w="2507"/>
      </w:tblGrid>
      <w:tr>
        <w:trPr>
          <w:cantSplit/>
          <w:tblHeader/>
        </w:trPr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п</w:t>
            </w: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vAlign w:val="center"/>
            <w:textDirection w:val="lrTb"/>
            <w:noWrap w:val="false"/>
          </w:tcPr>
          <w:p>
            <w:pPr>
              <w:ind w:hanging="17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Наименование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Ответственный исполнитель по предоставлению информации в администрацию села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Срок предоставление информации в Администрацию района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blHeader/>
        </w:trPr>
        <w:tc>
          <w:tcPr>
            <w:tcW w:w="367" w:type="pct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6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Сведения о подготовке жилищно-коммунального хозяйства к работе в зимних условиях по форме статистической отчетности 1- ЖКХ (зима) срочная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Энергоснабжающие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ежемесячно до 27 числа отчетного месяца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6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Отчет по подготовке объектов энергетики и коммунальной инфраструктуры к работе в осенне-зимний период (по форме Приложения №2 к настоящему постановлению)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Энергоснабжающие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ежемесячно до 30 числа отчетного месяца,  с 1 июня по 1 декабря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6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Мониторинг подготовки объектов энергетики и коммунальной инфраструктуры к работе в осенне-зимний период (по форме Приложения №3 к настоящему постановлению)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Энергоснабжающие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(при необходимости)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еженедельно по четвергам, с 1 июня по 1 ноября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6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Отчет по исполнению плана-графика подготовки жилищного фонда и его инженерного оборудования к работе в осенне - зимний период (по форме Приложения №4 к настоящему постановлению)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Управляющие организации, ТСЖ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ежемесячно до 30 числа отчетного месяца,  с 1 июня по 1 октября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6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Мониторинг исполнения плана-графика подготовки жилищного фонда и его инженерного оборудования к работе в осенне - зимний период (по форме Приложения №5 к настоящему постановлению)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Управляющие организации, ТСЖ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еженедельно по четвергам, с 1 июня по 1 октября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36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573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Отчет об исполнении план-графика по подготовке объектов потребителя коммунальных ресурсов к осенне-зимнему периоду(по форме Приложения №6 к настоящему постановлению)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87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Бюджетные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2" w:type="pc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eastAsia="Times New Roman" w:cs="Liberation Serif"/>
                <w:sz w:val="28"/>
                <w:szCs w:val="28"/>
                <w:lang w:eastAsia="ru-RU"/>
              </w:rPr>
              <w:t xml:space="preserve">ежемесячно до 30 числа отчетного месяца,  с 1 июня по 1 сентября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2"/>
        <w:ind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left="5529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№1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8"/>
        <w:jc w:val="left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Программе проверки готовности к отопительному периоду </w:t>
      </w:r>
      <w:r>
        <w:rPr>
          <w:rFonts w:ascii="Liberation Serif" w:hAnsi="Liberation Serif" w:cs="Liberation Serif"/>
          <w:sz w:val="28"/>
          <w:szCs w:val="28"/>
        </w:rPr>
        <w:t xml:space="preserve">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2"/>
        <w:ind w:left="0"/>
        <w:jc w:val="center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jc w:val="center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обязательных мероприятий по подготовке к осенне-зимнему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периоду потребителей коммунальных ресурсов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tbl>
      <w:tblPr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846"/>
        <w:gridCol w:w="3617"/>
        <w:gridCol w:w="2574"/>
        <w:gridCol w:w="2596"/>
      </w:tblGrid>
      <w:tr>
        <w:trPr>
          <w:cantSplit/>
          <w:trHeight w:val="732"/>
          <w:tblHeader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Мероприятие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Сроки проведения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Примечание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92"/>
          <w:tblHeader/>
        </w:trPr>
        <w:tc>
          <w:tcPr>
            <w:tcW w:w="84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gridSpan w:val="4"/>
            <w:tcW w:w="963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7"/>
              </w:numPr>
              <w:ind w:left="33" w:firstLine="0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Тепловые пункты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Текущий ремонт оборудования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 мероприятий по текущему ремонту формируется исходя из местных условий.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Внутренний осмотр и ремонт задвижек со снятием с трубопроводов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 реже 1 раза в 3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698"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теплообменного оборудования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restart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Ежегодно, после окончания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отопительного периода и/или ремонтных (монтажных)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vMerge w:val="restart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Испытание теплообменного оборудования на плотность и прочность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continue"/>
            <w:textDirection w:val="lrTb"/>
            <w:noWrap w:val="false"/>
          </w:tcPr>
          <w:p>
            <w:pPr>
              <w:ind w:left="33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2596" w:type="dxa"/>
            <w:vMerge w:val="continue"/>
            <w:textDirection w:val="lrTb"/>
            <w:noWrap w:val="false"/>
          </w:tcPr>
          <w:p>
            <w:pPr>
              <w:ind w:left="33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фильтров и грязевиков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Корректировка паспортов тепловых пунктов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 отсутствии – восстанавливаются или разрабатываются.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ind w:firstLine="34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Осмотр, проверка работы автоматических регуляторов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gridSpan w:val="3"/>
            <w:tcW w:w="7037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7"/>
              </w:numPr>
              <w:ind w:left="33" w:firstLine="0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Системы отопления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Текущий ремонт систем отопления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 мероприятий по текущему ремонту формируется исходя из местных условий.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Внутренний осмотр и ремонт задвижек со снятием с трубопроводов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 реже 1 раза в 3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2.1.2.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плотности закрытия и смена сальниковых уплотнений регулировочных кранов на нагревательных приборах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 реже 1 раза в год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2.1.3.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Замена уплотняющих прокладок фланцевых соединений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 реже 1 раза в 5 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417"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систем отопления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restart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Ежегодно, после окончания отопительного периода и/или ремонтных (монтажных)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pStyle w:val="914"/>
              <w:ind w:left="22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Дезинфекция систем отопления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continue"/>
            <w:textDirection w:val="lrTb"/>
            <w:noWrap w:val="false"/>
          </w:tcPr>
          <w:p>
            <w:pPr>
              <w:ind w:left="33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Для открытых систем теплоснабжения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Испытание систем отопления на плотность и прочность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continue"/>
            <w:textDirection w:val="lrTb"/>
            <w:noWrap w:val="false"/>
          </w:tcPr>
          <w:p>
            <w:pPr>
              <w:ind w:left="33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Корректировка эксплуатационной документации систем отопления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 отсутствии – восстанавливаются или разрабатываются.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gridSpan w:val="3"/>
            <w:tcW w:w="7037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7"/>
              </w:numPr>
              <w:ind w:left="0" w:firstLine="0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Системы вентиляции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Очистка калорифера пневматическим способом (сжатым воздухом), а при слежавшейся пыли - гидропневматическим способом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Очистка внутренних частей воздуховодов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028"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Текущий ремонт систем вентиляции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 мероприятий по текущему ремонту формируется исходя из местных условий.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теплообменного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оборудований систем вентиляции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restart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Ежегодно, после окончания отопительного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периода и/или ремонтных (монтажных)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vMerge w:val="restart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 исключением контуров теплоснабжения с водо-гликолевыми и иными теплоносителями. Для указанных теплоносителей мероприятия проводятся в соответствии с инструкцией завода-изготовителя оборудования.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теплообменного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оборудований систем вентиляции на плотность и прочность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vMerge w:val="continue"/>
            <w:textDirection w:val="lrTb"/>
            <w:noWrap w:val="false"/>
          </w:tcPr>
          <w:p>
            <w:pPr>
              <w:ind w:left="33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  <w:tc>
          <w:tcPr>
            <w:tcW w:w="2596" w:type="dxa"/>
            <w:vMerge w:val="continue"/>
            <w:textDirection w:val="lrTb"/>
            <w:noWrap w:val="false"/>
          </w:tcPr>
          <w:p>
            <w:pPr>
              <w:ind w:left="33"/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Корректировка паспортов систем вентиляции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После проведения испытаний на эффективность работы установок и соответствие их паспортным и проектным данным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 отсутствии – восстанавливаются или разрабатываются.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gridSpan w:val="4"/>
            <w:tcW w:w="963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7"/>
              </w:numPr>
              <w:ind w:left="0" w:firstLine="0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Тепловые сети потребителя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Испытание тепловых сетей на плотность и прочность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Ежегодно, не позже чем через две недели после окончания отопительного сезона.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на максимальную температуру теплоносителя тепловых сетей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раз в 5 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на определение тепловых и гидравлических потерь в тепловых сетях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 раз в 5 лет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Шурфовки (вскрытие прокладки) тепловых сетей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Текущий ремонт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 мероприятий по текущему ремонту формируется исходя из местных условий.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тепловых сетей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После монтажа, ремонта и реконструкции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энергоснабжающей организации.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4.7.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Корректировка паспортов тепловых сетей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При отсутствии – восстанавливаются или разрабатываются.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gridSpan w:val="4"/>
            <w:tcW w:w="963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7"/>
              </w:numPr>
              <w:ind w:left="0" w:firstLine="0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Приборы учета тепловой, электрической энергии и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5.1.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Текущий ремонт и поверка приборов учета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5.2.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Проверка готовности узла учета к эксплуатации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Проводится в соответствии с п.п.91, 92 Правил коммерческого учета тепловой энергии, теплоносителя утвержденных постановлением Правительства РФ от 18 ноября 2013 г. № 1034.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gridSpan w:val="4"/>
            <w:tcW w:w="963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7"/>
              </w:numPr>
              <w:ind w:left="0" w:firstLine="0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Подготовка зданий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</w:trPr>
        <w:tc>
          <w:tcPr>
            <w:tcW w:w="846" w:type="dxa"/>
            <w:textDirection w:val="lrTb"/>
            <w:noWrap w:val="false"/>
          </w:tcPr>
          <w:p>
            <w:pPr>
              <w:jc w:val="both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6.1.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617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Текущий ремонт зданий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74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Ежегодно перед отопительным сезоном. Заканчивается не позднее, чем за 15 дней до начала отопительного сезона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596" w:type="dxa"/>
            <w:textDirection w:val="lrTb"/>
            <w:noWrap w:val="false"/>
          </w:tcPr>
          <w:p>
            <w:pPr>
              <w:ind w:left="33"/>
              <w:spacing w:after="0" w:afterAutospacing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 мероприятий по текущему ремонту формируется исходя из местных условий.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12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left="5529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left="893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№2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893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bookmarkStart w:id="0" w:name="RANGE!A1:DO18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  <w:sz w:val="28"/>
          <w:szCs w:val="28"/>
        </w:rPr>
        <w:t xml:space="preserve">Программе 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8931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</w:r>
      <w:r>
        <w:rPr>
          <w:rFonts w:ascii="Liberation Serif" w:hAnsi="Liberation Serif" w:cs="Liberation Serif"/>
        </w:rPr>
      </w:r>
      <w:r/>
    </w:p>
    <w:tbl>
      <w:tblPr>
        <w:tblW w:w="4188" w:type="dxa"/>
        <w:jc w:val="right"/>
        <w:tblLayout w:type="fixed"/>
        <w:tblLook w:val="00A0" w:firstRow="1" w:lastRow="0" w:firstColumn="1" w:lastColumn="0" w:noHBand="0" w:noVBand="0"/>
      </w:tblPr>
      <w:tblGrid>
        <w:gridCol w:w="4188"/>
      </w:tblGrid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Утверждаю: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Должность руководителя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___________________________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______________/___________/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    (Ф.И.О.)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«____»____________20__г.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jc w:val="right"/>
          <w:trHeight w:val="20"/>
        </w:trPr>
        <w:tc>
          <w:tcPr>
            <w:tcW w:w="418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М.П.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Отчет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 подготовке объектов энергетики и коммунальной инфраструктуры к работе в осенне-зимний период 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20__/20__ года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 «___»___________________г.</w:t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  <w:b/>
          <w:bCs/>
          <w:sz w:val="27"/>
          <w:szCs w:val="27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  <w:b/>
          <w:bCs/>
          <w:sz w:val="27"/>
          <w:szCs w:val="27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  <w:b/>
          <w:bCs/>
          <w:sz w:val="27"/>
          <w:szCs w:val="27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  <w:b/>
          <w:bCs/>
          <w:sz w:val="27"/>
          <w:szCs w:val="27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  <w:b/>
          <w:bCs/>
          <w:sz w:val="27"/>
          <w:szCs w:val="27"/>
        </w:rPr>
      </w:r>
      <w:r/>
    </w:p>
    <w:p>
      <w:pPr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jc w:val="left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7"/>
          <w:szCs w:val="27"/>
        </w:rPr>
      </w:pPr>
      <w:r>
        <w:rPr>
          <w:rFonts w:ascii="Liberation Serif" w:hAnsi="Liberation Serif" w:cs="Liberation Serif"/>
          <w:b/>
          <w:bCs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tbl>
      <w:tblPr>
        <w:tblW w:w="1445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134"/>
        <w:gridCol w:w="567"/>
        <w:gridCol w:w="993"/>
        <w:gridCol w:w="899"/>
        <w:gridCol w:w="802"/>
        <w:gridCol w:w="902"/>
        <w:gridCol w:w="1224"/>
        <w:gridCol w:w="1134"/>
        <w:gridCol w:w="1134"/>
        <w:gridCol w:w="567"/>
        <w:gridCol w:w="709"/>
        <w:gridCol w:w="992"/>
        <w:gridCol w:w="1134"/>
      </w:tblGrid>
      <w:tr>
        <w:trPr>
          <w:trHeight w:val="300"/>
        </w:trPr>
        <w:tc>
          <w:tcPr>
            <w:tcW w:w="4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п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Мероприятие подготовки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Вид ремонта (текущи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й-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(Т)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/капитальны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й-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(К))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Ед. измерения (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шт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, м, м2, и т.д.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Задание на подготовку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Готово на конец отчетного периода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Плановая дата окончания работ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439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Плановые расходы на 20__ год, тыс. руб.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34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Освоено средств на отчетную дату, тыс. руб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00"/>
        </w:trPr>
        <w:tc>
          <w:tcPr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90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Всего: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34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Всего: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в том числе: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023"/>
        </w:trPr>
        <w:tc>
          <w:tcPr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184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99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89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802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90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Средства местного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Средства организаций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bCs/>
                <w:color w:val="000000"/>
                <w:sz w:val="20"/>
              </w:rPr>
            </w:pPr>
            <w:r>
              <w:rPr>
                <w:rFonts w:ascii="Liberation Serif" w:hAnsi="Liberation Serif" w:cs="Times New Roman"/>
                <w:bCs/>
                <w:color w:val="000000"/>
                <w:sz w:val="20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Средства окружного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Средства местного бюджета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0"/>
              </w:rPr>
              <w:t xml:space="preserve">Средства организаций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9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numPr>
                <w:ilvl w:val="0"/>
                <w:numId w:val="18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1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bottom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Производство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7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Передача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6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Производство электрической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7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Передача </w:t>
            </w:r>
            <w:r>
              <w:rPr>
                <w:rFonts w:ascii="Liberation Serif" w:hAnsi="Liberation Serif" w:cs="Liberation Serif"/>
              </w:rPr>
              <w:t xml:space="preserve">электрической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9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Газоснабжение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Подъем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2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Транспортировка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Очистка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bottom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Производство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8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Передача тепловой </w:t>
            </w:r>
            <w:r>
              <w:rPr>
                <w:rFonts w:ascii="Liberation Serif" w:hAnsi="Liberation Serif" w:cs="Liberation Serif"/>
              </w:rPr>
              <w:t xml:space="preserve">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Производство электрической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ТЭР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30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1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Запасы топлива для проведения отопительного периода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т. (м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 xml:space="preserve">3</w:t>
            </w:r>
            <w:r>
              <w:rPr>
                <w:rFonts w:ascii="Liberation Serif" w:hAnsi="Liberation Serif" w:cs="Liberation Serif"/>
                <w:color w:val="000000"/>
              </w:rPr>
              <w:t xml:space="preserve">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Другое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9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426" w:type="dxa"/>
            <w:vAlign w:val="center"/>
            <w:textDirection w:val="lrTb"/>
            <w:noWrap/>
          </w:tcPr>
          <w:p>
            <w:pPr>
              <w:numPr>
                <w:ilvl w:val="0"/>
                <w:numId w:val="19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W w:w="5435" w:type="dxa"/>
            <w:vAlign w:val="center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Всего по организации: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0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0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2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5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Ф.И.О., номер телефона исполнителя</w:t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Примечание: </w:t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Показатели должны соответствовать форме 1- ЖКХ (зима) срочная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12"/>
        <w:spacing w:before="0" w:beforeAutospacing="0" w:after="0" w:afterAutospacing="0" w:line="240" w:lineRule="auto"/>
        <w:rPr>
          <w:rFonts w:ascii="Liberation Serif" w:hAnsi="Liberation Serif" w:cs="Liberation Serif"/>
          <w:b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left="5529"/>
        <w:jc w:val="left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№3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8"/>
        <w:jc w:val="left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Программе 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8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left="5528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Мониторинг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подготовки объектов энергетики и коммунальной инфраструктуры к работе в осенне-зимний период 20__/20__ года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на «_____»______20__г.</w:t>
      </w:r>
      <w:r>
        <w:rPr>
          <w:rFonts w:ascii="Liberation Serif" w:hAnsi="Liberation Serif" w:cs="Liberation Serif"/>
        </w:rPr>
      </w:r>
      <w:r/>
    </w:p>
    <w:p>
      <w:pPr>
        <w:jc w:val="center"/>
        <w:spacing w:after="0" w:afterAutospacing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96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19"/>
        <w:gridCol w:w="1467"/>
        <w:gridCol w:w="1276"/>
        <w:gridCol w:w="1134"/>
        <w:gridCol w:w="1275"/>
        <w:gridCol w:w="1692"/>
      </w:tblGrid>
      <w:tr>
        <w:trPr>
          <w:trHeight w:val="300"/>
        </w:trPr>
        <w:tc>
          <w:tcPr>
            <w:tcW w:w="5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№ строки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подготовки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Ед. измерения (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шт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, м, м2, и т.д.)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Задание на подготовку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Готово на конец отчетного периода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Процент готовности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Плановая дата окончания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149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21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bottom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Производство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97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Передача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16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Производство электрической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7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Передача электрической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89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Газоснабжение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Подъем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2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Транспортировка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Очистка воды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31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bottom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Производство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4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78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Передача тепловой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Производство электрической энергии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1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bottom"/>
            <w:textDirection w:val="lrTb"/>
            <w:noWrap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315"/>
        </w:trPr>
        <w:tc>
          <w:tcPr>
            <w:tcW w:w="576" w:type="dxa"/>
            <w:vAlign w:val="center"/>
            <w:textDirection w:val="lrTb"/>
            <w:noWrap/>
          </w:tcPr>
          <w:p>
            <w:pPr>
              <w:numPr>
                <w:ilvl w:val="0"/>
                <w:numId w:val="13"/>
              </w:num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2219" w:type="dxa"/>
            <w:vAlign w:val="center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Другое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467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692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Ф.И.О., номер телефона исполнителя</w:t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</w:r>
      <w:r>
        <w:rPr>
          <w:rFonts w:ascii="Liberation Serif" w:hAnsi="Liberation Serif" w:cs="Liberation Serif"/>
        </w:rPr>
      </w:r>
      <w:r/>
    </w:p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0"/>
          <w:szCs w:val="20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0"/>
          <w:szCs w:val="20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ind w:left="8931"/>
        <w:jc w:val="both"/>
        <w:spacing w:before="0" w:beforeAutospacing="0" w:after="0" w:afterAutospacing="0" w:line="240" w:lineRule="auto"/>
        <w:tabs>
          <w:tab w:val="left" w:pos="6663" w:leader="none"/>
          <w:tab w:val="left" w:pos="751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№4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8931"/>
        <w:jc w:val="both"/>
        <w:spacing w:before="0" w:beforeAutospacing="0" w:after="0" w:afterAutospacing="0" w:line="240" w:lineRule="auto"/>
        <w:tabs>
          <w:tab w:val="left" w:pos="6663" w:leader="none"/>
          <w:tab w:val="left" w:pos="751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Программе 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pStyle w:val="912"/>
        <w:contextualSpacing/>
        <w:ind w:left="5528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1448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191"/>
        <w:gridCol w:w="150"/>
        <w:gridCol w:w="1360"/>
        <w:gridCol w:w="616"/>
        <w:gridCol w:w="1048"/>
        <w:gridCol w:w="160"/>
        <w:gridCol w:w="859"/>
        <w:gridCol w:w="276"/>
        <w:gridCol w:w="1156"/>
        <w:gridCol w:w="229"/>
        <w:gridCol w:w="526"/>
        <w:gridCol w:w="463"/>
        <w:gridCol w:w="1385"/>
        <w:gridCol w:w="1118"/>
        <w:gridCol w:w="1356"/>
        <w:gridCol w:w="29"/>
      </w:tblGrid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Согласовано: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Утверждаю: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организации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Глава администрации села Толька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Должность руководителя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__________________________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_________________________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______________/___________/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______________/___________/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    (Ф.И.О.)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               (Ф.И.О.)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«____»____________20__г.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«____»____________20__г.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907" w:type="dxa"/>
            <w:textDirection w:val="lrTb"/>
            <w:noWrap w:val="false"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М.П.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60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64" w:type="dxa"/>
            <w:vAlign w:val="bottom"/>
            <w:textDirection w:val="lrTb"/>
            <w:noWrap/>
          </w:tcPr>
          <w:p>
            <w:pPr>
              <w:contextualSpacing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19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2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55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51" w:type="dxa"/>
            <w:textDirection w:val="lrTb"/>
            <w:noWrap w:val="false"/>
          </w:tcPr>
          <w:p>
            <w:pPr>
              <w:contextualSpacing/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М.П.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Отчет по исполнению плана-графика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подготовки жилищного фонда и его инженерного оборудования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 работе в осенне - зимний период 20__/20__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45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сельского поселения ____________________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 «___»____________20___ г.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451"/>
        </w:trPr>
        <w:tc>
          <w:tcPr>
            <w:tcW w:w="56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Показатели (адрес ремонтируемого объекта)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Краткое описание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252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Значение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374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Дата начала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50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Дата окончания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683"/>
        </w:trPr>
        <w:tc>
          <w:tcPr>
            <w:tcW w:w="56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</w:rPr>
            </w:pPr>
            <w:r>
              <w:rPr>
                <w:rFonts w:ascii="Liberation Serif" w:hAnsi="Liberation Serif" w:cs="Times New Roman"/>
                <w:bCs/>
                <w:color w:val="000000"/>
              </w:rPr>
            </w:r>
            <w:r/>
          </w:p>
        </w:tc>
        <w:tc>
          <w:tcPr>
            <w:tcW w:w="319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</w:rPr>
            </w:pPr>
            <w:r>
              <w:rPr>
                <w:rFonts w:ascii="Liberation Serif" w:hAnsi="Liberation Serif" w:cs="Times New Roman"/>
                <w:bCs/>
                <w:color w:val="000000"/>
              </w:rPr>
            </w:r>
            <w:r/>
          </w:p>
        </w:tc>
        <w:tc>
          <w:tcPr>
            <w:gridSpan w:val="3"/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</w:rPr>
            </w:pPr>
            <w:r>
              <w:rPr>
                <w:rFonts w:ascii="Liberation Serif" w:hAnsi="Liberation Serif" w:cs="Times New Roman"/>
                <w:bCs/>
                <w:color w:val="000000"/>
              </w:rPr>
            </w:r>
            <w:r/>
          </w:p>
        </w:tc>
        <w:tc>
          <w:tcPr>
            <w:gridSpan w:val="2"/>
            <w:tcW w:w="12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Times New Roman"/>
                <w:bCs/>
                <w:color w:val="000000"/>
              </w:rPr>
            </w:pPr>
            <w:r>
              <w:rPr>
                <w:rFonts w:ascii="Liberation Serif" w:hAnsi="Liberation Serif" w:cs="Times New Roman"/>
                <w:bCs/>
                <w:color w:val="000000"/>
              </w:rPr>
            </w:r>
            <w:r/>
          </w:p>
        </w:tc>
        <w:tc>
          <w:tcPr>
            <w:gridSpan w:val="2"/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 плану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Фактически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989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 плану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Фактически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1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 плану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Фактически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tcW w:w="2126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989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85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18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numPr>
                <w:ilvl w:val="0"/>
                <w:numId w:val="15"/>
              </w:numPr>
              <w:ind w:left="0" w:firstLine="0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крыши и кровли,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</w:t>
            </w:r>
            <w:r>
              <w:rPr>
                <w:rFonts w:ascii="Liberation Serif" w:hAnsi="Liberation Serif" w:cs="Liberation Serif"/>
                <w:color w:val="000000"/>
              </w:rPr>
              <w:t xml:space="preserve">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фасадов,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подъездов, общих коридоров,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Текущий ремонт перекрытий, чердаков и подвалов,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внутридомовых систем водоснабжения, отопления и вентиляции,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Замер сопротивления изоляции электросетей,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ремонт внутридомовых сетей электроснабжения,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ремонт септиков, наружной канализации,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ремонт индивидуальных тепловых пунктов, абонентских вводов инженерных сетей,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Очистка вентиляционных каналов, шахт, дымоходов,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Промывка и испытание внутридомовых инженерных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сетей,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1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3"/>
            <w:shd w:val="clear" w:color="000000" w:fill="ffffff"/>
            <w:tcW w:w="2126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5317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Подготовлено для эксплуатации в отопительный период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5317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Площадь подготовленного жилфонда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vertAlign w:val="superscript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5317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Финансирование: всего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тыс.руб.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5317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из них: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5317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Средства, выделенные из бюджета муниципального образования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тыс.руб.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tcW w:w="566" w:type="dxa"/>
            <w:textDirection w:val="lrTb"/>
            <w:noWrap w:val="false"/>
          </w:tcPr>
          <w:p>
            <w:pPr>
              <w:numPr>
                <w:ilvl w:val="1"/>
                <w:numId w:val="14"/>
              </w:num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4"/>
            <w:tcW w:w="5317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Собственные средства, выделенные предприятием 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тыс.руб.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135" w:type="dxa"/>
            <w:textDirection w:val="lrTb"/>
            <w:noWrap w:val="false"/>
          </w:tcPr>
          <w:p>
            <w:pPr>
              <w:jc w:val="right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989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1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gridSpan w:val="2"/>
            <w:shd w:val="clear" w:color="000000" w:fill="ffffff"/>
            <w:tcW w:w="138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Примечание: значения по строкам 12, 12.1 должны соответствовать форме № 1-ЖКХ (зима) срочная федерального статистического наблюдения</w:t>
      </w:r>
      <w:r>
        <w:rPr>
          <w:rFonts w:ascii="Liberation Serif" w:hAnsi="Liberation Serif" w:cs="Liberation Serif"/>
        </w:rPr>
      </w:r>
      <w:r/>
    </w:p>
    <w:p>
      <w:pPr>
        <w:ind w:left="142"/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Ф.И.О., номер телефона исполнителя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9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№5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8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Программе 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8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12"/>
        <w:jc w:val="both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tbl>
      <w:tblPr>
        <w:tblW w:w="963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190"/>
        <w:gridCol w:w="1348"/>
        <w:gridCol w:w="1208"/>
        <w:gridCol w:w="1135"/>
        <w:gridCol w:w="1343"/>
        <w:gridCol w:w="815"/>
        <w:gridCol w:w="35"/>
      </w:tblGrid>
      <w:tr>
        <w:trPr>
          <w:trHeight w:val="2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Мониторинг исполнения плана-графика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подготовки жилищного фонда и его инженерного оборудования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 работе в осенне - зимний период 20_/20_ года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trHeight w:val="20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39" w:type="dxa"/>
            <w:vAlign w:val="bottom"/>
            <w:textDirection w:val="lrTb"/>
            <w:noWrap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сельского поселения ____________________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 «___»____________20___ г.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1172"/>
        </w:trPr>
        <w:tc>
          <w:tcPr>
            <w:tcW w:w="56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</w:t>
            </w:r>
            <w:r>
              <w:rPr>
                <w:rFonts w:ascii="Liberation Serif" w:hAnsi="Liberation Serif" w:cs="Liberation Serif"/>
                <w:bCs/>
                <w:color w:val="000000"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Показатели (адрес ремонтируемого объекта)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4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Краткое описание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0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Единица 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По плану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43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Выполнено за отчетный период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 xml:space="preserve">Выполнено всего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7.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769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крыши и кровли,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фасадов, 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подъездов, общих коридоров,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Текущий ремонт перекрытий, чердаков и подвалов,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Ремонт внутридомовых систем водоснабжения, отопления и </w:t>
            </w:r>
            <w:r>
              <w:rPr>
                <w:rFonts w:ascii="Liberation Serif" w:hAnsi="Liberation Serif" w:cs="Liberation Serif"/>
                <w:color w:val="000000"/>
              </w:rPr>
              <w:t xml:space="preserve">вентиляции,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Замер сопротивления изоляции электросетей,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ремонт внутридомовых сетей электроснабжения,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ремонт септиков, наружной канализации,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Подготовка и ремонт индивидуальных тепловых пунктов, абонентских вводов инженерных сетей,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Очистка вентиляционных каналов, шахт, дымоходов,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0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Промывка и испытание внутридомовых инженерных сетей, в том числе по адресам: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ж.д.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gridAfter w:val="1"/>
          <w:trHeight w:val="20"/>
        </w:trPr>
        <w:tc>
          <w:tcPr>
            <w:tcW w:w="565" w:type="dxa"/>
            <w:textDirection w:val="lrTb"/>
            <w:noWrap w:val="false"/>
          </w:tcPr>
          <w:p>
            <w:pPr>
              <w:numPr>
                <w:ilvl w:val="1"/>
                <w:numId w:val="17"/>
              </w:num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208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13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1343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shd w:val="clear" w:color="000000" w:fill="ffffff"/>
            <w:tcW w:w="815" w:type="dxa"/>
            <w:textDirection w:val="lrTb"/>
            <w:noWrap w:val="false"/>
          </w:tcPr>
          <w:p>
            <w:pPr>
              <w:spacing w:after="0" w:afterAutospacing="0" w:line="240" w:lineRule="auto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left="142"/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ind w:left="142"/>
        <w:spacing w:after="0" w:afterAutospacing="0" w:line="240" w:lineRule="auto"/>
        <w:tabs>
          <w:tab w:val="left" w:pos="7090" w:leader="none"/>
        </w:tabs>
        <w:rPr>
          <w:rFonts w:ascii="Liberation Serif" w:hAnsi="Liberation Serif" w:cs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</w:rPr>
        <w:t xml:space="preserve">Ф.И.О., номер телефона исполнителя</w:t>
      </w:r>
      <w:r>
        <w:rPr>
          <w:rFonts w:ascii="Liberation Serif" w:hAnsi="Liberation Serif" w:cs="Liberation Serif"/>
        </w:rPr>
      </w:r>
      <w:r/>
    </w:p>
    <w:p>
      <w:pPr>
        <w:pStyle w:val="912"/>
        <w:ind w:left="5529"/>
        <w:jc w:val="left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Приложение №6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12"/>
        <w:ind w:left="5528" w:right="140"/>
        <w:jc w:val="left"/>
        <w:spacing w:before="0" w:beforeAutospacing="0" w:after="0" w:afterAutospacing="0" w:line="240" w:lineRule="auto"/>
        <w:tabs>
          <w:tab w:val="left" w:pos="5529" w:leader="none"/>
          <w:tab w:val="left" w:pos="5670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 Программе проверки готовности к отопительному периоду (осенне-зимнему периоду) 2023/2024 годов теплоснабжающих, теплосетевых организаций и потребителей тепловой энергии на территории села Толька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РЕКОМЕНДУЕМЫЙ</w:t>
      </w:r>
      <w:r>
        <w:rPr>
          <w:rFonts w:ascii="Liberation Serif" w:hAnsi="Liberation Serif" w:cs="Liberation Serif"/>
          <w:b/>
          <w:bCs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ОБРАЗЕЦ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Утверждаю: 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Руководитель учреждения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______________/___________/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(Ф.И.О.)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«____»____________20__г.</w:t>
      </w:r>
      <w:r>
        <w:rPr>
          <w:rFonts w:ascii="Liberation Serif" w:hAnsi="Liberation Serif" w:cs="Liberation Serif"/>
        </w:rPr>
      </w:r>
      <w:r/>
    </w:p>
    <w:p>
      <w:pPr>
        <w:ind w:right="282"/>
        <w:jc w:val="right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М.П.</w:t>
      </w:r>
      <w:r>
        <w:rPr>
          <w:rFonts w:ascii="Liberation Serif" w:hAnsi="Liberation Serif" w:cs="Liberation Serif"/>
        </w:rPr>
      </w:r>
      <w:r/>
    </w:p>
    <w:p>
      <w:pPr>
        <w:ind w:right="28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Отчет об исполнении план-графика</w:t>
      </w:r>
      <w:r>
        <w:rPr>
          <w:rFonts w:ascii="Liberation Serif" w:hAnsi="Liberation Serif" w:cs="Liberation Serif"/>
        </w:rPr>
      </w:r>
      <w:r/>
    </w:p>
    <w:p>
      <w:pPr>
        <w:ind w:right="28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подготовке объектов потребителя коммунальных ресурсов к осенне-зимнему периоду 20__/20__ гг.</w:t>
      </w:r>
      <w:r>
        <w:rPr>
          <w:rFonts w:ascii="Liberation Serif" w:hAnsi="Liberation Serif" w:cs="Liberation Serif"/>
        </w:rPr>
      </w:r>
      <w:r/>
    </w:p>
    <w:p>
      <w:pPr>
        <w:ind w:right="28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</w:t>
      </w:r>
      <w:r>
        <w:rPr>
          <w:rFonts w:ascii="Liberation Serif" w:hAnsi="Liberation Serif" w:cs="Liberation Serif"/>
        </w:rPr>
      </w:r>
      <w:r/>
    </w:p>
    <w:p>
      <w:pPr>
        <w:ind w:right="28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(наименование учреждения)</w:t>
      </w:r>
      <w:r>
        <w:rPr>
          <w:rFonts w:ascii="Liberation Serif" w:hAnsi="Liberation Serif" w:cs="Liberation Serif"/>
        </w:rPr>
      </w:r>
      <w:r/>
    </w:p>
    <w:p>
      <w:pPr>
        <w:ind w:right="28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___________________</w:t>
      </w:r>
      <w:r>
        <w:rPr>
          <w:rFonts w:ascii="Liberation Serif" w:hAnsi="Liberation Serif" w:cs="Liberation Serif"/>
        </w:rPr>
      </w:r>
      <w:r/>
    </w:p>
    <w:p>
      <w:pPr>
        <w:ind w:right="282"/>
        <w:jc w:val="center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(отчетная дата)</w:t>
      </w:r>
      <w:r>
        <w:rPr>
          <w:rFonts w:ascii="Liberation Serif" w:hAnsi="Liberation Serif" w:cs="Liberation Serif"/>
        </w:rPr>
      </w:r>
      <w:r/>
    </w:p>
    <w:tbl>
      <w:tblPr>
        <w:tblW w:w="995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730"/>
        <w:gridCol w:w="992"/>
        <w:gridCol w:w="1276"/>
        <w:gridCol w:w="1134"/>
        <w:gridCol w:w="999"/>
        <w:gridCol w:w="993"/>
        <w:gridCol w:w="843"/>
        <w:gridCol w:w="992"/>
      </w:tblGrid>
      <w:tr>
        <w:trPr>
          <w:cantSplit/>
          <w:trHeight w:val="2492"/>
        </w:trPr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</w:rPr>
              <w:t xml:space="preserve">п</w:t>
            </w:r>
            <w:r>
              <w:rPr>
                <w:rFonts w:ascii="Liberation Serif" w:hAnsi="Liberation Serif" w:cs="Liberation Serif"/>
                <w:bCs/>
              </w:rPr>
              <w:t xml:space="preserve">/</w:t>
            </w:r>
            <w:r>
              <w:rPr>
                <w:rFonts w:ascii="Liberation Serif" w:hAnsi="Liberation Serif" w:cs="Liberation Serif"/>
                <w:bCs/>
              </w:rPr>
              <w:t xml:space="preserve">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Мероприятие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Единица изм.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right="282" w:firstLine="34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Задание на подготовку в  ед. изм.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Выполнено на отчетную дату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Запланировано на оплату работ, тыс</w:t>
            </w:r>
            <w:r>
              <w:rPr>
                <w:rFonts w:ascii="Liberation Serif" w:hAnsi="Liberation Serif" w:cs="Liberation Serif"/>
                <w:bCs/>
              </w:rPr>
              <w:t xml:space="preserve">.р</w:t>
            </w:r>
            <w:r>
              <w:rPr>
                <w:rFonts w:ascii="Liberation Serif" w:hAnsi="Liberation Serif" w:cs="Liberation Serif"/>
                <w:bCs/>
              </w:rPr>
              <w:t xml:space="preserve">уб.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Фактически затрачено, тыс</w:t>
            </w:r>
            <w:r>
              <w:rPr>
                <w:rFonts w:ascii="Liberation Serif" w:hAnsi="Liberation Serif" w:cs="Liberation Serif"/>
                <w:bCs/>
              </w:rPr>
              <w:t xml:space="preserve">.р</w:t>
            </w:r>
            <w:r>
              <w:rPr>
                <w:rFonts w:ascii="Liberation Serif" w:hAnsi="Liberation Serif" w:cs="Liberation Serif"/>
                <w:bCs/>
              </w:rPr>
              <w:t xml:space="preserve">уб.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ind w:right="282" w:firstLine="34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Плановая дата окончания работ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Причины отставания от графика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914"/>
              <w:ind w:left="0"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6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7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8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9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10"/>
              </w:numPr>
              <w:contextualSpacing w:val="0"/>
              <w:ind w:left="0" w:right="282" w:firstLine="0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 w:firstLine="37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Тепловые пункты, всего ____ 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2"/>
            <w:tcW w:w="272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мероприятия по подготовке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10"/>
              </w:numPr>
              <w:contextualSpacing w:val="0"/>
              <w:ind w:left="360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 w:firstLine="37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Системы отопления, всего ____ 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2"/>
            <w:tcW w:w="272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мероприятия по подготовке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10"/>
              </w:numPr>
              <w:contextualSpacing w:val="0"/>
              <w:ind w:left="360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 w:firstLine="37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Системы вентиляции, всего ___шт.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2"/>
            <w:tcW w:w="272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мероприятия по подготовке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  <w:i/>
                <w:iCs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10"/>
              </w:numPr>
              <w:contextualSpacing w:val="0"/>
              <w:ind w:left="360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Тепловые сети потребителя, всего ___ м.п.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2"/>
            <w:tcW w:w="272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мероприятия по подготовке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10"/>
              </w:numPr>
              <w:contextualSpacing w:val="0"/>
              <w:ind w:left="360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Приборы учета тепловой, электрической энергии и </w:t>
            </w:r>
            <w:r>
              <w:rPr>
                <w:rFonts w:ascii="Liberation Serif" w:hAnsi="Liberation Serif" w:cs="Liberation Serif"/>
              </w:rPr>
              <w:t xml:space="preserve">воды, всего _____ 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2"/>
            <w:tcW w:w="272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мероприятия по подготовке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0"/>
                <w:numId w:val="10"/>
              </w:numPr>
              <w:contextualSpacing w:val="0"/>
              <w:ind w:left="360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Подготовка зданий, всего ____ шт.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2"/>
            <w:tcW w:w="272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мероприятия по подготовке к отопительному периоду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pStyle w:val="914"/>
              <w:numPr>
                <w:ilvl w:val="1"/>
                <w:numId w:val="10"/>
              </w:numPr>
              <w:contextualSpacing w:val="0"/>
              <w:ind w:left="432" w:right="282"/>
              <w:jc w:val="both"/>
              <w:spacing w:after="0" w:afterAutospacing="0" w:line="240" w:lineRule="auto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W w:w="993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…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730" w:type="dxa"/>
            <w:textDirection w:val="lrTb"/>
            <w:noWrap w:val="false"/>
          </w:tcPr>
          <w:p>
            <w:pPr>
              <w:ind w:right="282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ind w:right="282" w:firstLine="35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gridSpan w:val="5"/>
            <w:tcBorders>
              <w:right w:val="single" w:color="auto" w:sz="4" w:space="0"/>
            </w:tcBorders>
            <w:tcW w:w="6125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Всего финансовых средств по организации (учреждению):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9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9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left w:val="single" w:color="auto" w:sz="4" w:space="0"/>
            </w:tcBorders>
            <w:tcW w:w="843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right="282"/>
              <w:jc w:val="center"/>
              <w:spacing w:after="0" w:afterAutospacing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х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right="282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right="282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Исполнитель: фамилия, имя, отчество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__________________</w:t>
      </w:r>
      <w:r>
        <w:rPr>
          <w:rFonts w:ascii="Liberation Serif" w:hAnsi="Liberation Serif" w:cs="Liberation Serif"/>
        </w:rPr>
      </w:r>
      <w:r/>
    </w:p>
    <w:p>
      <w:pPr>
        <w:ind w:left="5664" w:right="282" w:firstLine="708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(подпись)</w:t>
      </w:r>
      <w:r>
        <w:rPr>
          <w:rFonts w:ascii="Liberation Serif" w:hAnsi="Liberation Serif" w:cs="Liberation Serif"/>
        </w:rPr>
      </w:r>
      <w:r/>
    </w:p>
    <w:p>
      <w:pPr>
        <w:ind w:right="282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телефон ________________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302020302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0919162"/>
      <w:rPr/>
    </w:sdtPr>
    <w:sdtContent>
      <w:p>
        <w:pPr>
          <w:pStyle w:val="915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PT Astra Serif" w:hAnsi="PT Astra Serif" w:cs="Times New Roman"/>
            <w:sz w:val="24"/>
            <w:szCs w:val="24"/>
          </w:rPr>
          <w:fldChar w:fldCharType="begin"/>
        </w:r>
        <w:r>
          <w:rPr>
            <w:rFonts w:ascii="PT Astra Serif" w:hAnsi="PT Astra Serif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1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41856606"/>
      <w:rPr/>
    </w:sdtPr>
    <w:sdtContent>
      <w:p>
        <w:pPr>
          <w:pStyle w:val="915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PT Astra Serif" w:hAnsi="PT Astra Serif" w:cs="Times New Roman"/>
            <w:sz w:val="24"/>
            <w:szCs w:val="24"/>
          </w:rPr>
          <w:fldChar w:fldCharType="begin"/>
        </w:r>
        <w:r>
          <w:rPr>
            <w:rFonts w:ascii="PT Astra Serif" w:hAnsi="PT Astra Serif" w:cs="Times New Roman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3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>
          <w:rPr>
            <w:rFonts w:ascii="Liberation Serif" w:hAnsi="Liberation Serif" w:cs="Liberation Serif"/>
            <w:sz w:val="24"/>
            <w:szCs w:val="24"/>
          </w:rPr>
        </w:r>
        <w:r/>
      </w:p>
    </w:sdtContent>
  </w:sdt>
  <w:p>
    <w:pPr>
      <w:pStyle w:val="91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94" w:hanging="360"/>
      </w:pPr>
      <w:rPr>
        <w:rFonts w:hint="default"/>
        <w:sz w:val="30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  <w:b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5" w:hanging="360"/>
      </w:pPr>
      <w:rPr>
        <w:b w:val="0"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1207" w:hanging="432"/>
      </w:pPr>
      <w:rPr>
        <w:b w:val="0"/>
        <w:b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9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36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6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36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87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37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53" w:hanging="144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50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586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90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94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098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602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178" w:hanging="144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  <w:rPr>
        <w:color w:val="auto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43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7"/>
  </w:num>
  <w:num w:numId="5">
    <w:abstractNumId w:val="1"/>
    <w:lvlOverride w:ilvl="0">
      <w:startOverride w:val="1"/>
    </w:lvlOverride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  <w:num w:numId="16">
    <w:abstractNumId w:val="10"/>
  </w:num>
  <w:num w:numId="17">
    <w:abstractNumId w:val="18"/>
  </w:num>
  <w:num w:numId="18">
    <w:abstractNumId w:val="5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8">
    <w:name w:val="Title Char"/>
    <w:basedOn w:val="735"/>
    <w:link w:val="756"/>
    <w:uiPriority w:val="10"/>
    <w:rPr>
      <w:sz w:val="48"/>
      <w:szCs w:val="48"/>
    </w:rPr>
  </w:style>
  <w:style w:type="character" w:styleId="729">
    <w:name w:val="Subtitle Char"/>
    <w:basedOn w:val="735"/>
    <w:link w:val="758"/>
    <w:uiPriority w:val="11"/>
    <w:rPr>
      <w:sz w:val="24"/>
      <w:szCs w:val="24"/>
    </w:rPr>
  </w:style>
  <w:style w:type="character" w:styleId="730">
    <w:name w:val="Quote Char"/>
    <w:link w:val="760"/>
    <w:uiPriority w:val="29"/>
    <w:rPr>
      <w:i/>
    </w:rPr>
  </w:style>
  <w:style w:type="character" w:styleId="731">
    <w:name w:val="Intense Quote Char"/>
    <w:link w:val="762"/>
    <w:uiPriority w:val="30"/>
    <w:rPr>
      <w:i/>
    </w:rPr>
  </w:style>
  <w:style w:type="character" w:styleId="732">
    <w:name w:val="Footnote Text Char"/>
    <w:link w:val="893"/>
    <w:uiPriority w:val="99"/>
    <w:rPr>
      <w:sz w:val="18"/>
    </w:rPr>
  </w:style>
  <w:style w:type="character" w:styleId="733">
    <w:name w:val="Endnote Text Char"/>
    <w:link w:val="896"/>
    <w:uiPriority w:val="99"/>
    <w:rPr>
      <w:sz w:val="20"/>
    </w:rPr>
  </w:style>
  <w:style w:type="paragraph" w:styleId="734" w:default="1">
    <w:name w:val="Normal"/>
    <w:qFormat/>
  </w:style>
  <w:style w:type="character" w:styleId="735" w:default="1">
    <w:name w:val="Default Paragraph Font"/>
    <w:uiPriority w:val="1"/>
    <w:semiHidden/>
    <w:unhideWhenUsed/>
  </w:style>
  <w:style w:type="table" w:styleId="73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7" w:default="1">
    <w:name w:val="No List"/>
    <w:uiPriority w:val="99"/>
    <w:semiHidden/>
    <w:unhideWhenUsed/>
  </w:style>
  <w:style w:type="paragraph" w:styleId="738" w:customStyle="1">
    <w:name w:val="Heading 1"/>
    <w:basedOn w:val="734"/>
    <w:next w:val="734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 w:customStyle="1">
    <w:name w:val="Heading 1 Char"/>
    <w:basedOn w:val="735"/>
    <w:link w:val="738"/>
    <w:uiPriority w:val="9"/>
    <w:rPr>
      <w:rFonts w:ascii="Arial" w:hAnsi="Arial" w:eastAsia="Arial" w:cs="Arial"/>
      <w:sz w:val="40"/>
      <w:szCs w:val="40"/>
    </w:rPr>
  </w:style>
  <w:style w:type="paragraph" w:styleId="740" w:customStyle="1">
    <w:name w:val="Heading 2"/>
    <w:basedOn w:val="734"/>
    <w:next w:val="734"/>
    <w:link w:val="7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1" w:customStyle="1">
    <w:name w:val="Heading 2 Char"/>
    <w:basedOn w:val="735"/>
    <w:link w:val="740"/>
    <w:uiPriority w:val="9"/>
    <w:rPr>
      <w:rFonts w:ascii="Arial" w:hAnsi="Arial" w:eastAsia="Arial" w:cs="Arial"/>
      <w:sz w:val="34"/>
    </w:rPr>
  </w:style>
  <w:style w:type="character" w:styleId="742" w:customStyle="1">
    <w:name w:val="Heading 3 Char"/>
    <w:basedOn w:val="735"/>
    <w:link w:val="910"/>
    <w:uiPriority w:val="9"/>
    <w:rPr>
      <w:rFonts w:ascii="Arial" w:hAnsi="Arial" w:eastAsia="Arial" w:cs="Arial"/>
      <w:sz w:val="30"/>
      <w:szCs w:val="30"/>
    </w:rPr>
  </w:style>
  <w:style w:type="paragraph" w:styleId="743" w:customStyle="1">
    <w:name w:val="Heading 4"/>
    <w:basedOn w:val="734"/>
    <w:next w:val="734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Heading 4 Char"/>
    <w:basedOn w:val="735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 w:customStyle="1">
    <w:name w:val="Heading 5"/>
    <w:basedOn w:val="734"/>
    <w:next w:val="734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Heading 5 Char"/>
    <w:basedOn w:val="735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 w:customStyle="1">
    <w:name w:val="Heading 6"/>
    <w:basedOn w:val="734"/>
    <w:next w:val="734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748" w:customStyle="1">
    <w:name w:val="Heading 6 Char"/>
    <w:basedOn w:val="735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 w:customStyle="1">
    <w:name w:val="Heading 7"/>
    <w:basedOn w:val="734"/>
    <w:next w:val="734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750" w:customStyle="1">
    <w:name w:val="Heading 7 Char"/>
    <w:basedOn w:val="735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 w:customStyle="1">
    <w:name w:val="Heading 8"/>
    <w:basedOn w:val="734"/>
    <w:next w:val="734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752" w:customStyle="1">
    <w:name w:val="Heading 8 Char"/>
    <w:basedOn w:val="735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 w:customStyle="1">
    <w:name w:val="Heading 9"/>
    <w:basedOn w:val="734"/>
    <w:next w:val="734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Heading 9 Char"/>
    <w:basedOn w:val="735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No Spacing"/>
    <w:uiPriority w:val="1"/>
    <w:qFormat/>
    <w:pPr>
      <w:spacing w:after="0" w:line="240" w:lineRule="auto"/>
    </w:pPr>
  </w:style>
  <w:style w:type="paragraph" w:styleId="756">
    <w:name w:val="Title"/>
    <w:basedOn w:val="734"/>
    <w:next w:val="734"/>
    <w:link w:val="7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7" w:customStyle="1">
    <w:name w:val="Название Знак"/>
    <w:basedOn w:val="735"/>
    <w:link w:val="756"/>
    <w:uiPriority w:val="10"/>
    <w:rPr>
      <w:sz w:val="48"/>
      <w:szCs w:val="48"/>
    </w:rPr>
  </w:style>
  <w:style w:type="paragraph" w:styleId="758">
    <w:name w:val="Subtitle"/>
    <w:basedOn w:val="734"/>
    <w:next w:val="734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 w:customStyle="1">
    <w:name w:val="Подзаголовок Знак"/>
    <w:basedOn w:val="735"/>
    <w:link w:val="758"/>
    <w:uiPriority w:val="11"/>
    <w:rPr>
      <w:sz w:val="24"/>
      <w:szCs w:val="24"/>
    </w:rPr>
  </w:style>
  <w:style w:type="paragraph" w:styleId="760">
    <w:name w:val="Quote"/>
    <w:basedOn w:val="734"/>
    <w:next w:val="734"/>
    <w:link w:val="761"/>
    <w:uiPriority w:val="29"/>
    <w:qFormat/>
    <w:pPr>
      <w:ind w:left="720" w:right="720"/>
    </w:pPr>
    <w:rPr>
      <w:i/>
    </w:r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734"/>
    <w:next w:val="734"/>
    <w:link w:val="7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 w:customStyle="1">
    <w:name w:val="Выделенная цитата Знак"/>
    <w:link w:val="762"/>
    <w:uiPriority w:val="30"/>
    <w:rPr>
      <w:i/>
    </w:rPr>
  </w:style>
  <w:style w:type="character" w:styleId="764" w:customStyle="1">
    <w:name w:val="Header Char"/>
    <w:basedOn w:val="735"/>
    <w:link w:val="915"/>
    <w:uiPriority w:val="99"/>
  </w:style>
  <w:style w:type="character" w:styleId="765" w:customStyle="1">
    <w:name w:val="Footer Char"/>
    <w:basedOn w:val="735"/>
    <w:link w:val="917"/>
    <w:uiPriority w:val="99"/>
  </w:style>
  <w:style w:type="paragraph" w:styleId="766" w:customStyle="1">
    <w:name w:val="Caption"/>
    <w:basedOn w:val="734"/>
    <w:next w:val="7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7" w:customStyle="1">
    <w:name w:val="Caption Char"/>
    <w:link w:val="917"/>
    <w:uiPriority w:val="99"/>
  </w:style>
  <w:style w:type="table" w:styleId="768" w:customStyle="1">
    <w:name w:val="Table Grid Light"/>
    <w:basedOn w:val="73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Plain Table 1"/>
    <w:basedOn w:val="736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2"/>
    <w:basedOn w:val="7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Plain Table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Plain Table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Plain Table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1 Light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4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6" w:customStyle="1">
    <w:name w:val="Grid Table 4 - Accent 1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7" w:customStyle="1">
    <w:name w:val="Grid Table 4 - Accent 2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Grid Table 4 - Accent 3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99" w:customStyle="1">
    <w:name w:val="Grid Table 4 - Accent 4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Grid Table 4 - Accent 5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1" w:customStyle="1">
    <w:name w:val="Grid Table 4 - Accent 6"/>
    <w:basedOn w:val="7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2" w:customStyle="1">
    <w:name w:val="Grid Table 5 Dark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6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1" w:customStyle="1">
    <w:name w:val="Grid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2" w:customStyle="1">
    <w:name w:val="Grid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3" w:customStyle="1">
    <w:name w:val="Grid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4" w:customStyle="1">
    <w:name w:val="Grid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5" w:customStyle="1">
    <w:name w:val="Grid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6" w:customStyle="1">
    <w:name w:val="Grid Table 7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7" w:customStyle="1">
    <w:name w:val="List Table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5 Dark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6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9" w:customStyle="1">
    <w:name w:val="List Table 6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1" w:sz="4" w:space="0"/>
        <w:bottom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0" w:customStyle="1">
    <w:name w:val="List Table 6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1" w:customStyle="1">
    <w:name w:val="List Table 6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2" w:customStyle="1">
    <w:name w:val="List Table 6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3" w:customStyle="1">
    <w:name w:val="List Table 6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4" w:customStyle="1">
    <w:name w:val="List Table 6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5" w:customStyle="1">
    <w:name w:val="List Table 7 Colorful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5B9BD5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8DA9DB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ned - Accent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3" w:customStyle="1">
    <w:name w:val="Lined - Accent 1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4" w:customStyle="1">
    <w:name w:val="Lined - Accent 2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5" w:customStyle="1">
    <w:name w:val="Lined - Accent 3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6" w:customStyle="1">
    <w:name w:val="Lined - Accent 4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7" w:customStyle="1">
    <w:name w:val="Lined - Accent 5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78" w:customStyle="1">
    <w:name w:val="Lined - Accent 6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9" w:customStyle="1">
    <w:name w:val="Bordered &amp; Lined - Accent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0" w:customStyle="1">
    <w:name w:val="Bordered &amp; Lined - Accent 1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1" w:customStyle="1">
    <w:name w:val="Bordered &amp; Lined - Accent 2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2" w:customStyle="1">
    <w:name w:val="Bordered &amp; Lined - Accent 3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3" w:customStyle="1">
    <w:name w:val="Bordered &amp; Lined - Accent 4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4" w:customStyle="1">
    <w:name w:val="Bordered &amp; Lined - Accent 5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5" w:customStyle="1">
    <w:name w:val="Bordered &amp; Lined - Accent 6"/>
    <w:basedOn w:val="736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6" w:customStyle="1">
    <w:name w:val="Bordered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7" w:customStyle="1">
    <w:name w:val="Bordered - Accent 1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88" w:customStyle="1">
    <w:name w:val="Bordered - Accent 2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89" w:customStyle="1">
    <w:name w:val="Bordered - Accent 3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0" w:customStyle="1">
    <w:name w:val="Bordered - Accent 4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1" w:customStyle="1">
    <w:name w:val="Bordered - Accent 5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2" w:customStyle="1">
    <w:name w:val="Bordered - Accent 6"/>
    <w:basedOn w:val="7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93">
    <w:name w:val="footnote text"/>
    <w:basedOn w:val="734"/>
    <w:link w:val="894"/>
    <w:uiPriority w:val="99"/>
    <w:semiHidden/>
    <w:unhideWhenUsed/>
    <w:pPr>
      <w:spacing w:after="40" w:line="240" w:lineRule="auto"/>
    </w:pPr>
    <w:rPr>
      <w:sz w:val="18"/>
    </w:r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basedOn w:val="735"/>
    <w:uiPriority w:val="99"/>
    <w:unhideWhenUsed/>
    <w:rPr>
      <w:vertAlign w:val="superscript"/>
    </w:rPr>
  </w:style>
  <w:style w:type="paragraph" w:styleId="896">
    <w:name w:val="endnote text"/>
    <w:basedOn w:val="734"/>
    <w:link w:val="897"/>
    <w:uiPriority w:val="99"/>
    <w:semiHidden/>
    <w:unhideWhenUsed/>
    <w:pPr>
      <w:spacing w:after="0" w:line="240" w:lineRule="auto"/>
    </w:pPr>
    <w:rPr>
      <w:sz w:val="20"/>
    </w:rPr>
  </w:style>
  <w:style w:type="character" w:styleId="897" w:customStyle="1">
    <w:name w:val="Текст концевой сноски Знак"/>
    <w:link w:val="896"/>
    <w:uiPriority w:val="99"/>
    <w:rPr>
      <w:sz w:val="20"/>
    </w:rPr>
  </w:style>
  <w:style w:type="character" w:styleId="898">
    <w:name w:val="endnote reference"/>
    <w:basedOn w:val="735"/>
    <w:uiPriority w:val="99"/>
    <w:semiHidden/>
    <w:unhideWhenUsed/>
    <w:rPr>
      <w:vertAlign w:val="superscript"/>
    </w:rPr>
  </w:style>
  <w:style w:type="paragraph" w:styleId="899">
    <w:name w:val="toc 1"/>
    <w:basedOn w:val="734"/>
    <w:next w:val="734"/>
    <w:uiPriority w:val="39"/>
    <w:unhideWhenUsed/>
    <w:pPr>
      <w:spacing w:after="57"/>
    </w:pPr>
  </w:style>
  <w:style w:type="paragraph" w:styleId="900">
    <w:name w:val="toc 2"/>
    <w:basedOn w:val="734"/>
    <w:next w:val="734"/>
    <w:uiPriority w:val="39"/>
    <w:unhideWhenUsed/>
    <w:pPr>
      <w:ind w:left="283"/>
      <w:spacing w:after="57"/>
    </w:pPr>
  </w:style>
  <w:style w:type="paragraph" w:styleId="901">
    <w:name w:val="toc 3"/>
    <w:basedOn w:val="734"/>
    <w:next w:val="734"/>
    <w:uiPriority w:val="39"/>
    <w:unhideWhenUsed/>
    <w:pPr>
      <w:ind w:left="567"/>
      <w:spacing w:after="57"/>
    </w:pPr>
  </w:style>
  <w:style w:type="paragraph" w:styleId="902">
    <w:name w:val="toc 4"/>
    <w:basedOn w:val="734"/>
    <w:next w:val="734"/>
    <w:uiPriority w:val="39"/>
    <w:unhideWhenUsed/>
    <w:pPr>
      <w:ind w:left="850"/>
      <w:spacing w:after="57"/>
    </w:pPr>
  </w:style>
  <w:style w:type="paragraph" w:styleId="903">
    <w:name w:val="toc 5"/>
    <w:basedOn w:val="734"/>
    <w:next w:val="734"/>
    <w:uiPriority w:val="39"/>
    <w:unhideWhenUsed/>
    <w:pPr>
      <w:ind w:left="1134"/>
      <w:spacing w:after="57"/>
    </w:pPr>
  </w:style>
  <w:style w:type="paragraph" w:styleId="904">
    <w:name w:val="toc 6"/>
    <w:basedOn w:val="734"/>
    <w:next w:val="734"/>
    <w:uiPriority w:val="39"/>
    <w:unhideWhenUsed/>
    <w:pPr>
      <w:ind w:left="1417"/>
      <w:spacing w:after="57"/>
    </w:pPr>
  </w:style>
  <w:style w:type="paragraph" w:styleId="905">
    <w:name w:val="toc 7"/>
    <w:basedOn w:val="734"/>
    <w:next w:val="734"/>
    <w:uiPriority w:val="39"/>
    <w:unhideWhenUsed/>
    <w:pPr>
      <w:ind w:left="1701"/>
      <w:spacing w:after="57"/>
    </w:pPr>
  </w:style>
  <w:style w:type="paragraph" w:styleId="906">
    <w:name w:val="toc 8"/>
    <w:basedOn w:val="734"/>
    <w:next w:val="734"/>
    <w:uiPriority w:val="39"/>
    <w:unhideWhenUsed/>
    <w:pPr>
      <w:ind w:left="1984"/>
      <w:spacing w:after="57"/>
    </w:pPr>
  </w:style>
  <w:style w:type="paragraph" w:styleId="907">
    <w:name w:val="toc 9"/>
    <w:basedOn w:val="734"/>
    <w:next w:val="734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>
    <w:name w:val="table of figures"/>
    <w:basedOn w:val="734"/>
    <w:next w:val="734"/>
    <w:uiPriority w:val="99"/>
    <w:unhideWhenUsed/>
    <w:pPr>
      <w:spacing w:after="0"/>
    </w:pPr>
  </w:style>
  <w:style w:type="paragraph" w:styleId="910" w:customStyle="1">
    <w:name w:val="Heading 3"/>
    <w:basedOn w:val="734"/>
    <w:next w:val="734"/>
    <w:link w:val="919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911" w:customStyle="1">
    <w:name w:val="headertext"/>
    <w:basedOn w:val="7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2" w:customStyle="1">
    <w:name w:val="formattext"/>
    <w:basedOn w:val="7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13">
    <w:name w:val="Hyperlink"/>
    <w:basedOn w:val="735"/>
    <w:uiPriority w:val="99"/>
    <w:semiHidden/>
    <w:unhideWhenUsed/>
    <w:rPr>
      <w:color w:val="0000ff"/>
      <w:u w:val="single"/>
    </w:rPr>
  </w:style>
  <w:style w:type="paragraph" w:styleId="914">
    <w:name w:val="List Paragraph"/>
    <w:basedOn w:val="734"/>
    <w:link w:val="920"/>
    <w:uiPriority w:val="99"/>
    <w:qFormat/>
    <w:pPr>
      <w:contextualSpacing/>
      <w:ind w:left="720"/>
      <w:spacing w:after="0" w:line="240" w:lineRule="auto"/>
    </w:pPr>
    <w:rPr>
      <w:rFonts w:ascii="Calibri" w:hAnsi="Calibri" w:eastAsia="Calibri" w:cs="Times New Roman"/>
    </w:rPr>
  </w:style>
  <w:style w:type="paragraph" w:styleId="915" w:customStyle="1">
    <w:name w:val="Header"/>
    <w:basedOn w:val="734"/>
    <w:link w:val="91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6" w:customStyle="1">
    <w:name w:val="Верхний колонтитул Знак"/>
    <w:basedOn w:val="735"/>
    <w:link w:val="915"/>
    <w:uiPriority w:val="99"/>
  </w:style>
  <w:style w:type="paragraph" w:styleId="917" w:customStyle="1">
    <w:name w:val="Footer"/>
    <w:basedOn w:val="734"/>
    <w:link w:val="918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8" w:customStyle="1">
    <w:name w:val="Нижний колонтитул Знак"/>
    <w:basedOn w:val="735"/>
    <w:link w:val="917"/>
    <w:uiPriority w:val="99"/>
  </w:style>
  <w:style w:type="character" w:styleId="919" w:customStyle="1">
    <w:name w:val="Заголовок 3 Знак"/>
    <w:basedOn w:val="735"/>
    <w:link w:val="910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920" w:customStyle="1">
    <w:name w:val="Абзац списка Знак"/>
    <w:link w:val="914"/>
    <w:uiPriority w:val="34"/>
    <w:rPr>
      <w:rFonts w:ascii="Calibri" w:hAnsi="Calibri" w:eastAsia="Calibri" w:cs="Times New Roman"/>
    </w:rPr>
  </w:style>
  <w:style w:type="table" w:styleId="921">
    <w:name w:val="Table Grid"/>
    <w:basedOn w:val="7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2" w:customStyle="1">
    <w:name w:val="ConsPlu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923">
    <w:name w:val="Normal (Web)"/>
    <w:basedOn w:val="73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24">
    <w:name w:val="Balloon Text"/>
    <w:basedOn w:val="734"/>
    <w:link w:val="92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25" w:customStyle="1">
    <w:name w:val="Текст выноски Знак"/>
    <w:basedOn w:val="735"/>
    <w:link w:val="924"/>
    <w:uiPriority w:val="99"/>
    <w:semiHidden/>
    <w:rPr>
      <w:rFonts w:ascii="Segoe UI" w:hAnsi="Segoe UI" w:cs="Segoe UI"/>
      <w:sz w:val="18"/>
      <w:szCs w:val="18"/>
    </w:rPr>
  </w:style>
  <w:style w:type="character" w:styleId="926" w:customStyle="1">
    <w:name w:val="docdata"/>
    <w:basedOn w:val="735"/>
  </w:style>
  <w:style w:type="character" w:styleId="927" w:customStyle="1">
    <w:name w:val="Основной текст_"/>
    <w:basedOn w:val="735"/>
    <w:link w:val="928"/>
    <w:rPr>
      <w:rFonts w:ascii="Times New Roman" w:hAnsi="Times New Roman" w:eastAsia="Times New Roman"/>
      <w:sz w:val="28"/>
      <w:szCs w:val="28"/>
      <w:shd w:val="clear" w:color="auto" w:fill="ffffff"/>
    </w:rPr>
  </w:style>
  <w:style w:type="paragraph" w:styleId="928" w:customStyle="1">
    <w:name w:val="Основной текст1"/>
    <w:basedOn w:val="734"/>
    <w:link w:val="927"/>
    <w:pPr>
      <w:ind w:firstLine="400"/>
      <w:spacing w:after="0" w:line="240" w:lineRule="auto"/>
      <w:shd w:val="clear" w:color="auto" w:fill="ffffff"/>
      <w:widowControl w:val="off"/>
    </w:pPr>
    <w:rPr>
      <w:rFonts w:ascii="Times New Roman" w:hAnsi="Times New Roman" w:eastAsia="Times New Roman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642C6-4C17-4D57-BF5A-A89DBC6B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revision>21</cp:revision>
  <dcterms:created xsi:type="dcterms:W3CDTF">2022-05-16T04:36:00Z</dcterms:created>
  <dcterms:modified xsi:type="dcterms:W3CDTF">2023-07-31T12:02:31Z</dcterms:modified>
</cp:coreProperties>
</file>