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contextualSpacing/>
        <w:ind w:left="0" w:right="0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3"/>
        <w:contextualSpacing/>
        <w:ind w:left="0" w:right="0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4"/>
        <w:contextualSpacing/>
        <w:ind w:left="0" w:right="0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01"/>
        <w:contextualSpacing/>
        <w:ind w:left="0" w:right="0" w:firstLine="0"/>
        <w:jc w:val="left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3"/>
        <w:contextualSpacing/>
        <w:ind w:left="0" w:right="0" w:firstLine="0"/>
        <w:jc w:val="both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«31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июля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268-П</w:t>
      </w:r>
      <w:r/>
    </w:p>
    <w:p>
      <w:pPr>
        <w:pStyle w:val="701"/>
        <w:contextualSpacing/>
        <w:ind w:left="0" w:right="0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jc w:val="left"/>
        <w:spacing w:after="0" w:afterAutospacing="0" w:line="240" w:lineRule="auto"/>
        <w:tabs>
          <w:tab w:val="left" w:pos="736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0"/>
        <w:spacing w:after="0" w:afterAutospacing="0" w:line="240" w:lineRule="auto"/>
        <w:tabs>
          <w:tab w:val="left" w:pos="3420" w:leader="none"/>
        </w:tabs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903"/>
        <w:contextualSpacing/>
        <w:ind w:left="0" w:right="0" w:firstLine="0"/>
        <w:jc w:val="center"/>
        <w:spacing w:after="0" w:afterAutospacing="0" w:line="240" w:lineRule="auto"/>
        <w:tabs>
          <w:tab w:val="left" w:pos="342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Об утверждении положения о системе оповещения населения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3"/>
        <w:contextualSpacing/>
        <w:ind w:left="0" w:right="0" w:firstLine="0"/>
        <w:jc w:val="center"/>
        <w:spacing w:after="0" w:afterAutospacing="0" w:line="240" w:lineRule="auto"/>
        <w:tabs>
          <w:tab w:val="left" w:pos="342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4"/>
        <w:contextualSpacing/>
        <w:ind w:left="0" w:right="0" w:firstLine="0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4"/>
        <w:contextualSpacing/>
        <w:ind w:left="0" w:right="0" w:firstLine="0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8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Федеральным законом от 21 декабря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1994 года </w:t>
      </w:r>
      <w:hyperlink r:id="rId15" w:tooltip="consultantplus://offline/ref=815AABE2BEA2AF8DFB1540E1526A6A999DBB4E74A32410CE4D52C791481CB77A769E6996676C962394A9853AF87081B11D2A5A35Z4G1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68-ФЗ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Федеральным законом от 12 февраля 1998 года </w:t>
      </w:r>
      <w:hyperlink r:id="rId16" w:tooltip="consultantplus://offline/ref=815AABE2BEA2AF8DFB1540E1526A6A999DBB4E74A32710CE4D52C791481CB77A769E6997636C962394A9853AF87081B11D2A5A35Z4G1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28-ФЗ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«О гражданской обороне», Федеральным законом 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</w:t>
        <w:br/>
        <w:t xml:space="preserve">06 октября 2003 года </w:t>
      </w:r>
      <w:hyperlink r:id="rId17" w:tooltip="consultantplus://offline/ref=815AABE2BEA2AF8DFB1540E1526A6A999DBB4C73A42110CE4D52C791481CB77A769E699F6166C17AD4F7DC6ABD3B8DB102365B365FA9662DZ9GD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131-ФЗ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приказом Министерства Российской Федерации по делам гражданской обороны, чрезвычайны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 ситуациям и ликвидации последствий стихийных бедствий и Министерства цифрового развития, связи и массовых коммуникаций Российской Федерации от</w:t>
        <w:br/>
        <w:t xml:space="preserve">31 июля 2020 года № 578/365 «Об утверждении Положения о системах оповещения населения»,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3"/>
        <w:contextualSpacing/>
        <w:ind w:left="0" w:right="0" w:firstLine="709"/>
        <w:jc w:val="both"/>
        <w:spacing w:after="0" w:afterAutospacing="0" w:line="240" w:lineRule="auto"/>
        <w:tabs>
          <w:tab w:val="left" w:pos="72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Style w:val="905"/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1. Утвердить положение о системе оповещения населения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Признать утративш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им силу постановление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Администрации муниципальн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ого образования Красноселькупский район от 21 июня 2021 года № П-197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 утверждении положения о системе оповещения населения муниципального образования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Style w:val="905"/>
          <w:rFonts w:ascii="Liberation Serif" w:hAnsi="Liberation Serif" w:cs="Liberation Serif"/>
          <w:sz w:val="28"/>
          <w:szCs w:val="28"/>
        </w:rPr>
      </w:pPr>
      <w:r>
        <w:rPr>
          <w:rStyle w:val="905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4. Контроль за исполнением настоящего постановления возложить на заместителя Главы Администрации Красноселькупского района.</w:t>
      </w:r>
      <w:r>
        <w:rPr>
          <w:rStyle w:val="905"/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2"/>
        <w:contextualSpacing/>
        <w:ind w:left="0" w:right="0" w:firstLine="0"/>
        <w:spacing w:after="0" w:afterAutospacing="0" w:line="240" w:lineRule="auto"/>
        <w:widowControl/>
        <w:tabs>
          <w:tab w:val="left" w:pos="0" w:leader="none"/>
        </w:tabs>
        <w:rPr>
          <w:rStyle w:val="905"/>
          <w:rFonts w:ascii="Liberation Serif" w:hAnsi="Liberation Serif" w:cs="Liberation Serif"/>
          <w:sz w:val="28"/>
          <w:szCs w:val="28"/>
        </w:rPr>
      </w:pPr>
      <w:r>
        <w:rPr>
          <w:rStyle w:val="905"/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2"/>
        <w:contextualSpacing/>
        <w:ind w:left="0" w:right="0" w:firstLine="0"/>
        <w:spacing w:after="0" w:afterAutospacing="0" w:line="240" w:lineRule="auto"/>
        <w:widowControl/>
        <w:tabs>
          <w:tab w:val="left" w:pos="0" w:leader="none"/>
        </w:tabs>
        <w:rPr>
          <w:rStyle w:val="905"/>
          <w:rFonts w:ascii="Liberation Serif" w:hAnsi="Liberation Serif" w:cs="Liberation Serif"/>
          <w:sz w:val="28"/>
          <w:szCs w:val="28"/>
        </w:rPr>
      </w:pPr>
      <w:r>
        <w:rPr>
          <w:rStyle w:val="905"/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2"/>
        <w:contextualSpacing/>
        <w:ind w:left="0" w:right="0" w:firstLine="0"/>
        <w:spacing w:after="0" w:afterAutospacing="0" w:line="240" w:lineRule="auto"/>
        <w:widowControl/>
        <w:tabs>
          <w:tab w:val="left" w:pos="0" w:leader="none"/>
        </w:tabs>
        <w:rPr>
          <w:rStyle w:val="905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2"/>
        <w:contextualSpacing/>
        <w:ind w:left="0" w:right="0" w:firstLine="0"/>
        <w:spacing w:after="0" w:afterAutospacing="0" w:line="240" w:lineRule="auto"/>
        <w:widowControl/>
        <w:tabs>
          <w:tab w:val="left" w:pos="0" w:leader="none"/>
        </w:tabs>
        <w:rPr>
          <w:rStyle w:val="905"/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Style w:val="905"/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spacing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spacing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 w:right="0" w:hanging="1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«31» июля 2023 года № 268-П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1" w:name="Par54"/>
      <w:r>
        <w:rPr>
          <w:rFonts w:ascii="Liberation Serif" w:hAnsi="Liberation Serif" w:cs="Liberation Serif"/>
          <w:sz w:val="28"/>
          <w:szCs w:val="28"/>
        </w:rPr>
      </w:r>
      <w:bookmarkEnd w:id="1"/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о системе оповещения населения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I.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Общие положения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1.1. Положение о системе оповещения населения муниципального округа Красноселькупский район Ямало-Ненецкого автономного округа (далее – положение, муниципальная система оповещения) разработано в соответствии с Федеральным законом от 21 декабря 1994 г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ода </w:t>
      </w:r>
      <w:hyperlink r:id="rId18" w:tooltip="consultantplus://offline/ref=815AABE2BEA2AF8DFB1540E1526A6A999DBB4E74A32410CE4D52C791481CB77A769E6996676C962394A9853AF87081B11D2A5A35Z4G1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68-ФЗ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(далее - Федеральный закон № 68-ФЗ), Федеральным законом от 12 февраля 1998 года </w:t>
      </w:r>
      <w:hyperlink r:id="rId19" w:tooltip="consultantplus://offline/ref=815AABE2BEA2AF8DFB1540E1526A6A999DBB4E74A32710CE4D52C791481CB77A769E6997636C962394A9853AF87081B11D2A5A35Z4G1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28-ФЗ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«О гражданской обороне», Федеральным законом от 06 октября 2003 года </w:t>
      </w:r>
      <w:hyperlink r:id="rId20" w:tooltip="consultantplus://offline/ref=815AABE2BEA2AF8DFB1540E1526A6A999DBB4C73A42110CE4D52C791481CB77A769E699F6166C17AD4F7DC6ABD3B8DB102365B365FA9662DZ9GDK" w:history="1">
        <w:r>
          <w:rPr>
            <w:rStyle w:val="880"/>
            <w:rFonts w:ascii="Liberation Serif" w:hAnsi="Liberation Serif" w:eastAsia="Liberation Serif" w:cs="Liberation Serif"/>
            <w:color w:val="000000"/>
            <w:sz w:val="28"/>
            <w:szCs w:val="28"/>
            <w:u w:val="none"/>
          </w:rPr>
          <w:t xml:space="preserve">№ 131-ФЗ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Российской Федерации по делам гражданск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Настоящее положение определяет назначение и задачи муниципальной системы оповещения,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орядок её задействования и поддержания в состоянии постоянной готовности для своевременного оповещения органов управления, сил и средств гражданской обороны, муниципального звена территориальной подсистемы предупреждения и ликвидации чрезвычайных ситуаций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(далее - МЗТП РСЧС) и населения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1.3. Оповещение населения о чрезвычайных ситуациях - </w:t>
      </w:r>
      <w:r>
        <w:rPr>
          <w:rFonts w:ascii="Liberation Serif" w:hAnsi="Liberation Serif" w:cs="Liberation Serif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</w:t>
      </w:r>
      <w:r>
        <w:rPr>
          <w:rFonts w:ascii="Liberation Serif" w:hAnsi="Liberation Serif" w:cs="Liberation Serif"/>
          <w:sz w:val="28"/>
          <w:szCs w:val="28"/>
        </w:rPr>
        <w:t xml:space="preserve">населения и необходимости проведения мероприятий по защите.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Сигнал оповещения является коман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МЗТП РСЧС, а также для применения населением средств и способов защиты.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Экстренная информация о фактических и прогнозируе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мых опасных природных явлениях,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1.4. Муниципальная система оповещения населения включается в систему управле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ния гражданской обороной Ямало-Ненецкого автономного округа (далее – СУГО автономного округа) и ТП РСЧС, обеспечивающей доведение до населения, органов управления и сил СУГО автономного округа и ТП РСЧС сигналов оповещения и (или) экстренной информации, 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1.5.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Создание и поддержание в состоянии постоянной готовности муниципальной системы оповещения населения является составной частью комплекса мероприятий, проводимых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Администрацией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 подготовке и ведению гражданской обороны, предупреждению и ликвидации чрезвычайных ситуаций природного и техногенного характера.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1.6. Муниципальная система опо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вещения представляет собой территориально распределенную в пределах административно-территориальной границы муниципального округа Красноселькупский район Ямало-Ненецкого автономного округа организационно-техническую систему, состоящую из сегментов регионал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ьной автоматизированной системы централизованного оповещения (РАСЦО) и сегмента комплексной системы экстренного оповещения населения (далее – КСЭОН), объединяющую аппаратно-программные средства формирования, обработки и приема-передачи сигналов оповещения.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1.7. Муниципальная система оповещения организационно входит в состав региональной системы оповещения, программно-технически сопрягается с ней и состоит из: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технических средств оповещения муниципального пункта управления оповещением, размещаемого, в помещениях Муниципального казённого учреждения «Единая дежурная диспетчерская служба» Красноселькупского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(далее - ЕДДС)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коммутационного оборудования, используемого на муниципальном уровне;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оконечных средств оповещения (сирены, громкоговорители);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линий и каналов передачи сигналов оповещения от муниципальных пунктов управления до технических средств оповещения пунктов управления;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линий и каналов связи, обеспечивающих доведение сигналов оповещения до руководящего состава сил гражданской обороны муниципального округа Красноселькупский район Ямало-Ненецкого автономного округа (далее – СГО Красноселькупского района)и МЗТП РСЧС.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1.8. Муниципальная система оповещения населения должна соответствовать требованиям, изложенным в приложении № 1 к Положению о системах оповещения населения, утвержденному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 Российской Федерации от 31 июля 2020 года №578/365.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1.9. На муниципальную систему оповещения населения оформляется паспорт, рекомендуемые образцы которых приведены в приложении № 2 к Положению о системах оповещения населения, утвержденному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 Российской Федерации от 31 июля 2020 года №578/365.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1.10. Системы оповещения могут быть задействованы как в мирное время, так и в военное время.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II.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Назначение и основные задачи муниципальной систем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ы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оповещения населения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2.1. Муниципальная система оповещения населения предназначены для обеспечения доведения сигналов оповещения и экстренной информации до населения, органов управления, СГО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 МЗТП РСЧС.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2.2. Основной задачей муниципальной системы оповещения является обеспечение доведения сигналов оповещения и экстренной информации до: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руководящего состава СГО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района и МЗТП РСЧС;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 МЗТП РСЧС;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дежурных (дежурно-диспетчерских) служб организаций, осуществляющих свою деятельность на территории муниципального округа Красноселькупский район Ямало-Ненецкого автономного округа, и дежурных служб (руководителей) социально значимых объектов;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людей, находящихся на территории муниципального округа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2.3.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Основной задачей муниципальной системы оповещения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МЗТП РСЧС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III.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Порядок задействования муниципальной систем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ы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оповещения населения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3.1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Основным способом оповещения населения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- передача сигналов оповещения и речевой информации по каналам и сетям связи для распространения программ телевизионного вещания и радиовещания, сети радиовещательных и передающих станций операторов телерадиовещания в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муниципальном округе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Администрация Красноселькупского района в зависимост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 от территории распространения средств массовой информации или от территории, на которой оказываются услуги связи, инициируют распространение редакциями средств массовой информации и операторами связи сигналов оповещения и экстренной информации об опаснос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тях, возникающих при угрозе или возникновении чрезвычайных ситуаций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3.2. Дежурный персонал ЕДДС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органа повседневного управления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МЗТП РСЧС, получив в СУГО автономного округа и ТП РСЧС сигналы оповещения и (или) экстренную информацию, подтве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рждают получение и немедленно доводят их до Главы Красноселькупского района, организаций (собственников объектов, производства), на территории которых могут возникнуть или возникли чрезвычайные ситуации, а также органов управления и СГО 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 МЗТП РСЧС.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3.3. Решение на задействование муниципальной системы оповещения принимается: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Главой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(либо лицом, его замещающим) с немедленным уведомлением Центра управления в кризисных ситуациях ГУ МЧС России по ЯНАО (далее - ЦУКС ГУ МЧС России по ЯНАО) и Губернатора Ямало-Ненецкого автономного округа;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3.4. Непосредственные действия (работы) по задействованию муниципальной системы оповещения после получения распоряжения осуществляются дежурным персоналом ЕДДС.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3.5.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муниципальной системы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3.6.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автоматическом режиме функционирования муниципальная система оповещения населения включается (запускается) по заранее установленным программам при получении управляющих сигналов (команд) от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соответствующего дежурного персонала (дежурно-диспетчерских) служб, ответственных за включение (запуск)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систем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автоматизированном режиме функционирования включение (запуск) муницип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альной системы оповещения населения осуществляется дежурным персоналом ЕДДС, уполномоченными на включение (запуск) муниципальной системы оповещения населения, с автоматизированных рабочих мест при поступлении установленных сигналов (команд) и распоряжений.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3.7.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ручном режиме функционирования включение (запуск) муниципальной системы оповещения населения осуществляется дежурным персоналом ЕДДС.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Дежурный персонал ЕДДС осуществляет включение (запуск) оконечных с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редств оповещения непосредственно с мест их установки, а также 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Дежурным персоналом ЕДДС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задействуются также громкоговорящие средства на подвижных объектах, мобильные и носимые средства оповещения.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3.8.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Основной режим функционирования муниципальной системы оповещения - автоматизированный.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Приоритетный режим функционирования муниципальной системы оповещения – ручной.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3.9.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Сигналы оповещения и экстренная информации передаются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непосредственно с рабочих мест дежурного персонала ЕДДС.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отделом по делам гражданской обороны и </w:t>
      </w:r>
      <w:r>
        <w:rPr>
          <w:rFonts w:hint="cs" w:ascii="Liberation Serif" w:hAnsi="Liberation Serif" w:eastAsia="Liberation Serif" w:cs="Liberation Serif"/>
          <w:color w:val="000000"/>
          <w:sz w:val="28"/>
          <w:szCs w:val="28"/>
        </w:rPr>
        <w:t xml:space="preserve">чрезвычайных ситуаций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(далее – отдел ГО и ЧС) совместно с ЕДДС.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3.10.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Для обеспечения своевременной передачи населению сигналов оповещения и экстренной информации комплексно могут использоваться: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сети электрических, электронных сирен и мощных акустических систем;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проводного радиовещания;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уличной радиофикации;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кабельного телерадиовещания;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эфирного телерадиовещания;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подвижной радиотелефонной связи;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связи операторов связи и ведомственные;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сети систем персонального радиовызова;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информационно-телекоммуникационная сеть «Интернет»;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громкоговорящие средства на подвижных объектах, мобильные и носимые средства оповещения.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3.11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 Рассмотрение вопросов об организации оповещения населения и определени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 муниципальном округе Красноселькупский район Ямало-Ненецкого автономного округа (далее - КЧС и ОПБ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3.12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 Порядок действий дежурного персонала ЕДДС, а также операто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 и другими документами федеральных органов исполнительной власти.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3.13.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Администрация Красноселькупского района, ЕДДС,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отдел ГО и ЧС,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 также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обеспечивает и проводит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IV.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Порядок создания, совершенствования, реконструкции 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 поддержания в готовности к использованию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муниципальной системы оповещения населения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4.1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 Поддержание муниципальной системы оповещения населения в готовности организуется и осуществляется Администрацией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 Готовность муниципальной системы оповещения населения достигается: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наличием актуализир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ованных муниципальных нормативных правовых актов муниципального округа Красноселькупский район Ямало-Ненецкого автономного округа в области создания, поддержания в состоянии постоянной готовности и задействования муниципальной системы оповещения населения;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наличием персонала ЕДДС, ответственного за включение (запуск) муниципальной системы оповещения населения, и уровнем его профессиональной подготовки;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регулярным проведением проверок готовности муниципальной системы оповещения населения;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наличием, соответствием законодательству Российской Федерации и обеспечением готовности к использованию резервов средств оповещения;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своевременным проведением мероприятий по созданию, в том числе совершенствованию, муниципальной системы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 С целью контроля за поддержанием в состоянии постоянной готовности к использованию системы оповещения населения Администрацией Красноселькупского района организуются и проводятся следующие виды проверок: комплексные и технические проверки.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ходе комплексных провер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ок готовности систем оповещения населения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СИСТЕМЫ ОПОВЕЩЕНИЯ НАСЕЛЕНИЯ! ПРОСЬБА СОХРАНЯТЬ СПОКОЙСТВИЕ!», в том числе путем замещения телерадиовещания с перерывом веща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тельных программ. 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4.4.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Ямало-Ненецком автономном округе при проведении комплексной проверки готовности систем оповещения населения проверке подлежат региональная, все муниципальные системы оповещения и КСЭОН.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4.5.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Комплексные проверки готовност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муниципальной системы оповещения населения проводятся 2 раза в год комиссией по проверке готовности систем оповещения населения, создаваемой Администрацией Красноселькупского района. Включение оконечных средств оповещения и доведение до населения сигнала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подготовке к проведению комплексных проверок готовности муниципальной системы оповещения населения Администрацией Красноселькупского района заблаговременно (не позднее 3 рабочих дней до их начала) осуществляется информирование населения об их проведении.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состав комиссии по проверке готовности муниципальной системы оповещения населения включаются представители Администрации Красноселькупского района, те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операторов связи, предоставивших каналы связи в интересах муниципальной системы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Комплексные проверки готовности 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окальных систем оповещения населения Красноселькупского района проводятся эксплуатирующими организациями по согласованию с Администрацией Красноселькупского района не реже одного раза в год комиссией, назначаемой руководителем организации, указанной в пунк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 3 статьи 9 Федерального закона от 12 февраля 1998 года №28-ФЗ «О гражданской обороне», с участием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подготовке к проведению комплексных проверок готовности локальных систем оповещения населения Красноселькупского района эксплуатирующей организацией по согласованию с Администрацией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Красноселькупского района заблаговременно (не позднее 3 рабочих дней до их начала) осуществляется информирование населения об их проведении.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Технические проверки готовности муниципальной системы оповещения населения проводятся дежурным  персоналом ЕДДС, уполномоченным на задействование систем оповещения населения, с периодичностью не реже одного раза в сутки.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Результаты технической проверки готовности системы оповещения населения отражаются в журнале несения дежурства дежурным персоналом ЕДДС, проводившим техническую проверку.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Акты по результатам комплексных проверок готовности муниципальной и лока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льной систем оповещения населения утверждаются Главой Красноселькупского района, руководителями организаций, указанных в пункте 3 статьи 9 Федерального закона от 12 февраля 1998 года № 28-ФЗ «О гражданской обороне», или лицами, исполняющими их обязанности.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Утвержденный акт по результатам комплексной проверки готовности системы оповещения населения направляется в Главное управление МЧС России по Ямало-Ненецкому автономному округу не позднее 30 календарных дней с даты включ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ения оконечных средств оповещения и доведения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4.6.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Для обеспечения оп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4.7. В ходе планирования и осуществления строительства новой ли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бо совершенствования действующей муниципальной системы оповещения населения должны быть выполнены требования к системам оповещения населения, в том числе к КСЭОН,которые приведены в приложении № 1 к положению о системах оповещения населения, утвержденному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№578/365.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Вывод из эксплуатации действующей муниципальной системы оповещения населения осуществляется по окончанию эксплуатационного ресурса технических средств этой муниципальной системы оповещения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населения, завершения ее модернизации (реконструкции) и ввода в эксплуатацию новой муниципальной системы оповещения населения.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4.8. Организация технического обслуживания средств оповещения осуществляется в соответствии с п</w:t>
      </w:r>
      <w:hyperlink r:id="rId21" w:tooltip="consultantplus://offline/ref=506A87897EF6EE8E0232BB87C53B95C5D2066828159B1E498DC5DCD0BAA12D06A7523CE3C79622D253655C3CFD17365AC14CE4F3DEE33836sFF" w:history="1">
        <w:r>
          <w:rPr>
            <w:rStyle w:val="880"/>
            <w:rFonts w:ascii="Liberation Serif" w:hAnsi="Liberation Serif" w:eastAsia="Liberation Serif" w:cs="Liberation Serif"/>
            <w:color w:val="auto"/>
            <w:sz w:val="28"/>
            <w:szCs w:val="28"/>
            <w:u w:val="none"/>
          </w:rPr>
          <w:t xml:space="preserve">оложением</w:t>
        </w:r>
      </w:hyperlink>
      <w:r>
        <w:rPr>
          <w:rFonts w:ascii="Liberation Serif" w:hAnsi="Liberation Serif" w:eastAsia="Liberation Serif" w:cs="Liberation Serif"/>
          <w:sz w:val="28"/>
          <w:szCs w:val="28"/>
        </w:rPr>
        <w:t xml:space="preserve"> по организации эксплуатационно-технического обслуживания систем оповещения населения утвержденного приказом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Министерства цифрового развития, связи и массовых коммуникаций  Российской Федерации от 31 июля 2020 года №579/366.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4.9. В ходе развития (строительства) населенных пунктов, районов (кварталов) населенных пунктов, жилых комплексов и так далее, Администрацией Красноселькупского района проводятся мероприятия по совершенствованию (развитию,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дооборудованию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 муниципальной системы оповещения.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V.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Порядок финансирования создания,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реконструкции и обслуживания муниципальной системы оповещения населения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5.1. Финансирование мероприятий по созданию и поддержанию в постоянной готовности муниципальной системы оповещения и информирования населения о чрезвычайных ситуациях осуществляется Администрацией Красноселькупского района, за счет средств бюджета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9776795"/>
      <w:docPartObj>
        <w:docPartGallery w:val="Page Numbers (Top of Page)"/>
        <w:docPartUnique w:val="true"/>
      </w:docPartObj>
      <w:rPr/>
    </w:sdtPr>
    <w:sdtContent>
      <w:p>
        <w:pPr>
          <w:pStyle w:val="909"/>
          <w:jc w:val="center"/>
          <w:tabs>
            <w:tab w:val="clear" w:pos="4677" w:leader="none"/>
            <w:tab w:val="clear" w:pos="9355" w:leader="none"/>
            <w:tab w:val="right" w:pos="9639" w:leader="none"/>
          </w:tabs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color w:val="000000" w:themeColor="text1"/>
            <w:sz w:val="24"/>
            <w:szCs w:val="24"/>
          </w:rPr>
        </w:r>
        <w:fldSimple w:instr="PAGE \* MERGEFORMAT">
          <w:r>
            <w:rPr>
              <w:rFonts w:ascii="Liberation Serif" w:hAnsi="Liberation Serif" w:cs="Liberation Serif"/>
              <w:sz w:val="24"/>
              <w:szCs w:val="24"/>
            </w:rPr>
            <w:t xml:space="preserve">1</w:t>
          </w:r>
        </w:fldSimple>
        <w:r>
          <w:rPr>
            <w:rFonts w:ascii="Liberation Serif" w:hAnsi="Liberation Serif" w:cs="Liberation Serif"/>
            <w:sz w:val="24"/>
            <w:szCs w:val="24"/>
          </w:rPr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748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basedOn w:val="701"/>
    <w:next w:val="701"/>
    <w:link w:val="73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6" w:customStyle="1">
    <w:name w:val="Heading 2"/>
    <w:basedOn w:val="701"/>
    <w:next w:val="701"/>
    <w:link w:val="73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7" w:customStyle="1">
    <w:name w:val="Heading 3"/>
    <w:basedOn w:val="701"/>
    <w:next w:val="701"/>
    <w:link w:val="73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8" w:customStyle="1">
    <w:name w:val="Heading 4"/>
    <w:basedOn w:val="701"/>
    <w:next w:val="701"/>
    <w:link w:val="73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 w:customStyle="1">
    <w:name w:val="Heading 5"/>
    <w:basedOn w:val="701"/>
    <w:next w:val="701"/>
    <w:link w:val="73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 w:customStyle="1">
    <w:name w:val="Heading 6"/>
    <w:basedOn w:val="701"/>
    <w:next w:val="701"/>
    <w:link w:val="73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1" w:customStyle="1">
    <w:name w:val="Heading 7"/>
    <w:basedOn w:val="701"/>
    <w:next w:val="701"/>
    <w:link w:val="73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2" w:customStyle="1">
    <w:name w:val="Heading 8"/>
    <w:basedOn w:val="701"/>
    <w:next w:val="701"/>
    <w:link w:val="73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3" w:customStyle="1">
    <w:name w:val="Heading 9"/>
    <w:basedOn w:val="701"/>
    <w:next w:val="701"/>
    <w:link w:val="73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customStyle="1">
    <w:name w:val="Heading 1 Char"/>
    <w:basedOn w:val="702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eastAsia="Arial" w:cs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2"/>
    <w:uiPriority w:val="99"/>
  </w:style>
  <w:style w:type="character" w:styleId="728" w:customStyle="1">
    <w:name w:val="Caption Char"/>
    <w:uiPriority w:val="99"/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5"/>
    <w:uiPriority w:val="9"/>
    <w:rPr>
      <w:rFonts w:ascii="Arial" w:hAnsi="Arial" w:eastAsia="Arial" w:cs="Arial"/>
      <w:sz w:val="40"/>
      <w:szCs w:val="40"/>
    </w:rPr>
  </w:style>
  <w:style w:type="character" w:styleId="732" w:customStyle="1">
    <w:name w:val="Заголовок 2 Знак"/>
    <w:link w:val="706"/>
    <w:uiPriority w:val="9"/>
    <w:rPr>
      <w:rFonts w:ascii="Arial" w:hAnsi="Arial" w:eastAsia="Arial" w:cs="Arial"/>
      <w:sz w:val="34"/>
    </w:rPr>
  </w:style>
  <w:style w:type="character" w:styleId="733" w:customStyle="1">
    <w:name w:val="Заголовок 3 Знак"/>
    <w:link w:val="707"/>
    <w:uiPriority w:val="9"/>
    <w:rPr>
      <w:rFonts w:ascii="Arial" w:hAnsi="Arial" w:eastAsia="Arial" w:cs="Arial"/>
      <w:sz w:val="30"/>
      <w:szCs w:val="30"/>
    </w:rPr>
  </w:style>
  <w:style w:type="character" w:styleId="734" w:customStyle="1">
    <w:name w:val="Заголовок 4 Знак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35" w:customStyle="1">
    <w:name w:val="Заголовок 5 Знак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36" w:customStyle="1">
    <w:name w:val="Заголовок 6 Знак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37" w:customStyle="1">
    <w:name w:val="Заголовок 7 Знак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39" w:customStyle="1">
    <w:name w:val="Заголовок 9 Знак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Title"/>
    <w:basedOn w:val="701"/>
    <w:next w:val="701"/>
    <w:link w:val="741"/>
    <w:uiPriority w:val="10"/>
    <w:qFormat/>
    <w:pPr>
      <w:contextualSpacing/>
      <w:spacing w:before="300"/>
    </w:pPr>
    <w:rPr>
      <w:sz w:val="48"/>
      <w:szCs w:val="48"/>
    </w:r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basedOn w:val="701"/>
    <w:next w:val="701"/>
    <w:link w:val="743"/>
    <w:uiPriority w:val="11"/>
    <w:qFormat/>
    <w:pPr>
      <w:spacing w:before="200"/>
    </w:pPr>
    <w:rPr>
      <w:sz w:val="24"/>
      <w:szCs w:val="24"/>
    </w:r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basedOn w:val="701"/>
    <w:next w:val="701"/>
    <w:link w:val="745"/>
    <w:uiPriority w:val="29"/>
    <w:qFormat/>
    <w:pPr>
      <w:ind w:left="720" w:right="720"/>
    </w:pPr>
    <w:rPr>
      <w:i/>
    </w:r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01"/>
    <w:next w:val="701"/>
    <w:link w:val="74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 w:customStyle="1">
    <w:name w:val="Верхний колонтитул Знак"/>
    <w:link w:val="748"/>
    <w:uiPriority w:val="99"/>
  </w:style>
  <w:style w:type="paragraph" w:styleId="750" w:customStyle="1">
    <w:name w:val="Footer"/>
    <w:basedOn w:val="701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basedOn w:val="701"/>
    <w:next w:val="70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3" w:customStyle="1">
    <w:name w:val="Нижний колонтитул Знак"/>
    <w:link w:val="750"/>
    <w:uiPriority w:val="99"/>
  </w:style>
  <w:style w:type="table" w:styleId="754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 w:customStyle="1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4" w:customStyle="1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6" w:customStyle="1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8" w:customStyle="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9" w:customStyle="1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8" w:customStyle="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9" w:customStyle="1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0" w:customStyle="1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1" w:customStyle="1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 w:customStyle="1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3" w:customStyle="1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4" w:customStyle="1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6" w:customStyle="1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7" w:customStyle="1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8" w:customStyle="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9" w:customStyle="1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0" w:customStyle="1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1" w:customStyle="1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2" w:customStyle="1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1" w:customStyle="1">
    <w:name w:val="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5" w:customStyle="1">
    <w:name w:val="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 &amp; 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Bordered &amp; 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8" w:customStyle="1">
    <w:name w:val="Bordered &amp; 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9" w:customStyle="1">
    <w:name w:val="Bordered &amp; 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0" w:customStyle="1">
    <w:name w:val="Bordered &amp; 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1" w:customStyle="1">
    <w:name w:val="Bordered &amp; 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2" w:customStyle="1">
    <w:name w:val="Bordered &amp; 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3" w:customStyle="1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4" w:customStyle="1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5" w:customStyle="1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6" w:customStyle="1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7" w:customStyle="1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8" w:customStyle="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9" w:customStyle="1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563c1" w:themeColor="hyperlink"/>
      <w:u w:val="single"/>
    </w:rPr>
  </w:style>
  <w:style w:type="paragraph" w:styleId="881">
    <w:name w:val="footnote text"/>
    <w:basedOn w:val="701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701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701"/>
    <w:next w:val="701"/>
    <w:uiPriority w:val="39"/>
    <w:unhideWhenUsed/>
    <w:pPr>
      <w:spacing w:after="57"/>
    </w:pPr>
  </w:style>
  <w:style w:type="paragraph" w:styleId="888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89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90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91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92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93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94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95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701"/>
    <w:next w:val="701"/>
    <w:uiPriority w:val="99"/>
    <w:unhideWhenUsed/>
    <w:pPr>
      <w:spacing w:after="0"/>
    </w:pPr>
  </w:style>
  <w:style w:type="paragraph" w:styleId="898">
    <w:name w:val="No Spacing"/>
    <w:basedOn w:val="701"/>
    <w:link w:val="906"/>
    <w:uiPriority w:val="1"/>
    <w:qFormat/>
    <w:pPr>
      <w:spacing w:after="0" w:line="240" w:lineRule="auto"/>
    </w:pPr>
  </w:style>
  <w:style w:type="paragraph" w:styleId="899">
    <w:name w:val="List Paragraph"/>
    <w:basedOn w:val="701"/>
    <w:link w:val="907"/>
    <w:uiPriority w:val="34"/>
    <w:qFormat/>
    <w:pPr>
      <w:contextualSpacing/>
      <w:ind w:left="720"/>
    </w:pPr>
  </w:style>
  <w:style w:type="paragraph" w:styleId="90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16"/>
      <w:szCs w:val="16"/>
      <w:lang w:eastAsia="ru-RU"/>
    </w:rPr>
  </w:style>
  <w:style w:type="paragraph" w:styleId="90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902" w:customStyle="1">
    <w:name w:val="Style15"/>
    <w:basedOn w:val="701"/>
    <w:pPr>
      <w:ind w:firstLine="734"/>
      <w:spacing w:after="0" w:line="365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3" w:customStyle="1">
    <w:name w:val="Standar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04" w:customStyle="1">
    <w:name w:val="Style4"/>
    <w:basedOn w:val="701"/>
    <w:pPr>
      <w:ind w:firstLine="734"/>
      <w:jc w:val="both"/>
      <w:spacing w:after="0" w:line="365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5" w:customStyle="1">
    <w:name w:val="Font Style17"/>
    <w:rPr>
      <w:rFonts w:hint="default" w:ascii="Times New Roman" w:hAnsi="Times New Roman" w:cs="Times New Roman"/>
      <w:sz w:val="26"/>
    </w:rPr>
  </w:style>
  <w:style w:type="character" w:styleId="906" w:customStyle="1">
    <w:name w:val="Без интервала Знак"/>
    <w:link w:val="898"/>
    <w:uiPriority w:val="1"/>
  </w:style>
  <w:style w:type="character" w:styleId="907" w:customStyle="1">
    <w:name w:val="Абзац списка Знак"/>
    <w:link w:val="899"/>
    <w:uiPriority w:val="34"/>
  </w:style>
  <w:style w:type="paragraph" w:styleId="908" w:customStyle="1">
    <w:name w:val="Bespoke Basic"/>
    <w:basedOn w:val="707"/>
    <w:qFormat/>
    <w:pPr>
      <w:ind w:firstLine="567"/>
      <w:jc w:val="both"/>
      <w:keepLines w:val="0"/>
      <w:keepNext w:val="0"/>
      <w:spacing w:before="0" w:after="0" w:line="100" w:lineRule="atLeast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paragraph" w:styleId="909">
    <w:name w:val="Header"/>
    <w:basedOn w:val="701"/>
    <w:link w:val="9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1"/>
    <w:basedOn w:val="702"/>
    <w:link w:val="909"/>
    <w:uiPriority w:val="99"/>
    <w:semiHidden/>
  </w:style>
  <w:style w:type="paragraph" w:styleId="911">
    <w:name w:val="Footer"/>
    <w:basedOn w:val="701"/>
    <w:link w:val="9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1"/>
    <w:basedOn w:val="702"/>
    <w:link w:val="911"/>
    <w:uiPriority w:val="99"/>
    <w:semiHidden/>
  </w:style>
  <w:style w:type="paragraph" w:styleId="913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14">
    <w:name w:val="Заголовок 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oleObject" Target="embeddings/maskFile.doc"/><Relationship Id="rId15" Type="http://schemas.openxmlformats.org/officeDocument/2006/relationships/hyperlink" Target="consultantplus://offline/ref=815AABE2BEA2AF8DFB1540E1526A6A999DBB4E74A32410CE4D52C791481CB77A769E6996676C962394A9853AF87081B11D2A5A35Z4G1K" TargetMode="External"/><Relationship Id="rId16" Type="http://schemas.openxmlformats.org/officeDocument/2006/relationships/hyperlink" Target="consultantplus://offline/ref=815AABE2BEA2AF8DFB1540E1526A6A999DBB4E74A32710CE4D52C791481CB77A769E6997636C962394A9853AF87081B11D2A5A35Z4G1K" TargetMode="External"/><Relationship Id="rId17" Type="http://schemas.openxmlformats.org/officeDocument/2006/relationships/hyperlink" Target="consultantplus://offline/ref=815AABE2BEA2AF8DFB1540E1526A6A999DBB4C73A42110CE4D52C791481CB77A769E699F6166C17AD4F7DC6ABD3B8DB102365B365FA9662DZ9GDK" TargetMode="External"/><Relationship Id="rId18" Type="http://schemas.openxmlformats.org/officeDocument/2006/relationships/hyperlink" Target="consultantplus://offline/ref=815AABE2BEA2AF8DFB1540E1526A6A999DBB4E74A32410CE4D52C791481CB77A769E6996676C962394A9853AF87081B11D2A5A35Z4G1K" TargetMode="External"/><Relationship Id="rId19" Type="http://schemas.openxmlformats.org/officeDocument/2006/relationships/hyperlink" Target="consultantplus://offline/ref=815AABE2BEA2AF8DFB1540E1526A6A999DBB4E74A32710CE4D52C791481CB77A769E6997636C962394A9853AF87081B11D2A5A35Z4G1K" TargetMode="External"/><Relationship Id="rId20" Type="http://schemas.openxmlformats.org/officeDocument/2006/relationships/hyperlink" Target="consultantplus://offline/ref=815AABE2BEA2AF8DFB1540E1526A6A999DBB4C73A42110CE4D52C791481CB77A769E699F6166C17AD4F7DC6ABD3B8DB102365B365FA9662DZ9GDK" TargetMode="External"/><Relationship Id="rId21" Type="http://schemas.openxmlformats.org/officeDocument/2006/relationships/hyperlink" Target="consultantplus://offline/ref=506A87897EF6EE8E0232BB87C53B95C5D2066828159B1E498DC5DCD0BAA12D06A7523CE3C79622D253655C3CFD17365AC14CE4F3DEE33836sF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27</cp:revision>
  <dcterms:created xsi:type="dcterms:W3CDTF">2023-07-03T11:04:00Z</dcterms:created>
  <dcterms:modified xsi:type="dcterms:W3CDTF">2023-07-31T09:25:10Z</dcterms:modified>
</cp:coreProperties>
</file>