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8.8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</w:rPr>
      </w:r>
      <w:r/>
    </w:p>
    <w:p>
      <w:pPr>
        <w:pStyle w:val="746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</w:rPr>
      </w:pPr>
      <w:r>
        <w:rPr>
          <w:rFonts w:ascii="Liberation Serif" w:hAnsi="Liberation Serif" w:cs="Times New Roman"/>
          <w:b/>
          <w:bCs/>
          <w:sz w:val="28"/>
        </w:rPr>
        <w:t xml:space="preserve">ПОСТАНОВЛЕНИЕ</w:t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«24</w:t>
      </w:r>
      <w:r>
        <w:rPr>
          <w:rFonts w:ascii="Liberation Serif" w:hAnsi="Liberation Serif"/>
          <w:color w:val="000000"/>
          <w:sz w:val="28"/>
          <w:szCs w:val="28"/>
        </w:rPr>
        <w:t xml:space="preserve">» апреля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№ 112-П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color w:val="000000"/>
          <w:sz w:val="28"/>
          <w:szCs w:val="27"/>
        </w:rPr>
        <w:t xml:space="preserve">О внесении изменений в муниципальную программу муниципаль</w:t>
      </w:r>
      <w:r>
        <w:rPr>
          <w:rFonts w:ascii="Liberation Serif" w:hAnsi="Liberation Serif"/>
          <w:b/>
          <w:color w:val="000000"/>
          <w:sz w:val="28"/>
          <w:szCs w:val="27"/>
        </w:rPr>
        <w:t xml:space="preserve">ного округа Красноселькупский район Ямало-Ненецкого автономного округа</w:t>
      </w:r>
      <w:r>
        <w:rPr>
          <w:sz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 </w:t>
      </w:r>
      <w:r>
        <w:rPr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/>
    </w:p>
    <w:p>
      <w:pPr>
        <w:pStyle w:val="928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решением Думы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 21 февраля 2023 года № 175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постановлением Администрации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от 07 декабря 2021 года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постановляет:</w:t>
      </w:r>
      <w:r>
        <w:rPr>
          <w:sz w:val="28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 округа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bookmarkEnd w:id="0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Администрации Красноселькупского района от 20 декабря 2021 года № 90-П.</w:t>
      </w:r>
      <w:bookmarkEnd w:id="1"/>
      <w:r>
        <w:rPr>
          <w:sz w:val="28"/>
        </w:rPr>
      </w:r>
      <w:r/>
    </w:p>
    <w:p>
      <w:pPr>
        <w:pStyle w:val="921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Опубликовать настоящее постановлен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3.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ab/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Настоящее постановление вступает в силу с момента его опубликования и распространяет своё действие на правоотношения, возникшие с  22 февраля 2023 года.</w:t>
      </w:r>
      <w:r>
        <w:rPr>
          <w:sz w:val="28"/>
        </w:rPr>
      </w:r>
      <w:r/>
    </w:p>
    <w:p>
      <w:pPr>
        <w:contextualSpacing/>
        <w:ind w:firstLine="709"/>
        <w:jc w:val="left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color w:val="000000"/>
          <w:sz w:val="28"/>
          <w:szCs w:val="27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</w:rPr>
      </w:r>
      <w:r>
        <w:rPr>
          <w:color w:val="000000" w:themeColor="text1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rFonts w:ascii="Liberation Serif" w:hAnsi="Liberation Serif" w:cs="Liberation Serif" w:eastAsia="Liberation Serif"/>
          <w:sz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Cs w:val="28"/>
        </w:rPr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Cs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Приложение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УТВЕРЖДЕНЫ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от «24» апреля 2023 года № 112-П</w:t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b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которые вносятся в муниципальную программу 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«Энергоэффективность и развитие энергетики. Обеспечение населения качественными жилищно-коммунальными услугами», утверждённую постановлением Администрации Красноселькупского района</w:t>
      </w:r>
      <w:r>
        <w:rPr>
          <w:b w:val="0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 от 20 декабря 2021 года № 90-П</w:t>
      </w:r>
      <w:r>
        <w:rPr>
          <w:b w:val="0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</w:r>
      <w:r>
        <w:rPr>
          <w:rFonts w:ascii="Liberation Serif" w:hAnsi="Liberation Serif" w:cs="Times New Roman" w:eastAsia="Times New Roman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</w:r>
      <w:r/>
    </w:p>
    <w:p>
      <w:pPr>
        <w:pStyle w:val="921"/>
        <w:numPr>
          <w:ilvl w:val="0"/>
          <w:numId w:val="6"/>
        </w:numPr>
        <w:contextualSpacing/>
        <w:ind w:left="0" w:firstLine="709"/>
        <w:jc w:val="both"/>
        <w:spacing w:line="17" w:lineRule="atLeast"/>
        <w:rPr>
          <w:rFonts w:ascii="Liberation Serif" w:hAnsi="Liberation Serif" w:eastAsia="Times New Roman"/>
          <w:color w:val="000000"/>
          <w:lang w:eastAsia="ru-RU"/>
        </w:rPr>
      </w:pP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 муниципального окр</w:t>
      </w: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  <w:t xml:space="preserve">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 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Кр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b w:val="0"/>
          <w:bCs/>
          <w:color w:val="000000"/>
          <w:sz w:val="28"/>
          <w:szCs w:val="28"/>
          <w:lang w:eastAsia="ru-RU"/>
        </w:rPr>
        <w:t xml:space="preserve">муниципальной программы</w:t>
      </w:r>
      <w:r>
        <w:t xml:space="preserve">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Красноселькупский район Ямало-Не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Style w:val="77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4841"/>
        <w:gridCol w:w="1679"/>
      </w:tblGrid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Управление ЖКХ, транспорта и связи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45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МКУ  «Комитет по управлению капитальным строительством»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295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Участники муниципальной программы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1.Общество с ограниченной ответственностью «ЭК ТВЭС»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2.Общество с ограниченной ответственностью </w:t>
            </w: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«Ямал - Энерго»</w:t>
              <w:br/>
              <w:t xml:space="preserve">3. Общество с ограниченной ответственностью «КомунТрансСервис»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4. Общество с ограниченной ответственностью «Автодор»</w:t>
              <w:br/>
              <w:t xml:space="preserve">5. Общество с ограниченной ответственностью «Дом»</w:t>
              <w:br/>
              <w:t xml:space="preserve">6. Общество с ограниченной ответственностью 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7.«Межмуниципальное хозяйственное предприятие Красноселькупского района»                            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highlight w:val="none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4"/>
                <w:u w:val="none"/>
              </w:rPr>
              <w:t xml:space="preserve">8.Общество с ограниченной ответственностью «Танталл»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17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Качественное и надежное обеспечение коммунальными услугами потребителей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6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Направления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1. Развитие энергетики и жилищно-коммунального комплекса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2. Проведение капитального ремонта многоквартирных домов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3. Энергосбережение и повышение энергетической эффективности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4. Создание и развитие систем обращения с отходами, в том числе с твердыми коммунальными отходами»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425" w:right="0" w:firstLine="0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2022-2035 годы                          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1 этап -2022-2025 годы      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2 этап - 2026-2030 годы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3 этап 2031-2035 годы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4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1 125 251,577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1 021 033,616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104 217,961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1 125 251,577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1 021 033,616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104 217,961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415 187,577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356 396,616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58 790,961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2023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383 396,000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360 685,000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22 711,000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2024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170 028,000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158 626,000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11 402,000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2025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156 640,000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145 326,000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11 314,000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color w:val="000000"/>
          <w:sz w:val="28"/>
          <w:lang w:eastAsia="ru-RU"/>
        </w:rPr>
        <w:t xml:space="preserve">».</w:t>
      </w:r>
      <w:r/>
    </w:p>
    <w:p>
      <w:pPr>
        <w:ind w:left="0" w:right="-567" w:firstLine="709"/>
        <w:jc w:val="both"/>
        <w:spacing w:after="0" w:line="240" w:lineRule="auto"/>
        <w:tabs>
          <w:tab w:val="left" w:pos="992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 w:val="0"/>
          <w:bCs/>
          <w:color w:val="000000"/>
          <w:sz w:val="28"/>
          <w:szCs w:val="20"/>
          <w:highlight w:val="none"/>
          <w:lang w:eastAsia="ru-RU"/>
        </w:rPr>
        <w:t xml:space="preserve">2. Структуру муниципальной программы </w:t>
      </w: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0"/>
          <w:lang w:eastAsia="ru-RU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Times New Roman" w:eastAsia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erif" w:hAnsi="Liberation Serif" w:cs="Times New Roman" w:eastAsia="Times New Roman"/>
          <w:color w:val="000000"/>
          <w:sz w:val="28"/>
        </w:rPr>
        <w:t xml:space="preserve"> изложить в следующей редакции:</w:t>
      </w:r>
      <w:r/>
    </w:p>
    <w:p>
      <w:pPr>
        <w:ind w:left="567" w:right="-567"/>
        <w:jc w:val="both"/>
        <w:spacing w:after="0" w:line="240" w:lineRule="auto"/>
        <w:tabs>
          <w:tab w:val="left" w:pos="9441" w:leader="none"/>
        </w:tabs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b/>
          <w:color w:val="000000"/>
          <w:sz w:val="28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0"/>
          <w:lang w:eastAsia="ru-RU"/>
        </w:rPr>
        <w:t xml:space="preserve">СТРУКТУРА </w:t>
      </w:r>
      <w:r/>
    </w:p>
    <w:p>
      <w:pPr>
        <w:ind w:left="567" w:right="-567"/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ind w:left="567" w:right="-567"/>
        <w:jc w:val="right"/>
        <w:spacing w:after="0" w:line="240" w:lineRule="auto"/>
        <w:rPr>
          <w:rFonts w:ascii="Liberation Serif" w:hAnsi="Liberation Serif"/>
          <w:szCs w:val="20"/>
          <w:highlight w:val="none"/>
        </w:rPr>
      </w:pPr>
      <w:r>
        <w:rPr>
          <w:rFonts w:ascii="Liberation Serif" w:hAnsi="Liberation Serif"/>
          <w:szCs w:val="20"/>
        </w:rPr>
        <w:t xml:space="preserve">тыс. рублей</w:t>
      </w:r>
      <w:r/>
    </w:p>
    <w:tbl>
      <w:tblPr>
        <w:tblStyle w:val="77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417"/>
        <w:gridCol w:w="1276"/>
        <w:gridCol w:w="1276"/>
        <w:gridCol w:w="1276"/>
        <w:gridCol w:w="1276"/>
      </w:tblGrid>
      <w:tr>
        <w:trPr>
          <w:trHeight w:val="1500"/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2023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2024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2025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31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Муниципальная программа 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Цель муниципальной программы  муниципального округа Красноселькупский район Ямало-Ненецкого автономного округа: Качественное и надежное обеспечение коммунальными услугами потребителей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1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6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6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hd w:val="clear" w:color="ffffff" w:themeColor="background1" w:fill="ffffff" w:themeFill="background1"/>
              <w:tabs>
                <w:tab w:val="left" w:pos="1276" w:leader="none"/>
              </w:tabs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1 125 251,577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415 187,577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383 396,000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170 028,000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156 640,000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1 021 033,616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356 396,616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360 685,000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158 626,000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145 326,000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104 217,961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58 790,961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22 711,000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11 402,000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11 314,000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Направление 1 «Развитие энергетики и жилищно-коммунального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1.1 Количество построенных  (смонтированных,реконструируемых) объектов энергетики и жилищно-коммунального комплекса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1.2 Протяженность отремонтированных сетей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м.п.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9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1.3 Количество приобретённой коммунальной техники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9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1.4 Количество населения, получившего услуги общественной бани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1950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1.5 Количество населения получившего услугу по откачке и вывозу бытовых сточных вод из септиков жилищного фонда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9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1.6 Количество разработанных документов перспективного развития систем коммунальной инфраструктуры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1.7 Количество объектов благоустройства (к</w:t>
            </w: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омфортности), состоящих в реестре муниципальной собственности  и включенных в программу по осуществлению мероприятий по благоустройству территорий от общего количества объектов благоустройства (комфортности), состоящих в реестре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226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1.8 Количество кладбищ на которых проведена инвентаризация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1.8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153 263,500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31 040,500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122 223,000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150 740,000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29 740,000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121 000,000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2 523,500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1 300,500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2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2 «Ремонт объектов энергетики и ЖКК»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83 865,061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30 128,061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53 737,000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82 487,000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29 826,000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52 661,000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1 378,061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302,061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1 076,000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3 «Поддержка отраслей экономики в сфере жилищно-коммунального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271 454,937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136 121,937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73 191,000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31 071,000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31 071,000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235 336,000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116 073,000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67 553,000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25 855,000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25 855,000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36 118,937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20 048,937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5 638,000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5 216,000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5 216,000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4 «Разработка (актуализация) программы комплексного развития систем коммунальной инфраструктуры, схем тепло-, водоснабжения и водоотведения»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4 915,911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4 915,911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1 871,000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1 871,000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3 044,911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3 044,911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1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5 «Повышение уровня благоустройства территорий населенных пунктов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379 502,157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104 578,157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91 396,000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98 458,000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85 070,000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326 329,000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74 616,000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79 471,000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92 771,000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79 471,000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53 173,157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29 962,157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11 925,000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5 687,000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5 599,000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Проектная часть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3. Количество реализованных мероприятий по благоустройству общественных и дворовых территорий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Региональный проект F2  «Формирование комфортной городской среды»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188 901,514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67 686,514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186 929,616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66 929,616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1 971,898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756,898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Направление 2 «Проведение капитального ремонта многоквартирных домов «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2.1 Доля многоквартирных домов, участвующих в программе ремонтов, от общего количества многоквартирных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8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2.2. Количество разработанной пр</w:t>
            </w: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документации» для включения в адресную программу капитального ремонта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6 «Капитальный ремонт жилищного фонда»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1 668,897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1 533,897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913,897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778,897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Направление 3 «Энергосбережение и повышение энергетической эффективности»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79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3.1 Удельная величина потребления энергетических ресурсов муниципальными бюджетными учреждениями: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электрическая энергия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кВт. ч на 1 человека населения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442,51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442,51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442,51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442,51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3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тепловая энергия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холодная вода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куб. метров на 1 человека населения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3,13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3,13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3,13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3,13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3.2 Удельная величина потребления энергетических ресурсов в многоквартирных домах: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электрическая энергия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кВт. ч на 1 проживающего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1582,29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1582,29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1582,29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1582,29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тепловая энергия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Гкал на 1 кв. метр общей площади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0,36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холодная вода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куб. метров на 1 проживающего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31,4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3.2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89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7 «Внедрение энергосберегающих технологий на объектах жилищного фонда»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199,000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199,000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52,000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0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 Направление 4 «Создание и развитие систем обращения с отходами, в том числе с твердыми коммунальными отходами» 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направления 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4.1 Количество созданных объектов обращения с отходами, в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4.1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99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Показатель 4.2 Количество расчищенных объектов размещения твёрдых коммунальных отходов, в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Весовое значение показателя 4.2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Комплекс процессных мероприятий 8 «Создание эффективной системы обращения с отходами, в том числе с ТКО»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41 480,600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39 130,600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36 586,000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36 586,000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4 894,600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2 544,600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105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contextualSpacing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внебюджетные источники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3"/>
                <w:highlight w:val="none"/>
              </w:rPr>
            </w:pPr>
            <w:r>
              <w:rPr>
                <w:rFonts w:ascii="Liberation Serif" w:hAnsi="Liberation Serif" w:cs="Liberation Serif"/>
                <w:sz w:val="23"/>
                <w:highlight w:val="non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567" w:right="-567"/>
        <w:jc w:val="right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0"/>
          <w:highlight w:val="none"/>
        </w:rPr>
        <w:t xml:space="preserve">».</w:t>
      </w:r>
      <w:r>
        <w:rPr>
          <w:rFonts w:ascii="Liberation Serif" w:hAnsi="Liberation Serif"/>
          <w:szCs w:val="20"/>
          <w:highlight w:val="none"/>
        </w:rPr>
      </w:r>
      <w:r/>
    </w:p>
    <w:p>
      <w:pPr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/>
      <w:bookmarkStart w:id="2" w:name="RANGE!A1:G109"/>
      <w:r/>
      <w:bookmarkEnd w:id="2"/>
      <w:r/>
      <w:r/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56"/>
      </w:tblGrid>
      <w:tr>
        <w:trPr>
          <w:trHeight w:val="10837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56" w:type="dxa"/>
            <w:vAlign w:val="center"/>
            <w:textDirection w:val="lrTb"/>
            <w:noWrap/>
          </w:tcPr>
          <w:p>
            <w:pPr>
              <w:ind w:left="0" w:right="-106" w:firstLine="709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8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  <w:t xml:space="preserve">3. Приложение № 1 к 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муниципальной программе муниципального округа Красноселькупский район ЯНАО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8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изложить в следующей редакции: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ind w:left="0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8"/>
                <w:szCs w:val="2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highlight w:val="none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bookmarkStart w:id="3" w:name="RANGE!A1:D18"/>
            <w:r/>
            <w:bookmarkEnd w:id="3"/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Приложение №1 </w:t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к муниципальной программе муниципального округа Красноселькупский район ЯНАО</w:t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»</w:t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ХАРАКТЕРИСТИКА МЕРОПРИЯТИЙ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муниципальной программы муниципального </w:t>
            </w: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округа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Красноселькупский район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Ямало-Ненецкого автономного округа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  <w:tbl>
            <w:tblPr>
              <w:tblW w:w="1009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6"/>
              <w:gridCol w:w="3827"/>
              <w:gridCol w:w="2693"/>
            </w:tblGrid>
            <w:tr>
              <w:trPr>
                <w:trHeight w:val="1301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№ п/п</w:t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vAlign w:val="center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Характеристика (состав) мероприятия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Результат</w:t>
                  </w:r>
                  <w:r/>
                </w:p>
              </w:tc>
            </w:tr>
            <w:tr>
              <w:trPr>
                <w:trHeight w:val="245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1</w:t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2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3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4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Направление 1 «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Развитие энергетики и жилищно-коммунального комплекса»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1 «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Строительство и реконструкция объектов энергетики и жилищно-коммунального комплекса»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строительством»</w:t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1.1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Котельная в с. Толька Красноселькупского района, в том числе проектно-изыскательские работы.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Выполнение данного мероприятия обеспечивает развитие систем коммунальной инфраструктуры в селе Толька за счет капитального строительства объектов теплоснабжения,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рамках Адресной инвестиционной программы автономного округа.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shd w:val="clear" w:color="ffffff" w:themeColor="background1" w:fill="ffffff" w:themeFill="background1"/>
                    <w:rPr>
                      <w:rFonts w:ascii="Liberation Serif" w:hAnsi="Liberation Serif" w:cs="Liberation Serif" w:eastAsia="Liberation Serif"/>
                      <w:sz w:val="20"/>
                      <w:highlight w:val="whit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white"/>
                    </w:rPr>
                    <w:t xml:space="preserve">В 2022 году проект повторно направлен на экспертизу.  Строительство котельной в с. Толька планируется завершить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white"/>
                    </w:rPr>
                    <w:t xml:space="preserve"> в 2023 году.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490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2 «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Ремонт объектов энергетики и ЖКК»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строительством»</w:t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Капитальный ремонт объекта «Тепловая и водопроводная сеть, с. Красноселькуп, Котельная № 4-ул. Строит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елей».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«Капитальный ремонт объекта «Тепловая и водопроводная сеть, Котельная №3-ул.Ямальский тупик, ТП 4 в с. Толька, Красноселькупский район».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Мероприятие 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2.3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Капитальный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ремонт тепловой и водопроводной сети с. Красноселькуп, ул. Строителей, д.9 - ул. 70 лет Октября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</w:rPr>
                    <w:t xml:space="preserve">Мероприятие 2.4 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Капитальный ремонт арт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езианской скважины № 1, ул. Механизаторов (Котельная № 2) с. Толька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u w:val="single"/>
                    </w:rPr>
                    <w:t xml:space="preserve">Мероприятие 2.5 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Капитальный ремонт артезианской скважины № 8, ул. Механизаторов (Котельная № 4) с. Толька</w:t>
                  </w:r>
                  <w:r>
                    <w:rPr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Мероприятия направлены на исполнение полномочий органов местного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самоуправления по организации теплоснабжения, водоснабжения и водоотведения путем проведения капитальног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 ремонта ветхих инженерных сетей.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Проведен капитальный ремонт первоочередных участков ветхих сетей тепло и водоснабжения в целях обновления инженерной инфраструктуры населенных пунктов района.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Суммарная протяженность отремонтированных учас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тков в 2022 году составила 417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м.п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.;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Суммарная протяжённость, планируемых к ремонту участков в 2023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году  -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470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м.п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.</w:t>
                  </w:r>
                  <w:r/>
                </w:p>
              </w:tc>
            </w:tr>
            <w:tr>
              <w:trPr>
                <w:trHeight w:val="444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3 «Поддержка отраслей экономики в сфере жилищно-коммунального комплекса»</w:t>
                  </w:r>
                  <w:r/>
                </w:p>
              </w:tc>
            </w:tr>
            <w:tr>
              <w:trPr>
                <w:trHeight w:val="354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Компенсация выпадающих доходов организациям, 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предоставлению субсидий на финансовое обеспечение (возмещение) затрат организациям, осуществляющим оказание услуг по транспортировке, откачке и вывозу жидких бытовых отходов из септиков в жилищном фонде, о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бустроенном внутридомовой системой канализации и не подключенном к сетям централизованной системы канализации.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Обеспечение населения, проживающего в жилищном фонде, обустроенном внутридомовой системой канализации и не подключенном к сетям централизованной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системы канализации, услугой по транспортировке, откачке и вывозу жидких бытовых отходов из септиков для достижения баланса экономических интересов поставщиков и потребителей энергоресурсов и жилищно-коммунальных услуг.</w:t>
                  </w:r>
                  <w:r/>
                </w:p>
              </w:tc>
            </w:tr>
            <w:tr>
              <w:trPr>
                <w:trHeight w:val="3191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реализацию отдельных полномочий в сфере жилищно-коммунального хозяйства по предос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тавлению субсидий на финансовое обеспечение (возмещение) затрат организациям, осуществляющим оказание банных услуг населению в общественных банях на территории, села Красноселькуп и села Тольки.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Обеспечение населения услугами общественной бани.</w:t>
                  </w:r>
                  <w:r/>
                </w:p>
              </w:tc>
            </w:tr>
            <w:tr>
              <w:trPr>
                <w:trHeight w:val="77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4 - Управление муниципальным имуществом Администрации Красноселькупского района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Приобретение коммунальной техники.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теплоснабжения, электроснабжения, водоснабжения, водоотведения и транспортирования твердых коммунальных отходов путем уплаты лизинговых платежей за коммунальную технику в 2022 - 2026 годах.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При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обретено и оплачено в лизинг в 2022 году 4 единицы коммунальной техники (2 ед.-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автогидроподьемники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 , 1 ед . -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бульдозер российского производства, 1 ед. – автосамосвал.)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</w:tr>
            <w:tr>
              <w:trPr>
                <w:trHeight w:val="2109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3.4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Приобретение, монтаж и проведение пусконаладочных работ станции комплексной подготовки воды производительностью 500 м3/сутки, в с. Красноселькуп.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водоснабжения населения для повышения качества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и надежности предоставления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жилищно-коммунальных услуг населению.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январе 2022 года от ООО «ЭК ТВЭС» поступило письмо о том, что на сегодняшний день потребности в установке СКПВ-500 в селе Красноселькуп уже нет, ввиду того, что в результате установки в конце 2021 года трех резервуаров хранения чистой воды, общим объемом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300 м.куб, на существующих трех станциях водоподготовки (СКПВ-300, СКПВ-500.1, СКПВ-500.2), достаточный регулируемый объем питьевой воды для покрытия пиковых расходов существующих потребителей теперь имеется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Окружные средства были сняты департаментом тарифной политики, энергетики и ЖКК ЯНАО и перераспределены на реализацию мероприятия 3.5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>
                <w:trHeight w:val="1801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Мероприятие 3.5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Приобретение, доставка, монтаж и проведение пусконаладочных работ дизель-генераторной установки в селе Красноселькуп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в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ыполнение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полномочий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по организации в границах муниципального округа электроснабжения населения. 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Круглосуточная бесперебойная подача электроэнергии потребителям в систему электроснабжения села Красноселькуп в течение года либо с перерывами, не превышающими 24 часов.</w:t>
                  </w:r>
                  <w:r>
                    <w:rPr>
                      <w:sz w:val="20"/>
                    </w:rPr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  <w:t xml:space="preserve">Доставка ДГУ  планируется в  2023 году.</w:t>
                  </w:r>
                  <w:r>
                    <w:rPr>
                      <w:rFonts w:ascii="Liberation Serif" w:hAnsi="Liberation Serif" w:cs="Liberation Serif" w:eastAsia="Liberation Serif"/>
                    </w:rPr>
                    <w:tab/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4 «Разработка (актуализация) программы комплексного развития систем коммунальной инфраструктуры, схем тепло-, водоснабжения и водоотведения»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Администрация Красноселькупского района (Управление ЖКХ,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транспорта и связи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4.1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Разработка (актуализация) программы комплексного развития коммунальной инфраструктуры и схем.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Мероприятие направлено на исполнение полномочий по разработке схем тепло-, водоснабже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ния и водоотведения, а также программы комплексного развития систем коммунальной инфраструктуры.</w:t>
                  </w:r>
                  <w:r/>
                </w:p>
                <w:p>
                  <w:pPr>
                    <w:pStyle w:val="930"/>
                    <w:ind w:firstLine="11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и соответствующие установленным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требованиям, надежность, энергетическую эффективность, снижение негативного воздействия на окружающую среду и здоровье человека Общее число разработанных в 2022 году документов составило 3 ед. (Схемы теплоснабжения, водоснабжения (водоотведения), ПКР КИ).</w:t>
                  </w:r>
                  <w:r/>
                </w:p>
              </w:tc>
            </w:tr>
            <w:tr>
              <w:trPr>
                <w:trHeight w:val="6549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5 «Повышение уровня благоустройства территорий населенных пунктов Красноселькупского района»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FF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3 Администрация села Ратта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Содержание объектов благоустройства, находящихся в муниципальной собственности.</w:t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Благоустройство территорий населенных пунктов.</w:t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Мероприятия направлены на б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лагоустройство территорий населенных пунктов Красноселькупского района и включают в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 себя комплекс мероприятий, направленных на поддержание и улучшение санитарного и эстетического данных состояния данных территорий (включая расходы на создание, приобретение, установку, устройство, реконструкцию, модернизацию, ремонт и содержание объектов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благоустройства или их отдельных элементов, проведение праздничных мероприятий).</w:t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  <w:lang w:eastAsia="ru-RU"/>
                    </w:rPr>
                    <w:t xml:space="preserve">Мероприятие 5.3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  <w:lang w:eastAsia="ru-RU"/>
                    </w:rPr>
                    <w:t xml:space="preserve">Инвентаризация мест захоронения</w:t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Мероприятие направлено на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сбор информации об установленных на территории кладбищ поселения надгробных сооружениях и ограждениях мест захоронений</w:t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систематизация данных о местах захоронения на кладбищах поселения из различных источников.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Улучшение санитарного, технического или эстетического состояния объектов благоустройства.</w:t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Приведение объектов благоустройства в соответствии с требованиями муниципал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ьных правил по благоустройству.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Создание безопасной, удобной, экологически благоприятной и привлекательной среды, способствующей комплексному и устойчивому развитию муниципального округа Красноселькупский район.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Планирование территории кладбищ поселен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ия.</w:t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Выявление бесхозных захоронений на кладбищах поселения.</w:t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 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4252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Региональный проект F2 «Формирование комфортной городской среды»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F2.1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Благоустройство общественных территорий. 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 w:themeColor="text1"/>
                      <w:sz w:val="20"/>
                      <w:szCs w:val="20"/>
                    </w:rPr>
                    <w:t xml:space="preserve">В рамках мероприятия могут выполняться следующие виды работ: 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устройство, реконструкцию аллей, парков, скверов, бульваров, площадок отдыха, улиц;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 набережной или зоны отдыха у водоема;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строительство, реконструкцию открытого многофункционального общественного спортивного объекта (стадион, спортивно-игровая площадка (комплекс));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 или реконструкцию детской площа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дки;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благоустройство территории вокруг памятника, памятного знака, стелы, скульптурной композиции, малой архитектурной формы, поклонных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установку памятников, памятных знаков, стел, скульптурных композиций, малых архитектурных форм, покл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создание, реконструкцию памятников, памятных знаков, стел, скульптурных композиций, посвященных памяти о Великой Отечественной войне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1941 - 1945 годов, и благоустройство территории вокруг них;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реконструкцию, благоустро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йство пешеходных зон (тротуаров) с обустройством зон отдыха;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реконструкцию, благоустройство площадей;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выполнение проектно-изыскательских работ, разработку дизайн-проектов общественных территорий, комплексных дизайн-проектов и их корректиров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ку;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проверку сметной стоимости работ по благоустройству общественных территорий стоимостью свыше 30 000 000 (тридцать миллионов) рублей на соответствие нормативам в области сметного нормирования и ценообразования либо достоверности ее определения;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разр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аботку или корректировку проекта инженерного обеспечения благоустройства общественной территории муниципального образования;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работы по подключению (технологическому присоединению) объектов благоустройства к сетям инженерного обеспечения;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работы по устр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ойству видеонаблюдения на общественных территориях.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2022 году в селе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Толька  создана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общественная территория «Этнопарк».  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2023 году запланирована реализация благоустройства общественной территории </w:t>
                  </w:r>
                  <w:r>
                    <w:rPr>
                      <w:rFonts w:ascii="Liberation Serif" w:hAnsi="Liberation Serif" w:cs="Liberation Serif"/>
                      <w:sz w:val="20"/>
                      <w:szCs w:val="28"/>
                    </w:rPr>
                    <w:t xml:space="preserve">«с. Красноселькуп, Сквер «Здоровье» по ул. Полярная».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Направление 2 «Проведение капитального ремонта многоквартирных домов»</w:t>
                  </w:r>
                  <w:r/>
                </w:p>
              </w:tc>
            </w:tr>
            <w:tr>
              <w:trPr>
                <w:trHeight w:val="2140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6 «Капитальный ремонт жилищного фонда»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Капитальный ремонт многоквартирных домов.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рамках мероприятия планируется предоставление субсидий управляющим организациям на реализацию мероприятий по капитальному ремонту общего имущества многоквартирных домов в рамках адресной программы капитального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ремонта.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Своевременное проведение капитального ремонта, повышение комфортности проживания в многоквартирных домах, повышение энергоэффективности жилищного фонда, сокращение расходов коммунальных ресурсов, а также увеличение срока полезной эксплуатации жил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ых домов. В рамках адресной программы капитального ремонта общего имущества  в 2022 году выполнен ремонт крыши в с. Толька МКД по адресу ул. Советская д.2</w:t>
                  </w:r>
                  <w:r/>
                </w:p>
              </w:tc>
            </w:tr>
            <w:tr>
              <w:trPr>
                <w:trHeight w:val="1139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Разработка проектной документации по капитальному ремонту общего имущества в многоквартирных домах.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Нор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мами действующего законодательства установлено, что при выполнении </w:t>
                  </w:r>
                  <w:r>
                    <w:rPr>
                      <w:rFonts w:ascii="Liberation Serif" w:hAnsi="Liberation Serif" w:cs="Liberation Serif" w:eastAsia="Liberation Serif"/>
                      <w:bCs/>
                      <w:color w:val="333333"/>
                      <w:sz w:val="20"/>
                      <w:shd w:val="clear" w:color="auto" w:fill="fbfbfb"/>
                    </w:rPr>
                    <w:t xml:space="preserve">капитального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 </w:t>
                  </w:r>
                  <w:r>
                    <w:rPr>
                      <w:rFonts w:ascii="Liberation Serif" w:hAnsi="Liberation Serif" w:cs="Liberation Serif" w:eastAsia="Liberation Serif"/>
                      <w:bCs/>
                      <w:color w:val="333333"/>
                      <w:sz w:val="20"/>
                      <w:shd w:val="clear" w:color="auto" w:fill="fbfbfb"/>
                    </w:rPr>
                    <w:t xml:space="preserve">ремонта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, реконструкции и перепланировки (переустройства) необходима подготовка проектной документации.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Проведение государственной экспертизы проекта, проверки д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остоверности определения сметной стоимости капитального ремонта.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Данное мероприятие является одним из основных критериев для включения в адресную программу по капитальному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ремонту общего имущества в многоквартирных домах.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Включение в адресную программу по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капитальному ремонту общего имущества в многоквартирных домах, с целью дальнейшего финансирования работ за счёт средств окружного бюджета.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В 2022 году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разработана проектная документация по 3 МКД (Нагорная 32 а, Нагорная 13 а, Брусничая 7).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В 2022 году проведена гос.экспертизы по 3 МКД (Нагорная 32 а, Нагорная 13 а, Брусничая 7).Получены положительные заключения.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Направление 3 «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Энергосбережение и повышение энергетической эффективности»</w:t>
                  </w:r>
                  <w:r/>
                </w:p>
              </w:tc>
            </w:tr>
            <w:tr>
              <w:trPr>
                <w:trHeight w:val="227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7 «Внедрение энергосберегающих технологий на объектах жилищного фонда»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6 - Управление по труду и социальной защите населения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7.1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Предоставление дополнительных мер социальной поддержки по обеспечению приборами учета коммунальных ресурсов малоимущих слоев населен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ия и других отдельных категорий граждан в виде компенсации стоимости затрат, произведенных собственником жилого помещения.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предоставление мер социальной поддержки малоимущих слоев населения в виде компенсации стоимости затрат по у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становке приборов учета коммунальных ресурсов.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tabs>
                      <w:tab w:val="right" w:pos="2477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2022 году выполнено возмещение затрат по установке 4 приборов учета коммунальных ресурсов</w:t>
                  </w:r>
                  <w:r>
                    <w:tab/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2023 году планируется установка приборов учёта на основании обращений малоимущих слоёв населения.</w:t>
                  </w:r>
                  <w:r/>
                </w:p>
              </w:tc>
            </w:tr>
            <w:tr>
              <w:trPr>
                <w:trHeight w:val="319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Направление 4 «Создание и развитие систем обращения с отходами, в том числе с твердыми коммунальными отходами»</w:t>
                  </w:r>
                  <w:r/>
                </w:p>
              </w:tc>
            </w:tr>
            <w:tr>
              <w:trPr>
                <w:trHeight w:val="3538"/>
              </w:trPr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8 "Создание эффективной системы обращения с отходами, в том числе с ТКО"</w:t>
                  </w:r>
                  <w:r/>
                </w:p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2 Администрация села Толька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Устройство площадок временного накопления ТКО арочного типа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Мероприятие направлено на создание системы межмуниципальных взаимосвязанных объектов по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размещению ТКО. 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Расчистка объекта размещения ТКО.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недопущение хаотичного захламления твёрдыми коммунальными отходами объектов размещения ТКО, а также обеспечение беспрепятственного перемещения транспорта для разгр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узки ТКО на территории объекта размещения ТКО.</w:t>
                  </w:r>
                  <w:r>
                    <w:rPr>
                      <w:highlight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Устройство ПВН ТКО арочного типа в с. Толька.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Расчистка объекта размещения ТКО в с. Красноселькуп.</w:t>
                  </w: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>
                <w:trHeight w:val="265"/>
              </w:trPr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4" w:space="0"/>
                    <w:bottom w:val="none" w:color="000000" w:sz="4" w:space="0"/>
                    <w:right w:val="none" w:color="000000" w:sz="8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left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8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8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4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0"/>
                    </w:rPr>
                    <w:t xml:space="preserve">                                ».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</w:tc>
      </w:tr>
    </w:tbl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1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0"/>
          <w:highlight w:val="none"/>
          <w:lang w:eastAsia="ru-RU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4. Приложение № 1.1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следующей редакции: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highlight w:val="none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№1.1 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 муниципального округа Красноселькупский район ЯНАО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color w:val="000000"/>
          <w:sz w:val="24"/>
        </w:rPr>
      </w:r>
      <w:r>
        <w:rPr>
          <w:rFonts w:ascii="Liberation Serif" w:hAnsi="Liberation Serif" w:cs="Times New Roman" w:eastAsia="Times New Roman"/>
          <w:color w:val="000000"/>
          <w:sz w:val="24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lang w:eastAsia="ru-RU"/>
        </w:rPr>
      </w:r>
      <w:r>
        <w:rPr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МЕТОДИКА 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  <w:color w:val="000000"/>
          <w:sz w:val="24"/>
        </w:rPr>
      </w:pPr>
      <w:r>
        <w:rPr>
          <w:rFonts w:ascii="Liberation Serif" w:hAnsi="Liberation Serif" w:cs="Times New Roman" w:eastAsia="Times New Roman"/>
          <w:b w:val="0"/>
          <w:bCs/>
          <w:color w:val="000000"/>
          <w:sz w:val="24"/>
          <w:szCs w:val="20"/>
          <w:lang w:eastAsia="ru-RU"/>
        </w:rPr>
        <w:t xml:space="preserve">по расчету показателей муниципальной программы муниципального округа Красноселькуп</w:t>
      </w:r>
      <w:r>
        <w:rPr>
          <w:rFonts w:ascii="Liberation Serif" w:hAnsi="Liberation Serif" w:cs="Times New Roman" w:eastAsia="Times New Roman"/>
          <w:b w:val="0"/>
          <w:bCs/>
          <w:color w:val="000000"/>
          <w:sz w:val="24"/>
          <w:szCs w:val="20"/>
          <w:lang w:eastAsia="ru-RU"/>
        </w:rPr>
        <w:t xml:space="preserve">ский район Ямало-Ненецкого автономного округа</w:t>
      </w:r>
      <w:r>
        <w:rPr>
          <w:b w:val="0"/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>
        <w:rPr>
          <w:sz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</w:r>
      <w:r>
        <w:rPr>
          <w:sz w:val="20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0"/>
                <w:szCs w:val="20"/>
              </w:rPr>
              <w:t xml:space="preserve">Наименование показателя: 1. Доля граждан, принявших участие в решении вопросов развития городской</w:t>
            </w:r>
            <w:r>
              <w:rPr>
                <w:rFonts w:ascii="Liberation Serif" w:hAnsi="Liberation Serif" w:cs="Liberation Serif" w:eastAsia="Liberation Serif"/>
                <w:b/>
                <w:sz w:val="20"/>
                <w:szCs w:val="20"/>
              </w:rPr>
              <w:t xml:space="preserve">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-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Процент (%)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  <w:trHeight w:val="150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Определяется к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ак отношение граждан, принявших участие в решении вопросов развития городской среды, к общему количеству граждан в возрасте от 14 лет, проживающих в населенных пунктах, в которых реализуются проекты по созданию комфортной городской среды, умноженное на 100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ДГ = КГ / КОГ * 100%.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sz w:val="20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sz w:val="20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среды.</w:t>
            </w:r>
            <w:r>
              <w:rPr>
                <w:sz w:val="20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ДГ</w:t>
            </w:r>
            <w:r>
              <w:rPr>
                <w:sz w:val="20"/>
              </w:rPr>
            </w:r>
            <w:r/>
          </w:p>
        </w:tc>
        <w:tc>
          <w:tcPr>
            <w:tcW w:w="1278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Положител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ьной динамикой показателя считается достижение планируемого показателя 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Количество граждан, принявших участие в решении вопросов развития городской среды</w:t>
            </w:r>
            <w:r>
              <w:rPr>
                <w:sz w:val="20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КГ</w:t>
            </w:r>
            <w:r>
              <w:rPr>
                <w:sz w:val="20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693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Общее количество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sz w:val="20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КОГ</w:t>
            </w:r>
            <w:r>
              <w:rPr>
                <w:sz w:val="20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1367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Данные Управления жизнеобеспечения села Кра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сноселькуп Администрации Красноселькупского района, Администрации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sz w:val="20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7"/>
        <w:gridCol w:w="1716"/>
        <w:gridCol w:w="2985"/>
      </w:tblGrid>
      <w:tr>
        <w:trPr>
          <w:trHeight w:val="855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/>
          </w:p>
        </w:tc>
      </w:tr>
      <w:tr>
        <w:trPr>
          <w:trHeight w:val="24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4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Процент (%)</w:t>
            </w:r>
            <w:r/>
          </w:p>
        </w:tc>
      </w:tr>
      <w:tr>
        <w:trPr>
          <w:trHeight w:val="135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Определяется как отношение количества паспортов готовности к отопительному периоду организаций коммунального комплекса, выданных комиссией Администрации Красноселькупского района к запланированному количеству паспортов готовности к отопительному периоду на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очередной год, умноженное на 100</w:t>
            </w:r>
            <w:r/>
          </w:p>
        </w:tc>
      </w:tr>
      <w:tr>
        <w:trPr>
          <w:trHeight w:val="126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ДП=КП/ЗКП*100%</w:t>
            </w:r>
            <w:r/>
          </w:p>
        </w:tc>
      </w:tr>
      <w:tr>
        <w:trPr>
          <w:trHeight w:val="18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55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367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Доля паспортов готовности к отопительному периоду организаций коммунального комплекса, выданных комиссией Администрации Красноселькупского района, от запланированного количества указанных паспортов на очередно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й год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ДП</w:t>
            </w:r>
            <w:r/>
          </w:p>
        </w:tc>
        <w:tc>
          <w:tcPr>
            <w:tcW w:w="155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Положительной динамикой показателя считается достижение планируемого показателя</w:t>
            </w:r>
            <w:r/>
          </w:p>
        </w:tc>
      </w:tr>
      <w:tr>
        <w:trPr>
          <w:trHeight w:val="216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паспортов готовности к отопительному периоду организаций коммунального комплекса, выданных комиссией Администрации Красноселькупского района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КП</w:t>
            </w:r>
            <w:r/>
          </w:p>
        </w:tc>
        <w:tc>
          <w:tcPr>
            <w:tcW w:w="1550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246"/>
        </w:trPr>
        <w:tc>
          <w:tcPr>
            <w:tcW w:w="2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Запланированное количество паспортов готовности к отопительному периоду на очередной год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ЗКП</w:t>
            </w:r>
            <w:r/>
          </w:p>
        </w:tc>
        <w:tc>
          <w:tcPr>
            <w:tcW w:w="1550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/>
            <w:bookmarkStart w:id="4" w:name="_Hlk100305865"/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1.1. Количество построенных (смонтированных, реконструируемых) объектов энергетики и жилищно-коммунального комплекса</w:t>
            </w:r>
            <w:r/>
          </w:p>
        </w:tc>
      </w:tr>
      <w:tr>
        <w:trPr>
          <w:gridAfter w:val="1"/>
          <w:trHeight w:val="1457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406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  <w:trHeight w:val="373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МКУ «Комитет по управлению капитальным строительством»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, Управления ЖКХ, транспорта и связи Администрации Красноселькупского района, Управление муниципальным имуществом Администрации Красноселькупского района</w:t>
            </w:r>
            <w:bookmarkEnd w:id="4"/>
            <w:r/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1.2. Протяженность отремонтированных сетей</w:t>
            </w:r>
            <w:r/>
          </w:p>
        </w:tc>
      </w:tr>
      <w:tr>
        <w:trPr>
          <w:gridAfter w:val="1"/>
          <w:trHeight w:val="1457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м.п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406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  <w:trHeight w:val="373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МКУ «Комитет по управлению капитальным строительством».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1.3.  Количество приобретённой коммунальной техники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Управление муниципальным имуществом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 w:eastAsia="Calibri"/>
                <w:b/>
                <w:sz w:val="20"/>
                <w:szCs w:val="20"/>
              </w:rPr>
              <w:t xml:space="preserve">1.4. Количество населения, получившего услуги общественной бани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Человек (чел.)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Управление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1.5.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Количество населения, получившего услугу по откачке и вывозу бытовых сточных вод из септиков жилищного фонда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(чел.)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>
          <w:trHeight w:val="498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Управление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жизнеобеспечения села Красноселькуп Администрации Красноселькупского района,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Администрация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села Толька (территориальный орган (структурное подразделение) Администрации Красноселькупского района).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1.6. Количество разработанных документов перспективного развития систем коммунальной инфраструктуры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ЖКХ, транспорта и связи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1.7.  Количество объектов благоустройства (комфортности), состоящих в реестре муниципальной собственности и включенных в программу по осуществлению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мероприятий по благоустройству территорий от общего количества объектов благоустройства (комфортности), состоящих в реестре муниципальной собственности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1.8.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Количество кладбищ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на которых прове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дена инвентаризация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3. Количество реализованных мероприятий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по благоустройству общественных и дворовых территорий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района, Администрации села Толька (территориальный ор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ган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2.1. Доля многоквартирных домов, участвующих в программе ремонтов, от общего количества многоквартирных домов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Процент (%)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количества многоквартирных домов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, участвующих в программе ремонтов к общему количеству многоквартирных домов, расположенных на территории района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РК=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/ ∑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*100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Доля многоквартирных домов, участвующих в программе ремонтов, от общего количества многоквартирных домов, расположенных на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территории района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РК</w:t>
            </w:r>
            <w:r/>
          </w:p>
        </w:tc>
        <w:tc>
          <w:tcPr>
            <w:tcW w:w="196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Положительной динамикой показателя считается увеличение показателя</w:t>
            </w:r>
            <w:r/>
          </w:p>
        </w:tc>
      </w:tr>
      <w:tr>
        <w:trPr>
          <w:gridAfter w:val="1"/>
          <w:trHeight w:val="69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Количества многоквартирных домов, участвующих в программе ремонтов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Количества многоквартирных домов, расположенных на территории района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альный орган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738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» для включения в адресную программу капитального ремонта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295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386"/>
        <w:gridCol w:w="3422"/>
      </w:tblGrid>
      <w:tr>
        <w:trPr>
          <w:trHeight w:val="453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color w:val="00000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</w:t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0"/>
        </w:trPr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кВт. ч на 1 человека населения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потребленной (израсходованной) электрической энергии муниципальными бюджетными учреждениями к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среднегодовой численности постоянного населения района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ЭБУ=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/ Ч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ЭБУ</w:t>
            </w:r>
            <w:r/>
          </w:p>
        </w:tc>
        <w:tc>
          <w:tcPr>
            <w:shd w:val="clear" w:color="ffffff" w:fill="ffffff"/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потребленной (израсходованной) электрической энергии муниципаль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ными бюджетными учреждениями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тепловая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Гкал на 1 кв. метр общей площади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суммарного количества тепловой энергии, потребленной муниципальными учреждениями к общей площади муниципальных бюджетных учреждений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ТБУ= 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/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К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тепловая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ТБУ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Суммарное количество тепловой энергии, потребленной муниципальными учрежде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ниями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Общая площадь муниципальных бюджетных учреждений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 - сведения предоставляют бюджетные учреждения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Органы местного самоуправления сельских поселений Красноселькупского района</w:t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куб. метров на 1 человека населения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потребленной (израсходованной) холодной воды муниципальными бюджетными учреждениями к среднегодовой численности постоянного населения района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ХВБУ= 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Ч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холодная вода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ХВБУ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потребленной (израсходованной) холодной воды муниципальными бюджетными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учреждениями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/>
          </w:p>
        </w:tc>
      </w:tr>
      <w:tr>
        <w:trPr>
          <w:trHeight w:val="25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359"/>
        </w:trPr>
        <w:tc>
          <w:tcPr>
            <w:gridSpan w:val="3"/>
            <w:tcBorders>
              <w:top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3.2. Удельная величина потребления энергетических ресурсов в многоквартирных домах: </w:t>
            </w:r>
            <w:r/>
          </w:p>
        </w:tc>
      </w:tr>
      <w:tr>
        <w:trPr>
          <w:trHeight w:val="20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кВт. ч на 1 проживающего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потребления электрической энергии в многоквартирных домах, к числу проживающих в многоквартирных домах, которым отпущен соответствующий энергетический ресурс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электрическая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электрической энергии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тепловая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Гкал на 1 кв. метр общей площади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потребления тепловой энергии в многоквартирных домах к общей площади многоквартирных домов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тепловая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тепловой энергии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Общая площадь многоквартирных домов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keepNext/>
              <w:spacing w:after="0" w:line="240" w:lineRule="auto"/>
              <w:rPr>
                <w:rFonts w:ascii="Liberation Serif" w:hAnsi="Liberation Serif" w:cs="Times New Roman"/>
              </w:rPr>
              <w:outlineLvl w:val="0"/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– сведения из Федеральной статистической формы наблюдения 1-жилфонд «Сведения о жилищном фонде»</w:t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куб. метров на 1 проживающего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объема потребления холодной воды в многоквартирных домах, к числу проживающих в многоквартирных домах, которым отпущен соответствующий энергетический ресур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холодной воды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9"/>
        <w:gridCol w:w="309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4.1. Количество созданных объектов обращения с отходами, в год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9"/>
        <w:gridCol w:w="309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4.2. Количество расчищенных объектов размещения твёрдых коммунальных отходов, в год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иница измерения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>
          <w:trHeight w:val="49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района.</w:t>
            </w:r>
            <w:r/>
          </w:p>
        </w:tc>
      </w:tr>
    </w:tbl>
    <w:p>
      <w:pPr>
        <w:jc w:val="right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»</w:t>
      </w:r>
      <w:r>
        <w:rPr>
          <w:sz w:val="28"/>
        </w:rPr>
        <w:t xml:space="preserve">.</w:t>
      </w:r>
      <w:r/>
    </w:p>
    <w:p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7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5.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Приложение № 2.1 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</w:t>
      </w:r>
      <w:r>
        <w:rPr>
          <w:rFonts w:ascii="Liberation Serif" w:hAnsi="Liberation Serif" w:cs="Liberation Serif" w:eastAsia="Liberation Serif"/>
          <w:sz w:val="28"/>
        </w:rPr>
        <w:t xml:space="preserve">ледующей редакции:</w:t>
      </w:r>
      <w:r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 2.1 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ind w:left="5699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5699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0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sz w:val="24"/>
        </w:rPr>
      </w:pPr>
      <w:r>
        <w:rPr>
          <w:rFonts w:ascii="Liberation Serif" w:hAnsi="Liberation Serif" w:cs="Times New Roman"/>
          <w:b w:val="0"/>
          <w:bCs/>
          <w:sz w:val="24"/>
          <w:szCs w:val="20"/>
        </w:rPr>
      </w:r>
      <w:r>
        <w:rPr>
          <w:rFonts w:ascii="Liberation Serif" w:hAnsi="Liberation Serif" w:cs="Times New Roman"/>
          <w:b w:val="0"/>
          <w:bCs/>
          <w:sz w:val="24"/>
          <w:szCs w:val="20"/>
        </w:rPr>
        <w:t xml:space="preserve">на 2023 год</w:t>
      </w:r>
      <w:r>
        <w:rPr>
          <w:b w:val="0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tbl>
      <w:tblPr>
        <w:tblStyle w:val="77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3642"/>
        <w:gridCol w:w="1776"/>
        <w:gridCol w:w="2160"/>
        <w:gridCol w:w="1614"/>
      </w:tblGrid>
      <w:tr>
        <w:trPr>
          <w:trHeight w:val="171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муниципальной программы, направле</w:t>
            </w:r>
            <w:r>
              <w:rPr>
                <w:rFonts w:ascii="Liberation Serif" w:hAnsi="Liberation Serif" w:cs="Liberation Serif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Код бюджетной классификации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Муниципальная программа «Энергоэффективность и развитие энергетики. Обеспечение населения качественными жилищно-коммунальными услугами»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383 396,000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360 685,000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22 711,000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117 355,000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43 176,000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4 736,000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«Комитет по управлению капитальным строительством»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175 960,000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1 «Развитие энергетики и жилищно-коммунального комплекса» 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380 952,000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360 685,000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20 267,000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115 005,000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43 131,000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4 736,000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«Комитет по управлению капитальным строительством»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175 960,000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122 223,000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121 000,000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122 223,000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1.1 Котельная  в с. Толька Красноселькупского района, в том числе проектно-изыскательские работы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</w:t>
            </w:r>
            <w:r>
              <w:rPr>
                <w:rFonts w:ascii="Liberation Serif" w:hAnsi="Liberation Serif" w:cs="Liberation Serif"/>
              </w:rPr>
              <w:t xml:space="preserve">ние Правительства ЯНАО от 31.01.2020 № 88-П 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бюджетов»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122 223,000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122 223,000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901 0430171350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121 000,000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04301S1350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1 223,000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2 "Ремонт объектов энергетики и ЖКК"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53 737,000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52 661,000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1 076,000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53 737,000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2.3  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ЯНАО от 25.12.2013 № 1144-П  «Об утверждении государственной программы Ямало-Ненецкого автономного округа «Развитие энергетики и жилищно-коммунального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42 775,000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42 775,000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41 919,000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856,000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2.4 Капитальный ремонт артезианской скважины № 1, ул. Механизаторов (Котельная № 2)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5 481,000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5 481,000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2.5 Капитальный ремонт артезианской скважины № 8, ул. Механизаторов (Котельная № 4)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5 481,000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5 - МКУ 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5 481,000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901 04302S1620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3 "Поддержка отраслей экономики в сфере жилищно-коммунального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73 191,000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67 553,000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5 638,000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23 900,000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7 171,000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3.1  "Компенсация выпадающих доходов организациям, п</w:t>
            </w:r>
            <w:r>
              <w:rPr>
                <w:rFonts w:ascii="Liberation Serif" w:hAnsi="Liberation Serif" w:cs="Liberation Serif"/>
              </w:rPr>
              <w:t xml:space="preserve">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 и не подключенном к сетям централизованной канализации по тарифам, не обеспечивающим возмещение издержек"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ЯНАО от 25.12.2013 № 1144-П 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26 117,000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21 560,000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911 0430371620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21 344,000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04303S1620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4 557,000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902 0430371620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4 511,000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04303S1620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Администрации Красноселькуп</w:t>
            </w:r>
            <w:r>
              <w:rPr>
                <w:rFonts w:ascii="Liberation Serif" w:hAnsi="Liberation Serif" w:cs="Liberation Serif"/>
              </w:rPr>
              <w:t xml:space="preserve">ского района от 03.08.2022 № 273-П «Об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4 954,000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2 340,000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911 0430361100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2 340,000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59.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2 614,000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902 0430361100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2 614,000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3.5 Приобретение, доставка, монтаж и проведение пусконаладочных работ дизель-генераторной установки в селе Красноселькуп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Ямало-Ненецкого автономного округа от 25 декабря 2013года № 1144-П 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966 0430371620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41 698,000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966 04303S1620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66.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91 396,000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79 471,000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11 925,000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50 700,000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35 960,000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4 736,000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Ямало-Ненецкого автономного округа от 25.12.2013 № 1099-П 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80 276,000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42 409,000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41 984,000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33 536,000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902 0430571620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33 200,000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04305S1620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336,000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4 331,000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80.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903 0430571620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81.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903 04305S1620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 82.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5.2 Благоустройство территорий населенных пунктов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11 120,000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83.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8 291,000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911 0430564440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2 872,386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04305У0003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2 819,379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04305У0004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998,333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04305У0005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662,667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04305У0006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938,235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89.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2 424,000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902 0430564440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2 424,000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903 0430564440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93.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Региональный проект F2  «Формирование комфортной городской среды»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94.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Ямало-Ненецкого автономного округа от 25.12.2013 № 1099-П 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95.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96.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«с.Красноселькуп, Сквер "Здоровье" по ул. Полярная»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99.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911 041F271490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911 041F2S1490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2 «Проведение капитального ремонта многоквартирных домов» 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6 "Капитальный ремонт жилищного фонда»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109.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6.1 Капитальный ремонт многоквартирных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 Правительства Ямало-Ненецкого автономного округа от 25 декабря 2013года № 1144-П 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902 0430640300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113.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3 «Энергосбережение и повышение энергетической эффективности»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7 «Внедрение энергосберегающих технологий на объектах жилищного фонда»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7.1 Пр</w:t>
            </w:r>
            <w:r>
              <w:rPr>
                <w:rFonts w:ascii="Liberation Serif" w:hAnsi="Liberation Serif" w:cs="Liberation Serif"/>
              </w:rPr>
              <w:t xml:space="preserve">едоставление дополнительных мер социальной поддержки по  обеспечению приборами учета коммунальных ресурсов малоимущих слоев населения и  других отдельных  категорий граждан в виде компенсации  стоимости затрат,  произведенных собственником жилого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948 0430764310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4 «Создание и развитие систем обращения с отходами, в том числе с твердыми коммунальными отходами» 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/>
          </w:p>
        </w:tc>
      </w:tr>
      <w:tr>
        <w:trPr>
          <w:trHeight w:val="3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129.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8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Комплекс процессных мероприятий 8  «Создание эффективной системы обращения с отходами, в том числе с ТКО»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8.2 Расчистка объекта размещения ТКО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Times New Roman"/>
                <w:b w:val="0"/>
                <w:i w:val="0"/>
                <w:strike w:val="false"/>
                <w:color w:val="000000"/>
                <w:sz w:val="22"/>
                <w:u w:val="none"/>
              </w:rPr>
              <w:t xml:space="preserve">136.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2" w:type="dxa"/>
            <w:textDirection w:val="lrTb"/>
            <w:noWrap w:val="false"/>
          </w:tcPr>
          <w:p>
            <w:pPr>
              <w:ind w:left="142" w:righ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911 0430864120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0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5387"/>
        <w:jc w:val="right"/>
        <w:spacing w:after="0" w:line="240" w:lineRule="auto"/>
        <w:rPr>
          <w:highlight w:val="none"/>
        </w:rPr>
      </w:pPr>
      <w:r>
        <w:rPr>
          <w:rFonts w:ascii="Liberation Serif" w:hAnsi="Liberation Serif" w:cs="Times New Roman" w:eastAsia="Times New Roman"/>
          <w:color w:val="000000"/>
          <w:sz w:val="28"/>
          <w:lang w:eastAsia="ru-RU"/>
        </w:rPr>
        <w:t xml:space="preserve">»</w:t>
      </w:r>
      <w:r>
        <w:rPr>
          <w:sz w:val="28"/>
        </w:rPr>
        <w:t xml:space="preserve">.</w:t>
      </w:r>
      <w:r/>
    </w:p>
    <w:p>
      <w:pPr>
        <w:ind w:left="5387"/>
        <w:jc w:val="right"/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850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7.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Приложение № 3 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</w:t>
      </w:r>
      <w:r>
        <w:rPr>
          <w:rFonts w:ascii="Liberation Serif" w:hAnsi="Liberation Serif" w:cs="Liberation Serif" w:eastAsia="Liberation Serif"/>
          <w:sz w:val="28"/>
        </w:rPr>
        <w:t xml:space="preserve">ледующей редакции:</w:t>
      </w:r>
      <w:r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 3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>
        <w:rPr>
          <w:rFonts w:ascii="Liberation Serif" w:hAnsi="Liberation Serif" w:cs="Times New Roman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0"/>
        </w:rPr>
      </w:pPr>
      <w:r>
        <w:rPr>
          <w:rFonts w:ascii="Liberation Serif" w:hAnsi="Liberation Serif" w:cs="Times New Roman" w:eastAsia="Times New Roman"/>
          <w:b/>
          <w:sz w:val="24"/>
          <w:szCs w:val="20"/>
        </w:rPr>
        <w:t xml:space="preserve">АДРЕСНЫЙ ПЕРЕЧЕНЬ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Times New Roman" w:eastAsia="Times New Roman"/>
          <w:sz w:val="24"/>
          <w:szCs w:val="20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2019 – 2023 годы</w:t>
      </w:r>
      <w:r/>
    </w:p>
    <w:p>
      <w:pPr>
        <w:contextualSpacing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tbl>
      <w:tblPr>
        <w:tblStyle w:val="963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9068"/>
      </w:tblGrid>
      <w:tr>
        <w:trPr>
          <w:trHeight w:val="390"/>
          <w:tblHeader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общественной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eastAsia="ru-RU"/>
              </w:rPr>
              <w:t xml:space="preserve">территори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6"/>
                <w:szCs w:val="24"/>
                <w:lang w:val="ru-RU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11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tabs>
                <w:tab w:val="left" w:pos="3180" w:leader="none"/>
              </w:tabs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2019 год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«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Площадь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Дружбы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«Зона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отдыха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на берегу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реки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Таз»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, 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Территория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общего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пользования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«Сквер»,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расположенной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около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дома № 1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. Сидорова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3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Ратта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площадка в с. Ратта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</w:rPr>
            </w:r>
            <w:bookmarkStart w:id="5" w:name="_Hlk75162838"/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2020 год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28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с. 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, Спортивно-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. 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Комсомольская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, (в районе д. 3)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0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ind w:left="-576"/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2021 год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311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Спортивно-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. 40 лет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Победы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(в районе д. 21)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площадка пер.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Таёжный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(в районе д. 3)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. Ленина (в районе д.1)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</w:rPr>
            </w:r>
            <w:bookmarkStart w:id="6" w:name="_Hlk106182712"/>
            <w:r>
              <w:rPr>
                <w:rFonts w:ascii="Liberation Serif" w:hAnsi="Liberation Serif" w:cs="Liberation Serif" w:eastAsia="Liberation Serif"/>
                <w:sz w:val="26"/>
              </w:rPr>
            </w:r>
            <w:bookmarkEnd w:id="5"/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, Этнопарк</w:t>
            </w:r>
            <w:bookmarkEnd w:id="6"/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6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6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с. Красноселькуп, Сквер «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Здоровье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»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  <w:lang w:eastAsia="ru-RU"/>
              </w:rPr>
              <w:t xml:space="preserve">Полярная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  <w:tr>
        <w:trPr>
          <w:trHeight w:val="100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contextualSpacing/>
              <w:ind w:right="-108" w:firstLine="318"/>
              <w:jc w:val="both"/>
              <w:spacing w:after="200" w:line="276" w:lineRule="auto"/>
              <w:rPr>
                <w:rFonts w:ascii="Liberation Serif" w:hAnsi="Liberation Serif" w:cs="Liberation Serif" w:eastAsia="Liberation Serif"/>
                <w:sz w:val="26"/>
                <w:szCs w:val="24"/>
              </w:rPr>
              <w:outlineLvl w:val="0"/>
            </w:pP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Общественные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территории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нуждающиеся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в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благоустройстве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(с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учетом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их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физического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состояния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)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подлежащих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благоустройству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в 2021-2022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годы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отражены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в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порядке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приоритетности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большинству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набранных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голосов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итогам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проведения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органами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местного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самоуправления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 рейтингового 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голосования</w:t>
            </w:r>
            <w:r>
              <w:rPr>
                <w:rFonts w:ascii="Liberation Serif" w:hAnsi="Liberation Serif" w:cs="Liberation Serif" w:eastAsia="Liberation Serif"/>
                <w:sz w:val="26"/>
                <w:szCs w:val="24"/>
              </w:rPr>
              <w:t xml:space="preserve">.»</w:t>
            </w:r>
            <w:r>
              <w:rPr>
                <w:rFonts w:ascii="Liberation Serif" w:hAnsi="Liberation Serif" w:cs="Liberation Serif" w:eastAsia="Liberation Serif"/>
                <w:sz w:val="26"/>
              </w:rPr>
            </w:r>
            <w:r/>
          </w:p>
        </w:tc>
      </w:tr>
    </w:tbl>
    <w:p>
      <w:pPr>
        <w:ind w:left="8496" w:firstLine="708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».</w:t>
      </w:r>
      <w:r>
        <w:rPr>
          <w:sz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6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1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9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</w:rPr>
    </w:r>
    <w:r/>
  </w:p>
  <w:p>
    <w:pPr>
      <w:pStyle w:val="92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731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3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36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37">
    <w:name w:val="Title Char"/>
    <w:basedOn w:val="753"/>
    <w:link w:val="765"/>
    <w:uiPriority w:val="10"/>
    <w:rPr>
      <w:sz w:val="48"/>
      <w:szCs w:val="48"/>
    </w:rPr>
  </w:style>
  <w:style w:type="character" w:styleId="738">
    <w:name w:val="Subtitle Char"/>
    <w:basedOn w:val="753"/>
    <w:link w:val="767"/>
    <w:uiPriority w:val="11"/>
    <w:rPr>
      <w:sz w:val="24"/>
      <w:szCs w:val="24"/>
    </w:rPr>
  </w:style>
  <w:style w:type="character" w:styleId="739">
    <w:name w:val="Quote Char"/>
    <w:link w:val="769"/>
    <w:uiPriority w:val="29"/>
    <w:rPr>
      <w:i/>
    </w:rPr>
  </w:style>
  <w:style w:type="character" w:styleId="740">
    <w:name w:val="Intense Quote Char"/>
    <w:link w:val="771"/>
    <w:uiPriority w:val="30"/>
    <w:rPr>
      <w:i/>
    </w:rPr>
  </w:style>
  <w:style w:type="character" w:styleId="741">
    <w:name w:val="Footnote Text Char"/>
    <w:link w:val="903"/>
    <w:uiPriority w:val="99"/>
    <w:rPr>
      <w:sz w:val="18"/>
    </w:rPr>
  </w:style>
  <w:style w:type="character" w:styleId="742">
    <w:name w:val="Endnote Text Char"/>
    <w:link w:val="906"/>
    <w:uiPriority w:val="99"/>
    <w:rPr>
      <w:sz w:val="20"/>
    </w:r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6">
    <w:name w:val="Heading 3"/>
    <w:basedOn w:val="743"/>
    <w:next w:val="743"/>
    <w:link w:val="92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Заголовок 1 Знак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basedOn w:val="753"/>
    <w:link w:val="745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753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Заголовок 4 Знак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Title"/>
    <w:basedOn w:val="743"/>
    <w:next w:val="743"/>
    <w:link w:val="766"/>
    <w:uiPriority w:val="10"/>
    <w:qFormat/>
    <w:pPr>
      <w:contextualSpacing/>
      <w:spacing w:before="300"/>
    </w:pPr>
    <w:rPr>
      <w:sz w:val="48"/>
      <w:szCs w:val="48"/>
    </w:rPr>
  </w:style>
  <w:style w:type="character" w:styleId="766" w:customStyle="1">
    <w:name w:val="Заголовок Знак"/>
    <w:basedOn w:val="753"/>
    <w:link w:val="765"/>
    <w:uiPriority w:val="10"/>
    <w:rPr>
      <w:sz w:val="48"/>
      <w:szCs w:val="48"/>
    </w:rPr>
  </w:style>
  <w:style w:type="paragraph" w:styleId="767">
    <w:name w:val="Subtitle"/>
    <w:basedOn w:val="743"/>
    <w:next w:val="743"/>
    <w:link w:val="768"/>
    <w:uiPriority w:val="11"/>
    <w:qFormat/>
    <w:pPr>
      <w:spacing w:before="200"/>
    </w:pPr>
    <w:rPr>
      <w:sz w:val="24"/>
      <w:szCs w:val="24"/>
    </w:rPr>
  </w:style>
  <w:style w:type="character" w:styleId="768" w:customStyle="1">
    <w:name w:val="Подзаголовок Знак"/>
    <w:basedOn w:val="753"/>
    <w:link w:val="767"/>
    <w:uiPriority w:val="11"/>
    <w:rPr>
      <w:sz w:val="24"/>
      <w:szCs w:val="24"/>
    </w:rPr>
  </w:style>
  <w:style w:type="paragraph" w:styleId="769">
    <w:name w:val="Quote"/>
    <w:basedOn w:val="743"/>
    <w:next w:val="743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43"/>
    <w:next w:val="743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Выделенная цитата Знак"/>
    <w:link w:val="771"/>
    <w:uiPriority w:val="30"/>
    <w:rPr>
      <w:i/>
    </w:rPr>
  </w:style>
  <w:style w:type="character" w:styleId="773" w:customStyle="1">
    <w:name w:val="Header Char"/>
    <w:basedOn w:val="753"/>
    <w:uiPriority w:val="99"/>
  </w:style>
  <w:style w:type="character" w:styleId="774" w:customStyle="1">
    <w:name w:val="Footer Char"/>
    <w:basedOn w:val="753"/>
    <w:uiPriority w:val="99"/>
  </w:style>
  <w:style w:type="paragraph" w:styleId="775">
    <w:name w:val="Caption"/>
    <w:basedOn w:val="743"/>
    <w:next w:val="7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6" w:customStyle="1">
    <w:name w:val="Caption Char"/>
    <w:uiPriority w:val="99"/>
  </w:style>
  <w:style w:type="table" w:styleId="777">
    <w:name w:val="Table Grid"/>
    <w:basedOn w:val="75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8" w:customStyle="1">
    <w:name w:val="Table Grid Light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>
    <w:name w:val="Plain Table 1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7" w:customStyle="1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9" w:customStyle="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1" w:customStyle="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2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9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0" w:customStyle="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1" w:customStyle="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2" w:customStyle="1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3" w:customStyle="1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4" w:customStyle="1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5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 &amp; 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Bordered &amp; 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Bordered &amp; 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Bordered &amp; 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Bordered &amp; 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Bordered &amp; 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8" w:customStyle="1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9" w:customStyle="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0" w:customStyle="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1" w:customStyle="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2" w:customStyle="1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3">
    <w:name w:val="footnote text"/>
    <w:basedOn w:val="743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53"/>
    <w:uiPriority w:val="99"/>
    <w:unhideWhenUsed/>
    <w:rPr>
      <w:vertAlign w:val="superscript"/>
    </w:rPr>
  </w:style>
  <w:style w:type="paragraph" w:styleId="906">
    <w:name w:val="endnote text"/>
    <w:basedOn w:val="743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53"/>
    <w:uiPriority w:val="99"/>
    <w:semiHidden/>
    <w:unhideWhenUsed/>
    <w:rPr>
      <w:vertAlign w:val="superscript"/>
    </w:rPr>
  </w:style>
  <w:style w:type="paragraph" w:styleId="909">
    <w:name w:val="toc 1"/>
    <w:basedOn w:val="743"/>
    <w:next w:val="743"/>
    <w:uiPriority w:val="39"/>
    <w:unhideWhenUsed/>
    <w:pPr>
      <w:spacing w:after="57"/>
    </w:pPr>
  </w:style>
  <w:style w:type="paragraph" w:styleId="910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1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2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3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4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5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6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7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43"/>
    <w:next w:val="743"/>
    <w:uiPriority w:val="99"/>
    <w:unhideWhenUsed/>
    <w:pPr>
      <w:spacing w:after="0"/>
    </w:pPr>
  </w:style>
  <w:style w:type="character" w:styleId="920" w:customStyle="1">
    <w:name w:val="Заголовок 3 Знак"/>
    <w:basedOn w:val="753"/>
    <w:link w:val="746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921">
    <w:name w:val="List Paragraph"/>
    <w:basedOn w:val="743"/>
    <w:link w:val="925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922">
    <w:name w:val="Body Text"/>
    <w:basedOn w:val="743"/>
    <w:link w:val="923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23" w:customStyle="1">
    <w:name w:val="Основной текст Знак"/>
    <w:basedOn w:val="753"/>
    <w:link w:val="922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24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25" w:customStyle="1">
    <w:name w:val="Абзац списка Знак"/>
    <w:link w:val="921"/>
    <w:uiPriority w:val="34"/>
    <w:rPr>
      <w:rFonts w:ascii="Calibri" w:hAnsi="Calibri" w:cs="Times New Roman" w:eastAsia="Calibri"/>
    </w:rPr>
  </w:style>
  <w:style w:type="paragraph" w:styleId="926">
    <w:name w:val="Header"/>
    <w:basedOn w:val="743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53"/>
    <w:link w:val="926"/>
    <w:uiPriority w:val="99"/>
  </w:style>
  <w:style w:type="paragraph" w:styleId="928">
    <w:name w:val="Footer"/>
    <w:basedOn w:val="743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53"/>
    <w:link w:val="928"/>
    <w:uiPriority w:val="99"/>
  </w:style>
  <w:style w:type="paragraph" w:styleId="93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931">
    <w:name w:val="Normal (Web)"/>
    <w:basedOn w:val="743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32">
    <w:name w:val="Strong"/>
    <w:basedOn w:val="753"/>
    <w:qFormat/>
    <w:rPr>
      <w:b/>
      <w:bCs/>
    </w:rPr>
  </w:style>
  <w:style w:type="character" w:styleId="933">
    <w:name w:val="Hyperlink"/>
    <w:basedOn w:val="753"/>
    <w:uiPriority w:val="99"/>
    <w:semiHidden/>
    <w:unhideWhenUsed/>
    <w:rPr>
      <w:color w:val="0563C1"/>
      <w:u w:val="single"/>
    </w:rPr>
  </w:style>
  <w:style w:type="character" w:styleId="934">
    <w:name w:val="FollowedHyperlink"/>
    <w:basedOn w:val="753"/>
    <w:uiPriority w:val="99"/>
    <w:semiHidden/>
    <w:unhideWhenUsed/>
    <w:rPr>
      <w:color w:val="954F72"/>
      <w:u w:val="single"/>
    </w:rPr>
  </w:style>
  <w:style w:type="paragraph" w:styleId="935" w:customStyle="1">
    <w:name w:val="msonormal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6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7" w:customStyle="1">
    <w:name w:val="xl66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67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6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 w:customStyle="1">
    <w:name w:val="xl6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41" w:customStyle="1">
    <w:name w:val="xl70"/>
    <w:basedOn w:val="743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2" w:customStyle="1">
    <w:name w:val="xl7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3" w:customStyle="1">
    <w:name w:val="xl7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4" w:customStyle="1">
    <w:name w:val="xl7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5" w:customStyle="1">
    <w:name w:val="xl7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6" w:customStyle="1">
    <w:name w:val="xl75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7" w:customStyle="1">
    <w:name w:val="xl76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xl77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9" w:customStyle="1">
    <w:name w:val="xl7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0" w:customStyle="1">
    <w:name w:val="xl7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51" w:customStyle="1">
    <w:name w:val="xl80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2" w:customStyle="1">
    <w:name w:val="xl8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3" w:customStyle="1">
    <w:name w:val="xl8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4" w:customStyle="1">
    <w:name w:val="xl8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5" w:customStyle="1">
    <w:name w:val="xl8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6" w:customStyle="1">
    <w:name w:val="xl8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7" w:customStyle="1">
    <w:name w:val="xl86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8" w:customStyle="1">
    <w:name w:val="xl87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9" w:customStyle="1">
    <w:name w:val="xl88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0" w:customStyle="1">
    <w:name w:val="xl8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1" w:customStyle="1">
    <w:name w:val="xl90"/>
    <w:basedOn w:val="743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2" w:customStyle="1">
    <w:name w:val="xl9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63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4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</w:style>
  <w:style w:type="paragraph" w:styleId="965" w:customStyle="1">
    <w:name w:val="xl9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6" w:customStyle="1">
    <w:name w:val="xl9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7" w:customStyle="1">
    <w:name w:val="xl9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8" w:customStyle="1">
    <w:name w:val="xl9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69" w:customStyle="1">
    <w:name w:val="xl96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70" w:customStyle="1">
    <w:name w:val="xl97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71" w:customStyle="1">
    <w:name w:val="xl9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2" w:customStyle="1">
    <w:name w:val="xl9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3" w:customStyle="1">
    <w:name w:val="xl100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4" w:customStyle="1">
    <w:name w:val="xl10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5" w:customStyle="1">
    <w:name w:val="xl102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6" w:customStyle="1">
    <w:name w:val="xl103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7" w:customStyle="1">
    <w:name w:val="xl10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8" w:customStyle="1">
    <w:name w:val="xl105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9" w:customStyle="1">
    <w:name w:val="xl106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0" w:customStyle="1">
    <w:name w:val="xl107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1" w:customStyle="1">
    <w:name w:val="xl108"/>
    <w:basedOn w:val="743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2" w:customStyle="1">
    <w:name w:val="xl10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3" w:customStyle="1">
    <w:name w:val="xl110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4" w:customStyle="1">
    <w:name w:val="xl111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17</cp:revision>
  <dcterms:created xsi:type="dcterms:W3CDTF">2023-02-13T05:32:00Z</dcterms:created>
  <dcterms:modified xsi:type="dcterms:W3CDTF">2023-04-24T09:23:18Z</dcterms:modified>
</cp:coreProperties>
</file>